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Calibri" w:hAnsi="Calibri"/>
          <w:b/>
          <w:color w:val="94A3B8"/>
          <w:sz w:val="17"/>
        </w:rPr>
        <w:t>INGENIERÍA DE SOFTWARE | GESTIÓN ÁGIL SCRUM</w:t>
      </w:r>
    </w:p>
    <w:p>
      <w:pPr>
        <w:spacing w:before="120" w:after="40"/>
      </w:pPr>
      <w:r>
        <w:rPr>
          <w:rFonts w:ascii="Calibri" w:hAnsi="Calibri"/>
          <w:b/>
          <w:color w:val="E2211C"/>
          <w:sz w:val="40"/>
        </w:rPr>
        <w:t>MEMORÁNDUM DE EQUIPO N° 01/2026</w:t>
      </w:r>
    </w:p>
    <w:p>
      <w:pPr>
        <w:spacing w:before="0" w:after="280"/>
      </w:pPr>
      <w:r>
        <w:rPr>
          <w:rFonts w:ascii="Calibri" w:hAnsi="Calibri"/>
          <w:i/>
          <w:color w:val="475569"/>
          <w:sz w:val="24"/>
        </w:rPr>
        <w:t>Plan Extraordinario de Regularización y Entrega Final – MEGASUPER.CL</w:t>
      </w:r>
    </w:p>
    <w:tbl>
      <w:tblPr>
        <w:tblW w:type="auto" w:w="0"/>
        <w:jc w:val="center"/>
        <w:tblLook w:firstColumn="1" w:firstRow="1" w:lastColumn="0" w:lastRow="0" w:noHBand="0" w:noVBand="1" w:val="04A0"/>
      </w:tblPr>
      <w:tblGrid>
        <w:gridCol w:w="4680"/>
        <w:gridCol w:w="4680"/>
      </w:tblGrid>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PARA:</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color w:val="1E293B"/>
                <w:sz w:val="19"/>
              </w:rPr>
              <w:t>Equipo de Proyecto (Mauricio Vega, Rodrigo Bravo, Francisco Cárcamo, Peter Cañarte, Juan Mena)</w:t>
            </w:r>
          </w:p>
        </w:tc>
      </w:tr>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DE:</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color w:val="1E293B"/>
                <w:sz w:val="19"/>
              </w:rPr>
              <w:t>Sebastián Ortega (Product Owner &amp; Dirección del Proyecto)</w:t>
            </w:r>
          </w:p>
        </w:tc>
      </w:tr>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FECHA:</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color w:val="1E293B"/>
                <w:sz w:val="19"/>
              </w:rPr>
              <w:t>08 de octubre de 2026</w:t>
            </w:r>
          </w:p>
        </w:tc>
      </w:tr>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ASUNTO:</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E2211C"/>
                <w:sz w:val="19"/>
              </w:rPr>
              <w:t>Asignación de Misiones Críticas – Regularización del Informe Técnico vs. Sistema en Producción</w:t>
            </w:r>
          </w:p>
        </w:tc>
      </w:tr>
    </w:tbl>
    <w:p>
      <w:pPr>
        <w:spacing w:before="200" w:after="120"/>
      </w:pPr>
    </w:p>
    <w:p>
      <w:pPr>
        <w:spacing w:before="200" w:after="80"/>
      </w:pPr>
      <w:r>
        <w:rPr>
          <w:rFonts w:ascii="Calibri" w:hAnsi="Calibri"/>
          <w:b/>
          <w:color w:val="E2211C"/>
          <w:sz w:val="24"/>
        </w:rPr>
        <w:t>1. Objetivo General y Diagnóstico de la Evaluación</w:t>
      </w:r>
    </w:p>
    <w:p>
      <w:pPr>
        <w:spacing w:before="40" w:after="120" w:line="276" w:lineRule="auto"/>
      </w:pPr>
      <w:r>
        <w:rPr>
          <w:rFonts w:ascii="Calibri" w:hAnsi="Calibri"/>
          <w:color w:val="1E293B"/>
          <w:sz w:val="20"/>
        </w:rPr>
        <w:t xml:space="preserve">El presente memorándum tiene como objetivo instruir el plan de acción inmediato para alinear de manera íntegra, rigurosa y verificable el informe técnico del proyecto con el software operativo y funcional desplegado en producción en </w:t>
      </w:r>
      <w:r>
        <w:rPr>
          <w:rFonts w:ascii="Calibri" w:hAnsi="Calibri"/>
          <w:b/>
          <w:color w:val="0284C7"/>
          <w:sz w:val="20"/>
        </w:rPr>
        <w:t>www.megasuper.cl.</w:t>
      </w:r>
    </w:p>
    <w:p>
      <w:pPr>
        <w:spacing w:before="40" w:after="160" w:line="276" w:lineRule="auto"/>
      </w:pPr>
      <w:r>
        <w:rPr>
          <w:rFonts w:ascii="Calibri" w:hAnsi="Calibri"/>
          <w:color w:val="1E293B"/>
          <w:sz w:val="20"/>
        </w:rPr>
        <w:t>La versión preliminar del informe fue evaluada por el docente con calificación 3.0 debido a un descalce sustancial entre lo documentado y la ingeniería real de la plataforma. Específicamente, el docente detectó: (1) modelado UML de casos de uso deficiente, con pasos inconexos y sin relaciones formales &lt;&lt;include&gt;&gt; ni &lt;&lt;extend&gt;&gt;; (2) ausencia del modelo de base de datos relacional formal (3FN) y su diccionario; (3) carencia de formulación matemática de los KPIs comerciales en el módulo de ventas; y (4) falta de evidencia sincrónica y trazable en el tablero Scrum de Jira con las fechas del proyecto. Se nos ha concedido una instancia extraordinaria de reevaluación, por lo que cada integrante asume una misión técnica individual estricta y delimitada.</w:t>
      </w:r>
    </w:p>
    <w:p>
      <w:pPr>
        <w:spacing w:before="240" w:after="120"/>
      </w:pPr>
      <w:r>
        <w:rPr>
          <w:rFonts w:ascii="Calibri" w:hAnsi="Calibri"/>
          <w:b/>
          <w:color w:val="E2211C"/>
          <w:sz w:val="24"/>
        </w:rPr>
        <w:t>2. Matriz de Asignación de Misiones Técnicas Individuales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cantSplit/>
        </w:trPr>
        <w:tc>
          <w:tcPr>
            <w:tcW w:type="dxa" w:w="2016"/>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Integrante y Rol</w:t>
            </w:r>
          </w:p>
        </w:tc>
        <w:tc>
          <w:tcPr>
            <w:tcW w:type="dxa" w:w="1872"/>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Misión Asignada</w:t>
            </w:r>
          </w:p>
        </w:tc>
        <w:tc>
          <w:tcPr>
            <w:tcW w:type="dxa" w:w="3312"/>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Actividades Clave Obligatorias</w:t>
            </w:r>
          </w:p>
        </w:tc>
        <w:tc>
          <w:tcPr>
            <w:tcW w:type="dxa" w:w="2160"/>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Entregable Formal (Vía Informe)</w:t>
            </w:r>
          </w:p>
        </w:tc>
      </w:tr>
      <w:tr>
        <w:trPr>
          <w:cantSplit/>
        </w:trPr>
        <w:tc>
          <w:tcPr>
            <w:tcW w:type="dxa" w:w="2016"/>
            <w:shd w:val="clear" w:color="auto" w:fill="F2F2F2"/>
            <w:tcMar>
              <w:top w:w="60" w:type="dxa"/>
              <w:left w:w="80" w:type="dxa"/>
              <w:bottom w:w="60" w:type="dxa"/>
              <w:right w:w="80" w:type="dxa"/>
            </w:tcMar>
            <w:vAlign w:val="center"/>
          </w:tcPr>
          <w:p>
            <w:pPr>
              <w:spacing w:before="20" w:after="20" w:line="252" w:lineRule="auto"/>
            </w:pPr>
            <w:r>
              <w:rPr>
                <w:rFonts w:ascii="Calibri" w:hAnsi="Calibri"/>
                <w:b/>
                <w:color w:val="0F172A"/>
                <w:sz w:val="17"/>
              </w:rPr>
              <w:t>Sebastián Ortega</w:t>
              <w:br/>
              <w:t>(Product Owner)</w:t>
            </w:r>
          </w:p>
        </w:tc>
        <w:tc>
          <w:tcPr>
            <w:tcW w:type="dxa" w:w="187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Dirección, Auditoría y Consolidación del Informe Final</w:t>
            </w:r>
          </w:p>
        </w:tc>
        <w:tc>
          <w:tcPr>
            <w:tcW w:type="dxa" w:w="331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 Liderar la reestructuración y redacción técnica del informe oficial Word.</w:t>
              <w:br/>
              <w:t>• Integrar de forma armónica los insumos de UML, BD, Jira, QA y Código.</w:t>
              <w:br/>
              <w:t>• Auditar que cada tabla, figura y requerimiento cumpla el estándar ISO/IEC.</w:t>
            </w:r>
          </w:p>
        </w:tc>
        <w:tc>
          <w:tcPr>
            <w:tcW w:type="dxa" w:w="2160"/>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Documento del Informe Técnico Final en Word completamente regularizado.</w:t>
            </w:r>
          </w:p>
        </w:tc>
      </w:tr>
      <w:tr>
        <w:trPr>
          <w:cantSplit/>
        </w:trPr>
        <w:tc>
          <w:tcPr>
            <w:tcW w:type="dxa" w:w="2016"/>
            <w:shd w:val="clear" w:color="auto" w:fill="FFFFFF"/>
            <w:tcMar>
              <w:top w:w="60" w:type="dxa"/>
              <w:left w:w="80" w:type="dxa"/>
              <w:bottom w:w="60" w:type="dxa"/>
              <w:right w:w="80" w:type="dxa"/>
            </w:tcMar>
            <w:vAlign w:val="center"/>
          </w:tcPr>
          <w:p>
            <w:pPr>
              <w:spacing w:before="20" w:after="20" w:line="252" w:lineRule="auto"/>
            </w:pPr>
            <w:r>
              <w:rPr>
                <w:rFonts w:ascii="Calibri" w:hAnsi="Calibri"/>
                <w:b/>
                <w:color w:val="0F172A"/>
                <w:sz w:val="17"/>
              </w:rPr>
              <w:t>Mauricio Vega</w:t>
              <w:br/>
              <w:t>(Scrum Master)</w:t>
            </w:r>
          </w:p>
        </w:tc>
        <w:tc>
          <w:tcPr>
            <w:tcW w:type="dxa" w:w="187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Gobernanza Metodológica y Sincronización Jira</w:t>
            </w:r>
          </w:p>
        </w:tc>
        <w:tc>
          <w:tcPr>
            <w:tcW w:type="dxa" w:w="331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 Estructurar y configurar el tablero Jira con los 4 Sprints formales (07/09 al 04/10/2026).</w:t>
              <w:br/>
              <w:t>• Cargar las User Stories (SCRUM-1 a SCRUM-8) con criterios DoD y transicionarlas a estado 'Done'.</w:t>
              <w:br/>
              <w:t>• Asignar nominalmente las tareas a los 6 miembros del equipo y documentar ceremonias ágiles.</w:t>
            </w:r>
          </w:p>
        </w:tc>
        <w:tc>
          <w:tcPr>
            <w:tcW w:type="dxa" w:w="2160"/>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Informe metodológico Jira con capturas del tablero 100% cerrado y trazabilidad de sprints.</w:t>
            </w:r>
          </w:p>
        </w:tc>
      </w:tr>
      <w:tr>
        <w:trPr>
          <w:cantSplit/>
        </w:trPr>
        <w:tc>
          <w:tcPr>
            <w:tcW w:type="dxa" w:w="2016"/>
            <w:shd w:val="clear" w:color="auto" w:fill="F2F2F2"/>
            <w:tcMar>
              <w:top w:w="60" w:type="dxa"/>
              <w:left w:w="80" w:type="dxa"/>
              <w:bottom w:w="60" w:type="dxa"/>
              <w:right w:w="80" w:type="dxa"/>
            </w:tcMar>
            <w:vAlign w:val="center"/>
          </w:tcPr>
          <w:p>
            <w:pPr>
              <w:spacing w:before="20" w:after="20" w:line="252" w:lineRule="auto"/>
            </w:pPr>
            <w:r>
              <w:rPr>
                <w:rFonts w:ascii="Calibri" w:hAnsi="Calibri"/>
                <w:b/>
                <w:color w:val="0F172A"/>
                <w:sz w:val="17"/>
              </w:rPr>
              <w:t>Rodrigo Bravo</w:t>
              <w:br/>
              <w:t>(DBA &amp; Modelado)</w:t>
            </w:r>
          </w:p>
        </w:tc>
        <w:tc>
          <w:tcPr>
            <w:tcW w:type="dxa" w:w="187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Validación de Persistencia Relacional (3FN) y UML 2.5</w:t>
            </w:r>
          </w:p>
        </w:tc>
        <w:tc>
          <w:tcPr>
            <w:tcW w:type="dxa" w:w="331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 Validar el nuevo Diagrama Entidad-Relación (DER en 3FN de 9 entidades) y su diccionario de datos formal.</w:t>
              <w:br/>
              <w:t>• Validar el Diagrama de Casos de Uso Formal UML 2.5 (con relaciones &lt;&lt;include&gt;&gt; en checkout/stock y &lt;&lt;extend&gt;&gt; en despacho).</w:t>
              <w:br/>
              <w:t>• Asegurar el dominio conceptual de ambos modelos para la defensa ante el docente (los diagramas preliminares quedan descartados).</w:t>
            </w:r>
          </w:p>
        </w:tc>
        <w:tc>
          <w:tcPr>
            <w:tcW w:type="dxa" w:w="2160"/>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Informe de persistencia y modelado UML formal validado para la defensa técnica.</w:t>
            </w:r>
          </w:p>
        </w:tc>
      </w:tr>
      <w:tr>
        <w:trPr>
          <w:cantSplit/>
        </w:trPr>
        <w:tc>
          <w:tcPr>
            <w:tcW w:type="dxa" w:w="2016"/>
            <w:shd w:val="clear" w:color="auto" w:fill="FFFFFF"/>
            <w:tcMar>
              <w:top w:w="60" w:type="dxa"/>
              <w:left w:w="80" w:type="dxa"/>
              <w:bottom w:w="60" w:type="dxa"/>
              <w:right w:w="80" w:type="dxa"/>
            </w:tcMar>
            <w:vAlign w:val="center"/>
          </w:tcPr>
          <w:p>
            <w:pPr>
              <w:spacing w:before="20" w:after="20" w:line="252" w:lineRule="auto"/>
            </w:pPr>
            <w:r>
              <w:rPr>
                <w:rFonts w:ascii="Calibri" w:hAnsi="Calibri"/>
                <w:b/>
                <w:color w:val="0F172A"/>
                <w:sz w:val="17"/>
              </w:rPr>
              <w:t>Francisco Cárcamo &amp;</w:t>
              <w:br/>
              <w:t>Peter Cañarte</w:t>
              <w:br/>
              <w:t>(QA Leads / Testing)</w:t>
            </w:r>
          </w:p>
        </w:tc>
        <w:tc>
          <w:tcPr>
            <w:tcW w:type="dxa" w:w="187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Aseguramiento de Calidad (QA) y Pruebas en Vivo</w:t>
            </w:r>
          </w:p>
        </w:tc>
        <w:tc>
          <w:tcPr>
            <w:tcW w:type="dxa" w:w="331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 Ejecutar pruebas funcionales end-to-end completas sobre la plataforma www.megasuper.cl.</w:t>
              <w:br/>
              <w:t>• Validar rigurosamente la matriz CP-01 a CP-13: tramos mayoristas (1, 3, 6+ unid.), ahorro determinista, persistencia de carrito (F5) y WhatsApp Gateway.</w:t>
              <w:br/>
              <w:t>• Capturar evidencias fotográficas (pantallazos) claras de cada prueba ejecutada con conformidad.</w:t>
            </w:r>
          </w:p>
        </w:tc>
        <w:tc>
          <w:tcPr>
            <w:tcW w:type="dxa" w:w="2160"/>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Informe de Ejecución de Pruebas QA con capturas de evidencia y matriz de conformidad.</w:t>
            </w:r>
          </w:p>
        </w:tc>
      </w:tr>
      <w:tr>
        <w:trPr>
          <w:cantSplit/>
        </w:trPr>
        <w:tc>
          <w:tcPr>
            <w:tcW w:type="dxa" w:w="2016"/>
            <w:shd w:val="clear" w:color="auto" w:fill="F2F2F2"/>
            <w:tcMar>
              <w:top w:w="60" w:type="dxa"/>
              <w:left w:w="80" w:type="dxa"/>
              <w:bottom w:w="60" w:type="dxa"/>
              <w:right w:w="80" w:type="dxa"/>
            </w:tcMar>
            <w:vAlign w:val="center"/>
          </w:tcPr>
          <w:p>
            <w:pPr>
              <w:spacing w:before="20" w:after="20" w:line="252" w:lineRule="auto"/>
            </w:pPr>
            <w:r>
              <w:rPr>
                <w:rFonts w:ascii="Calibri" w:hAnsi="Calibri"/>
                <w:b/>
                <w:color w:val="0F172A"/>
                <w:sz w:val="17"/>
              </w:rPr>
              <w:t>Juan Mena</w:t>
              <w:br/>
              <w:t>(Lead Developer &amp;</w:t>
              <w:br/>
              <w:t>Backend)</w:t>
            </w:r>
          </w:p>
        </w:tc>
        <w:tc>
          <w:tcPr>
            <w:tcW w:type="dxa" w:w="187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Mantenimiento de Código y Ajustes de Producción</w:t>
            </w:r>
          </w:p>
        </w:tc>
        <w:tc>
          <w:tcPr>
            <w:tcW w:type="dxa" w:w="331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 Auditar el código fuente en producción ante cualquier observación técnica levantada por QA.</w:t>
              <w:br/>
              <w:t>• Realizar correcciones y ajustes finos inmediatos en frontend/backend de ser requeridos.</w:t>
              <w:br/>
              <w:t>• Documentar los ajustes implementados y garantizar la estabilidad continua del servicio.</w:t>
            </w:r>
          </w:p>
        </w:tc>
        <w:tc>
          <w:tcPr>
            <w:tcW w:type="dxa" w:w="2160"/>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Reporte Técnico de Mantenimiento de Código y conformidad operativa del sistema.</w:t>
            </w:r>
          </w:p>
        </w:tc>
      </w:tr>
    </w:tbl>
    <w:p>
      <w:pPr>
        <w:spacing w:before="280" w:after="80"/>
      </w:pPr>
      <w:r>
        <w:rPr>
          <w:rFonts w:ascii="Calibri" w:hAnsi="Calibri"/>
          <w:b/>
          <w:color w:val="E2211C"/>
          <w:sz w:val="24"/>
        </w:rPr>
        <w:t>3. Protocolo de Trabajo y Reglas de la Reevaluación</w:t>
      </w:r>
    </w:p>
    <w:p>
      <w:pPr>
        <w:spacing w:before="40" w:after="60" w:line="276" w:lineRule="auto"/>
      </w:pPr>
      <w:r>
        <w:rPr>
          <w:rFonts w:ascii="Calibri" w:hAnsi="Calibri"/>
          <w:b/>
          <w:color w:val="E2211C"/>
        </w:rPr>
        <w:t xml:space="preserve">• </w:t>
      </w:r>
      <w:r>
        <w:rPr>
          <w:rFonts w:ascii="Calibri" w:hAnsi="Calibri"/>
          <w:b/>
          <w:color w:val="0F172A"/>
        </w:rPr>
        <w:t>Formato Obligatorio 'Vía Informe':</w:t>
      </w:r>
      <w:r>
        <w:rPr>
          <w:rFonts w:ascii="Calibri" w:hAnsi="Calibri"/>
          <w:color w:val="334155"/>
        </w:rPr>
        <w:t xml:space="preserve"> No se aceptarán envíos parciales por WhatsApp o mensajes sueltos. Cada responsable debe remitir un informe estructurado (Word/PDF) con sus tablas, justificaciones técnicas y capturas de evidencia claras para ser integradas al informe consolidado.</w:t>
      </w:r>
    </w:p>
    <w:p>
      <w:pPr>
        <w:spacing w:before="40" w:after="60" w:line="276" w:lineRule="auto"/>
      </w:pPr>
      <w:r>
        <w:rPr>
          <w:rFonts w:ascii="Calibri" w:hAnsi="Calibri"/>
          <w:b/>
          <w:color w:val="E2211C"/>
        </w:rPr>
        <w:t xml:space="preserve">• </w:t>
      </w:r>
      <w:r>
        <w:rPr>
          <w:rFonts w:ascii="Calibri" w:hAnsi="Calibri"/>
          <w:b/>
          <w:color w:val="0F172A"/>
        </w:rPr>
        <w:t>Dominio y Defensa Cruzada Obligatoria:</w:t>
      </w:r>
      <w:r>
        <w:rPr>
          <w:rFonts w:ascii="Calibri" w:hAnsi="Calibri"/>
          <w:color w:val="334155"/>
        </w:rPr>
        <w:t xml:space="preserve"> En la instancia de defensa ante el docente evaluador, cualquier miembro del equipo puede ser consultado sobre cualquier módulo del sistema (DER, casos de uso, arquitectura o KPIs). Es deber de todos leer y dominar el informe final antes de la entrega.</w:t>
      </w:r>
    </w:p>
    <w:p>
      <w:pPr>
        <w:spacing w:before="40" w:after="60" w:line="276" w:lineRule="auto"/>
      </w:pPr>
      <w:r>
        <w:rPr>
          <w:rFonts w:ascii="Calibri" w:hAnsi="Calibri"/>
          <w:b/>
          <w:color w:val="E2211C"/>
        </w:rPr>
        <w:t xml:space="preserve">• </w:t>
      </w:r>
      <w:r>
        <w:rPr>
          <w:rFonts w:ascii="Calibri" w:hAnsi="Calibri"/>
          <w:b/>
          <w:color w:val="0F172A"/>
        </w:rPr>
        <w:t>Alineación con el Sistema Real:</w:t>
      </w:r>
      <w:r>
        <w:rPr>
          <w:rFonts w:ascii="Calibri" w:hAnsi="Calibri"/>
          <w:color w:val="334155"/>
        </w:rPr>
        <w:t xml:space="preserve"> Toda documentación debe responder estrictamente al comportamiento real de www.megasuper.cl. Queda prohibido documentar flujos teóricos que no se encuentren operativos.</w:t>
      </w:r>
    </w:p>
    <w:p>
      <w:pPr>
        <w:spacing w:before="240" w:after="80"/>
      </w:pPr>
      <w:r>
        <w:rPr>
          <w:rFonts w:ascii="Calibri" w:hAnsi="Calibri"/>
          <w:b/>
          <w:color w:val="E2211C"/>
          <w:sz w:val="24"/>
        </w:rPr>
        <w:t>4. Cronograma Fatal de Entregas e Hitos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E2211C"/>
                <w:sz w:val="17"/>
              </w:rPr>
              <w:t>Viernes, 12:00 hrs</w:t>
            </w:r>
          </w:p>
        </w:tc>
        <w:tc>
          <w:tcPr>
            <w:tcW w:type="dxa" w:w="3168"/>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0F172A"/>
                <w:sz w:val="17"/>
              </w:rPr>
              <w:t>Entrega Fatal de Insumos Individuales</w:t>
            </w:r>
          </w:p>
        </w:tc>
        <w:tc>
          <w:tcPr>
            <w:tcW w:type="dxa" w:w="3600"/>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color w:val="475569"/>
                <w:sz w:val="17"/>
              </w:rPr>
              <w:t>Recepción de informes individuales de Jira (Mau), UML/BD (Rodrigo), QA (Pancho y Peter) y Código (Juan).</w:t>
            </w:r>
          </w:p>
        </w:tc>
      </w:tr>
      <w:tr>
        <w:tc>
          <w:tcPr>
            <w:tcW w:type="dxa" w:w="2592"/>
            <w:shd w:val="clear" w:color="auto" w:fill="FFFFFF"/>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E2211C"/>
                <w:sz w:val="17"/>
              </w:rPr>
              <w:t>Viernes, 14:00 - 20:00 hrs</w:t>
            </w:r>
          </w:p>
        </w:tc>
        <w:tc>
          <w:tcPr>
            <w:tcW w:type="dxa" w:w="3168"/>
            <w:shd w:val="clear" w:color="auto" w:fill="FFFFFF"/>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0F172A"/>
                <w:sz w:val="17"/>
              </w:rPr>
              <w:t>Ensamble, Auditoría y Control de Calidad</w:t>
            </w:r>
          </w:p>
        </w:tc>
        <w:tc>
          <w:tcPr>
            <w:tcW w:type="dxa" w:w="3600"/>
            <w:shd w:val="clear" w:color="auto" w:fill="FFFFFF"/>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color w:val="475569"/>
                <w:sz w:val="17"/>
              </w:rPr>
              <w:t>Consolidación general del informe final en Word por el Product Owner, verificación de formato y ensayo de defensa.</w:t>
            </w:r>
          </w:p>
        </w:tc>
      </w:tr>
      <w:tr>
        <w:tc>
          <w:tcPr>
            <w:tcW w:type="dxa" w:w="2592"/>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E2211C"/>
                <w:sz w:val="17"/>
              </w:rPr>
              <w:t>Sábado, Horario Oficial</w:t>
            </w:r>
          </w:p>
        </w:tc>
        <w:tc>
          <w:tcPr>
            <w:tcW w:type="dxa" w:w="3168"/>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0F172A"/>
                <w:sz w:val="17"/>
              </w:rPr>
              <w:t>Entrega Definitiva y Defensa Extraordinaria</w:t>
            </w:r>
          </w:p>
        </w:tc>
        <w:tc>
          <w:tcPr>
            <w:tcW w:type="dxa" w:w="3600"/>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color w:val="475569"/>
                <w:sz w:val="17"/>
              </w:rPr>
              <w:t>Carga del Informe Técnico Consolidado en plataforma institucional y defensa oral frente al docente evaluador.</w:t>
            </w:r>
          </w:p>
        </w:tc>
      </w:tr>
    </w:tbl>
    <w:p>
      <w:pPr>
        <w:spacing w:before="560" w:after="40"/>
        <w:jc w:val="center"/>
      </w:pPr>
      <w:r>
        <w:rPr>
          <w:rFonts w:ascii="Calibri" w:hAnsi="Calibri"/>
          <w:color w:val="94A3B8"/>
        </w:rPr>
        <w:t>_________________________________________</w:t>
        <w:br/>
      </w:r>
      <w:r>
        <w:rPr>
          <w:rFonts w:ascii="Calibri" w:hAnsi="Calibri"/>
          <w:b/>
          <w:color w:val="0F172A"/>
          <w:sz w:val="22"/>
        </w:rPr>
        <w:t>Sebastián Ortega</w:t>
        <w:br/>
      </w:r>
      <w:r>
        <w:rPr>
          <w:rFonts w:ascii="Calibri" w:hAnsi="Calibri"/>
          <w:color w:val="64748B"/>
          <w:sz w:val="19"/>
        </w:rPr>
        <w:t>Product Owner &amp; Dirección de Proyecto</w:t>
        <w:br/>
        <w:t>MEGASUPER.CL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