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sz w:val="28"/>
          <w:szCs w:val="28"/>
        </w:rPr>
      </w:pPr>
      <w:r>
        <w:rPr>
          <w:rFonts w:cs="Arial" w:ascii="Arial" w:hAnsi="Arial"/>
          <w:b/>
          <w:bCs/>
          <w:sz w:val="28"/>
          <w:szCs w:val="28"/>
        </w:rPr>
        <w:t xml:space="preserve">Graphlet analysis of HiC data reveals structural differences between normal and Leemic chromosomes  </w:t>
      </w:r>
    </w:p>
    <w:p>
      <w:pPr>
        <w:pStyle w:val="Normal"/>
        <w:rPr/>
      </w:pPr>
      <w:r>
        <w:rPr>
          <w:rFonts w:cs="Arial" w:ascii="Arial" w:hAnsi="Arial"/>
          <w:sz w:val="20"/>
          <w:szCs w:val="20"/>
        </w:rPr>
        <w:t>Behnam Rasoolian</w:t>
      </w:r>
      <w:r>
        <w:rPr>
          <w:rFonts w:cs="Arial" w:ascii="Arial" w:hAnsi="Arial"/>
          <w:sz w:val="20"/>
          <w:szCs w:val="20"/>
          <w:vertAlign w:val="superscript"/>
        </w:rPr>
        <w:t>1,</w:t>
      </w:r>
      <w:r>
        <w:rPr>
          <w:rFonts w:cs="Arial" w:ascii="Arial" w:hAnsi="Arial"/>
          <w:sz w:val="20"/>
          <w:szCs w:val="20"/>
        </w:rPr>
        <w:t>*, Debswapna Bhattachary</w:t>
      </w:r>
      <w:r>
        <w:rPr>
          <w:rFonts w:cs="Arial" w:ascii="Arial" w:hAnsi="Arial"/>
          <w:sz w:val="20"/>
          <w:szCs w:val="20"/>
          <w:vertAlign w:val="superscript"/>
        </w:rPr>
        <w:t>2</w:t>
      </w:r>
      <w:r>
        <w:rPr>
          <w:rFonts w:cs="Arial" w:ascii="Arial" w:hAnsi="Arial"/>
          <w:sz w:val="20"/>
          <w:szCs w:val="20"/>
        </w:rPr>
        <w:t xml:space="preserve"> </w:t>
      </w:r>
    </w:p>
    <w:p>
      <w:pPr>
        <w:pStyle w:val="Normal"/>
        <w:spacing w:before="0" w:after="0"/>
        <w:rPr/>
      </w:pPr>
      <w:r>
        <w:rPr>
          <w:rFonts w:cs="Arial" w:ascii="Arial" w:hAnsi="Arial"/>
          <w:sz w:val="20"/>
          <w:szCs w:val="20"/>
          <w:vertAlign w:val="superscript"/>
        </w:rPr>
        <w:t>1</w:t>
      </w:r>
      <w:r>
        <w:rPr>
          <w:rFonts w:cs="Arial" w:ascii="Arial" w:hAnsi="Arial"/>
          <w:sz w:val="20"/>
          <w:szCs w:val="20"/>
        </w:rPr>
        <w:t xml:space="preserve"> Department of Computer Science and Software Engineering, Auburn University, Auburn, Alabama, 36846, United States</w:t>
      </w:r>
    </w:p>
    <w:p>
      <w:pPr>
        <w:pStyle w:val="Normal"/>
        <w:rPr/>
      </w:pPr>
      <w:r>
        <w:rPr>
          <w:rFonts w:cs="Arial" w:ascii="Arial" w:hAnsi="Arial"/>
          <w:sz w:val="18"/>
          <w:szCs w:val="18"/>
        </w:rPr>
        <w:t xml:space="preserve">* To whom correspondence should be addressed. Tel: +1 334 5212814;  Email: </w:t>
      </w:r>
      <w:hyperlink r:id="rId2">
        <w:r>
          <w:rPr>
            <w:rStyle w:val="InternetLink"/>
            <w:rFonts w:cs="Arial" w:ascii="Arial" w:hAnsi="Arial"/>
            <w:sz w:val="18"/>
            <w:szCs w:val="18"/>
          </w:rPr>
          <w:t>bzr0014@auburn.ed</w:t>
        </w:r>
      </w:hyperlink>
    </w:p>
    <w:p>
      <w:pPr>
        <w:pStyle w:val="Normal"/>
        <w:spacing w:before="0" w:after="0"/>
        <w:rPr/>
      </w:pPr>
      <w:r>
        <w:rPr/>
        <w:t xml:space="preserve">Present Address: </w:t>
      </w:r>
      <w:r>
        <w:rPr>
          <w:rFonts w:cs="Arial" w:ascii="Arial" w:hAnsi="Arial"/>
          <w:sz w:val="20"/>
          <w:szCs w:val="20"/>
        </w:rPr>
        <w:t xml:space="preserve"> Behnam Rasoolian, Department of Computer Science and Software Engineering, Auburn University, Auburn, Alabama, 36846, United States</w:t>
      </w:r>
    </w:p>
    <w:p>
      <w:pPr>
        <w:pStyle w:val="Normal"/>
        <w:spacing w:before="0" w:after="0"/>
        <w:rPr>
          <w:rFonts w:ascii="Arial" w:hAnsi="Arial" w:cs="Arial"/>
          <w:sz w:val="20"/>
          <w:szCs w:val="20"/>
        </w:rPr>
      </w:pPr>
      <w:r>
        <w:rPr>
          <w:rFonts w:cs="Arial" w:ascii="Arial" w:hAnsi="Arial"/>
          <w:sz w:val="20"/>
          <w:szCs w:val="20"/>
        </w:rPr>
      </w:r>
    </w:p>
    <w:p>
      <w:pPr>
        <w:pStyle w:val="Normal"/>
        <w:rPr/>
      </w:pPr>
      <w:r>
        <w:rPr>
          <w:b/>
          <w:bCs/>
        </w:rPr>
        <w:t xml:space="preserve">ABSTRACT </w:t>
      </w:r>
      <w:r>
        <w:rPr>
          <w:color w:val="FF0000"/>
          <w:sz w:val="20"/>
          <w:szCs w:val="20"/>
        </w:rPr>
        <w:t>&lt;&lt; The abstract should be a single paragraph, not exceeding 200 words. URLs and references to figures or schemes should NOT be included. However, note that URLs MUST be included in the abstract of manuscripts submitted to the Database and Web Server issues. References should not be included in the abstract&gt;&gt;</w:t>
      </w:r>
    </w:p>
    <w:p>
      <w:pPr>
        <w:pStyle w:val="Normal"/>
        <w:rPr>
          <w:rFonts w:ascii="Arial" w:hAnsi="Arial" w:cs="Arial"/>
          <w:b/>
          <w:b/>
          <w:bCs/>
          <w:sz w:val="20"/>
          <w:szCs w:val="20"/>
        </w:rPr>
      </w:pPr>
      <w:r>
        <w:rPr>
          <w:rFonts w:cs="Arial" w:ascii="Arial" w:hAnsi="Arial"/>
          <w:b/>
          <w:bCs/>
          <w:sz w:val="20"/>
          <w:szCs w:val="20"/>
        </w:rPr>
        <w:t>INTRODUCTION</w:t>
      </w:r>
    </w:p>
    <w:p>
      <w:pPr>
        <w:pStyle w:val="Normal"/>
        <w:spacing w:lineRule="auto" w:line="360" w:before="0" w:after="0"/>
        <w:rPr>
          <w:rFonts w:ascii="Arial" w:hAnsi="Arial" w:cs="Arial"/>
          <w:b/>
          <w:b/>
          <w:bCs/>
          <w:sz w:val="20"/>
          <w:szCs w:val="20"/>
        </w:rPr>
      </w:pPr>
      <w:r>
        <w:rPr>
          <w:rFonts w:cs="Arial" w:ascii="Arial" w:hAnsi="Arial"/>
          <w:b/>
          <w:bCs/>
          <w:sz w:val="20"/>
          <w:szCs w:val="20"/>
        </w:rPr>
        <w:t>MATERIAL AND METHODS</w:t>
      </w:r>
    </w:p>
    <w:p>
      <w:pPr>
        <w:pStyle w:val="Normal"/>
        <w:spacing w:lineRule="auto" w:line="360" w:before="0" w:after="0"/>
        <w:rPr>
          <w:rFonts w:ascii="Arial" w:hAnsi="Arial" w:cs="Arial"/>
          <w:sz w:val="48"/>
          <w:szCs w:val="20"/>
        </w:rPr>
      </w:pPr>
      <w:r>
        <w:rPr>
          <w:rFonts w:cs="Arial" w:ascii="Arial" w:hAnsi="Arial"/>
          <w:sz w:val="20"/>
          <w:szCs w:val="20"/>
        </w:rPr>
        <mc:AlternateContent>
          <mc:Choice Requires="wpg">
            <w:drawing>
              <wp:inline distT="0" distB="0" distL="0" distR="0">
                <wp:extent cx="174625" cy="127000"/>
                <wp:effectExtent l="0" t="0" r="0" b="0"/>
                <wp:docPr id="1" name="" title="TexMaths" descr="10§display§\mathbb{C}_{ij}§svg§600§FALSE§"/>
                <a:graphic xmlns:a="http://schemas.openxmlformats.org/drawingml/2006/main">
                  <a:graphicData uri="http://schemas.microsoft.com/office/word/2010/wordprocessingGroup">
                    <wpg:wgp>
                      <wpg:cNvGrpSpPr/>
                      <wpg:grpSpPr>
                        <a:xfrm>
                          <a:off x="0" y="0"/>
                          <a:ext cx="173880" cy="126360"/>
                        </a:xfrm>
                      </wpg:grpSpPr>
                      <wps:wsp>
                        <wps:cNvSpPr/>
                        <wps:spPr>
                          <a:xfrm>
                            <a:off x="2406240" y="2565360"/>
                            <a:ext cx="47160" cy="52560"/>
                          </a:xfrm>
                          <a:custGeom>
                            <a:avLst/>
                            <a:gdLst/>
                            <a:ahLst/>
                            <a:rect l="0" t="0" r="r" b="b"/>
                            <a:pathLst>
                              <a:path w="131" h="146">
                                <a:moveTo>
                                  <a:pt x="125" y="7"/>
                                </a:moveTo>
                                <a:cubicBezTo>
                                  <a:pt x="125" y="3"/>
                                  <a:pt x="125" y="0"/>
                                  <a:pt x="121" y="0"/>
                                </a:cubicBezTo>
                                <a:cubicBezTo>
                                  <a:pt x="121" y="0"/>
                                  <a:pt x="118" y="0"/>
                                  <a:pt x="118" y="3"/>
                                </a:cubicBezTo>
                                <a:cubicBezTo>
                                  <a:pt x="117" y="9"/>
                                  <a:pt x="112" y="9"/>
                                  <a:pt x="111" y="9"/>
                                </a:cubicBezTo>
                                <a:cubicBezTo>
                                  <a:pt x="104" y="9"/>
                                  <a:pt x="97" y="6"/>
                                  <a:pt x="93" y="5"/>
                                </a:cubicBezTo>
                                <a:cubicBezTo>
                                  <a:pt x="83" y="0"/>
                                  <a:pt x="74" y="0"/>
                                  <a:pt x="71" y="0"/>
                                </a:cubicBezTo>
                                <a:cubicBezTo>
                                  <a:pt x="37" y="0"/>
                                  <a:pt x="0" y="21"/>
                                  <a:pt x="0" y="72"/>
                                </a:cubicBezTo>
                                <a:cubicBezTo>
                                  <a:pt x="0" y="123"/>
                                  <a:pt x="37" y="145"/>
                                  <a:pt x="71" y="145"/>
                                </a:cubicBezTo>
                                <a:cubicBezTo>
                                  <a:pt x="82" y="145"/>
                                  <a:pt x="96" y="142"/>
                                  <a:pt x="111" y="134"/>
                                </a:cubicBezTo>
                                <a:cubicBezTo>
                                  <a:pt x="120" y="128"/>
                                  <a:pt x="130" y="118"/>
                                  <a:pt x="130" y="115"/>
                                </a:cubicBezTo>
                                <a:cubicBezTo>
                                  <a:pt x="130" y="112"/>
                                  <a:pt x="127" y="111"/>
                                  <a:pt x="126" y="111"/>
                                </a:cubicBezTo>
                                <a:cubicBezTo>
                                  <a:pt x="125" y="111"/>
                                  <a:pt x="123" y="112"/>
                                  <a:pt x="122" y="114"/>
                                </a:cubicBezTo>
                                <a:cubicBezTo>
                                  <a:pt x="110" y="127"/>
                                  <a:pt x="92" y="135"/>
                                  <a:pt x="75" y="135"/>
                                </a:cubicBezTo>
                                <a:cubicBezTo>
                                  <a:pt x="43" y="135"/>
                                  <a:pt x="36" y="104"/>
                                  <a:pt x="36" y="73"/>
                                </a:cubicBezTo>
                                <a:cubicBezTo>
                                  <a:pt x="36" y="33"/>
                                  <a:pt x="50" y="7"/>
                                  <a:pt x="71" y="7"/>
                                </a:cubicBezTo>
                                <a:cubicBezTo>
                                  <a:pt x="87" y="7"/>
                                  <a:pt x="110" y="22"/>
                                  <a:pt x="117" y="43"/>
                                </a:cubicBezTo>
                                <a:cubicBezTo>
                                  <a:pt x="118" y="45"/>
                                  <a:pt x="118" y="46"/>
                                  <a:pt x="121" y="46"/>
                                </a:cubicBezTo>
                                <a:cubicBezTo>
                                  <a:pt x="125" y="46"/>
                                  <a:pt x="125" y="44"/>
                                  <a:pt x="125" y="40"/>
                                </a:cubicBezTo>
                                <a:lnTo>
                                  <a:pt x="125" y="7"/>
                                </a:lnTo>
                              </a:path>
                              <a:path w="11" h="13">
                                <a:moveTo>
                                  <a:pt x="10" y="12"/>
                                </a:moveTo>
                                <a:cubicBezTo>
                                  <a:pt x="7" y="9"/>
                                  <a:pt x="5" y="6"/>
                                  <a:pt x="0" y="1"/>
                                </a:cubicBezTo>
                                <a:cubicBezTo>
                                  <a:pt x="1" y="1"/>
                                  <a:pt x="2" y="1"/>
                                  <a:pt x="3" y="1"/>
                                </a:cubicBezTo>
                                <a:cubicBezTo>
                                  <a:pt x="5" y="1"/>
                                  <a:pt x="8" y="1"/>
                                  <a:pt x="10" y="0"/>
                                </a:cubicBezTo>
                                <a:lnTo>
                                  <a:pt x="10" y="12"/>
                                </a:lnTo>
                              </a:path>
                              <a:path w="44" h="124">
                                <a:moveTo>
                                  <a:pt x="39" y="0"/>
                                </a:moveTo>
                                <a:cubicBezTo>
                                  <a:pt x="35" y="5"/>
                                  <a:pt x="22" y="22"/>
                                  <a:pt x="22" y="62"/>
                                </a:cubicBezTo>
                                <a:cubicBezTo>
                                  <a:pt x="22" y="81"/>
                                  <a:pt x="25" y="109"/>
                                  <a:pt x="43" y="123"/>
                                </a:cubicBezTo>
                                <a:cubicBezTo>
                                  <a:pt x="10" y="113"/>
                                  <a:pt x="0" y="86"/>
                                  <a:pt x="0" y="62"/>
                                </a:cubicBezTo>
                                <a:cubicBezTo>
                                  <a:pt x="0" y="25"/>
                                  <a:pt x="21" y="7"/>
                                  <a:pt x="39" y="0"/>
                                </a:cubicBezTo>
                              </a:path>
                            </a:pathLst>
                          </a:custGeom>
                          <a:solidFill>
                            <a:srgbClr val="000000"/>
                          </a:solidFill>
                          <a:ln w="12600">
                            <a:noFill/>
                          </a:ln>
                        </wps:spPr>
                        <wps:bodyPr/>
                      </wps:wsp>
                      <wps:wsp>
                        <wps:cNvSpPr/>
                        <wps:spPr>
                          <a:xfrm>
                            <a:off x="2457720" y="2593440"/>
                            <a:ext cx="15840" cy="34200"/>
                          </a:xfrm>
                          <a:custGeom>
                            <a:avLst/>
                            <a:gdLst/>
                            <a:ahLst/>
                            <a:rect l="0" t="0" r="r" b="b"/>
                            <a:pathLst>
                              <a:path w="15" h="14">
                                <a:moveTo>
                                  <a:pt x="14" y="5"/>
                                </a:moveTo>
                                <a:cubicBezTo>
                                  <a:pt x="14" y="3"/>
                                  <a:pt x="12" y="0"/>
                                  <a:pt x="8" y="0"/>
                                </a:cubicBezTo>
                                <a:cubicBezTo>
                                  <a:pt x="4" y="0"/>
                                  <a:pt x="0" y="3"/>
                                  <a:pt x="0" y="8"/>
                                </a:cubicBezTo>
                                <a:cubicBezTo>
                                  <a:pt x="0" y="10"/>
                                  <a:pt x="2" y="13"/>
                                  <a:pt x="6" y="13"/>
                                </a:cubicBezTo>
                                <a:cubicBezTo>
                                  <a:pt x="10" y="13"/>
                                  <a:pt x="14" y="9"/>
                                  <a:pt x="14" y="5"/>
                                </a:cubicBezTo>
                              </a:path>
                              <a:path w="44" h="64">
                                <a:moveTo>
                                  <a:pt x="10" y="45"/>
                                </a:moveTo>
                                <a:cubicBezTo>
                                  <a:pt x="9" y="47"/>
                                  <a:pt x="9" y="49"/>
                                  <a:pt x="9" y="51"/>
                                </a:cubicBezTo>
                                <a:cubicBezTo>
                                  <a:pt x="9" y="58"/>
                                  <a:pt x="14" y="63"/>
                                  <a:pt x="22" y="63"/>
                                </a:cubicBezTo>
                                <a:cubicBezTo>
                                  <a:pt x="37" y="63"/>
                                  <a:pt x="43" y="44"/>
                                  <a:pt x="43" y="42"/>
                                </a:cubicBezTo>
                                <a:cubicBezTo>
                                  <a:pt x="43" y="40"/>
                                  <a:pt x="40" y="40"/>
                                  <a:pt x="40" y="40"/>
                                </a:cubicBezTo>
                                <a:cubicBezTo>
                                  <a:pt x="38" y="40"/>
                                  <a:pt x="38" y="41"/>
                                  <a:pt x="38" y="42"/>
                                </a:cubicBezTo>
                                <a:cubicBezTo>
                                  <a:pt x="34" y="53"/>
                                  <a:pt x="28" y="59"/>
                                  <a:pt x="22" y="59"/>
                                </a:cubicBezTo>
                                <a:cubicBezTo>
                                  <a:pt x="20" y="59"/>
                                  <a:pt x="19" y="57"/>
                                  <a:pt x="19" y="54"/>
                                </a:cubicBezTo>
                                <a:cubicBezTo>
                                  <a:pt x="19" y="51"/>
                                  <a:pt x="20" y="49"/>
                                  <a:pt x="21" y="45"/>
                                </a:cubicBezTo>
                                <a:cubicBezTo>
                                  <a:pt x="23" y="41"/>
                                  <a:pt x="24" y="38"/>
                                  <a:pt x="26" y="34"/>
                                </a:cubicBezTo>
                                <a:cubicBezTo>
                                  <a:pt x="27" y="30"/>
                                  <a:pt x="32" y="18"/>
                                  <a:pt x="33" y="16"/>
                                </a:cubicBezTo>
                                <a:cubicBezTo>
                                  <a:pt x="33" y="15"/>
                                  <a:pt x="34" y="13"/>
                                  <a:pt x="34" y="12"/>
                                </a:cubicBezTo>
                                <a:cubicBezTo>
                                  <a:pt x="34" y="5"/>
                                  <a:pt x="28" y="0"/>
                                  <a:pt x="20" y="0"/>
                                </a:cubicBezTo>
                                <a:cubicBezTo>
                                  <a:pt x="6" y="0"/>
                                  <a:pt x="0" y="19"/>
                                  <a:pt x="0" y="21"/>
                                </a:cubicBezTo>
                                <a:cubicBezTo>
                                  <a:pt x="0" y="23"/>
                                  <a:pt x="1" y="23"/>
                                  <a:pt x="2" y="23"/>
                                </a:cubicBezTo>
                                <a:cubicBezTo>
                                  <a:pt x="4" y="23"/>
                                  <a:pt x="4" y="23"/>
                                  <a:pt x="5" y="21"/>
                                </a:cubicBezTo>
                                <a:cubicBezTo>
                                  <a:pt x="8" y="9"/>
                                  <a:pt x="14" y="4"/>
                                  <a:pt x="20" y="4"/>
                                </a:cubicBezTo>
                                <a:cubicBezTo>
                                  <a:pt x="22" y="4"/>
                                  <a:pt x="23" y="5"/>
                                  <a:pt x="23" y="9"/>
                                </a:cubicBezTo>
                                <a:cubicBezTo>
                                  <a:pt x="23" y="12"/>
                                  <a:pt x="22" y="14"/>
                                  <a:pt x="19" y="23"/>
                                </a:cubicBezTo>
                                <a:lnTo>
                                  <a:pt x="10" y="45"/>
                                </a:lnTo>
                              </a:path>
                            </a:pathLst>
                          </a:custGeom>
                          <a:solidFill>
                            <a:srgbClr val="000000"/>
                          </a:solidFill>
                          <a:ln w="12600">
                            <a:noFill/>
                          </a:ln>
                        </wps:spPr>
                        <wps:bodyPr/>
                      </wps:wsp>
                      <wps:wsp>
                        <wps:cNvSpPr/>
                        <wps:spPr>
                          <a:xfrm>
                            <a:off x="2475720" y="2593440"/>
                            <a:ext cx="22320" cy="43920"/>
                          </a:xfrm>
                          <a:custGeom>
                            <a:avLst/>
                            <a:gdLst/>
                            <a:ahLst/>
                            <a:rect l="0" t="0" r="r" b="b"/>
                            <a:pathLst>
                              <a:path w="14" h="14">
                                <a:moveTo>
                                  <a:pt x="13" y="5"/>
                                </a:moveTo>
                                <a:cubicBezTo>
                                  <a:pt x="13" y="3"/>
                                  <a:pt x="12" y="0"/>
                                  <a:pt x="8" y="0"/>
                                </a:cubicBezTo>
                                <a:cubicBezTo>
                                  <a:pt x="4" y="0"/>
                                  <a:pt x="0" y="4"/>
                                  <a:pt x="0" y="8"/>
                                </a:cubicBezTo>
                                <a:cubicBezTo>
                                  <a:pt x="0" y="10"/>
                                  <a:pt x="1" y="13"/>
                                  <a:pt x="5" y="13"/>
                                </a:cubicBezTo>
                                <a:cubicBezTo>
                                  <a:pt x="9" y="13"/>
                                  <a:pt x="13" y="9"/>
                                  <a:pt x="13" y="5"/>
                                </a:cubicBezTo>
                              </a:path>
                              <a:path w="57" h="91">
                                <a:moveTo>
                                  <a:pt x="31" y="68"/>
                                </a:moveTo>
                                <a:cubicBezTo>
                                  <a:pt x="29" y="78"/>
                                  <a:pt x="22" y="86"/>
                                  <a:pt x="13" y="86"/>
                                </a:cubicBezTo>
                                <a:cubicBezTo>
                                  <a:pt x="11" y="86"/>
                                  <a:pt x="10" y="86"/>
                                  <a:pt x="8" y="85"/>
                                </a:cubicBezTo>
                                <a:cubicBezTo>
                                  <a:pt x="12" y="84"/>
                                  <a:pt x="13" y="80"/>
                                  <a:pt x="13" y="78"/>
                                </a:cubicBezTo>
                                <a:cubicBezTo>
                                  <a:pt x="13" y="75"/>
                                  <a:pt x="10" y="73"/>
                                  <a:pt x="7" y="73"/>
                                </a:cubicBezTo>
                                <a:cubicBezTo>
                                  <a:pt x="3" y="73"/>
                                  <a:pt x="0" y="77"/>
                                  <a:pt x="0" y="81"/>
                                </a:cubicBezTo>
                                <a:cubicBezTo>
                                  <a:pt x="0" y="87"/>
                                  <a:pt x="5" y="90"/>
                                  <a:pt x="14" y="90"/>
                                </a:cubicBezTo>
                                <a:cubicBezTo>
                                  <a:pt x="22" y="90"/>
                                  <a:pt x="39" y="85"/>
                                  <a:pt x="43" y="68"/>
                                </a:cubicBezTo>
                                <a:lnTo>
                                  <a:pt x="56" y="18"/>
                                </a:lnTo>
                                <a:cubicBezTo>
                                  <a:pt x="56" y="16"/>
                                  <a:pt x="56" y="15"/>
                                  <a:pt x="56" y="13"/>
                                </a:cubicBezTo>
                                <a:cubicBezTo>
                                  <a:pt x="56" y="6"/>
                                  <a:pt x="49" y="0"/>
                                  <a:pt x="41" y="0"/>
                                </a:cubicBezTo>
                                <a:cubicBezTo>
                                  <a:pt x="26" y="0"/>
                                  <a:pt x="17" y="19"/>
                                  <a:pt x="17" y="21"/>
                                </a:cubicBezTo>
                                <a:cubicBezTo>
                                  <a:pt x="17" y="23"/>
                                  <a:pt x="18" y="23"/>
                                  <a:pt x="19" y="23"/>
                                </a:cubicBezTo>
                                <a:cubicBezTo>
                                  <a:pt x="21" y="23"/>
                                  <a:pt x="21" y="23"/>
                                  <a:pt x="22" y="20"/>
                                </a:cubicBezTo>
                                <a:cubicBezTo>
                                  <a:pt x="25" y="12"/>
                                  <a:pt x="32" y="4"/>
                                  <a:pt x="41" y="4"/>
                                </a:cubicBezTo>
                                <a:cubicBezTo>
                                  <a:pt x="44" y="4"/>
                                  <a:pt x="45" y="6"/>
                                  <a:pt x="45" y="11"/>
                                </a:cubicBezTo>
                                <a:cubicBezTo>
                                  <a:pt x="45" y="12"/>
                                  <a:pt x="45" y="14"/>
                                  <a:pt x="45" y="15"/>
                                </a:cubicBezTo>
                                <a:lnTo>
                                  <a:pt x="31" y="68"/>
                                </a:lnTo>
                              </a:path>
                            </a:pathLst>
                          </a:custGeom>
                          <a:solidFill>
                            <a:srgbClr val="000000"/>
                          </a:solidFill>
                          <a:ln w="12600">
                            <a:noFill/>
                          </a:ln>
                        </wps:spPr>
                        <wps:bodyPr/>
                      </wps:wsp>
                    </wpg:wgp>
                  </a:graphicData>
                </a:graphic>
              </wp:inline>
            </w:drawing>
          </mc:Choice>
          <mc:Fallback>
            <w:pict>
              <v:group id="shape_0" style="position:absolute;margin-left:0pt;margin-top:-7.05pt;width:13.65pt;height:9.9pt" coordorigin="0,-141" coordsize="273,198">
                <v:shape id="shape_0" fillcolor="white" stroked="f" style="position:absolute;left:0;top:-138;width:273;height:194">
                  <w10:wrap type="none"/>
                  <v:fill o:detectmouseclick="t" type="solid" color2="black"/>
                  <v:stroke color="#3465a4" weight="12600" joinstyle="miter" endcap="flat"/>
                </v:shape>
                <v:shape id="shape_0" fillcolor="black" stroked="f" style="position:absolute;left:7;top:-141;width:129;height:144">
                  <w10:wrap type="none"/>
                  <v:fill o:detectmouseclick="t" type="solid" color2="white"/>
                  <v:stroke color="#3465a4" weight="12600" joinstyle="miter" endcap="flat"/>
                </v:shape>
                <v:shape id="shape_0" fillcolor="black" stroked="f" style="position:absolute;left:150;top:-63;width:42;height:93">
                  <w10:wrap type="none"/>
                  <v:fill o:detectmouseclick="t" type="solid" color2="white"/>
                  <v:stroke color="#3465a4" weight="12600" joinstyle="miter" endcap="flat"/>
                </v:shape>
                <v:shape id="shape_0" fillcolor="black" stroked="f" style="position:absolute;left:200;top:-63;width:60;height:120">
                  <w10:wrap type="none"/>
                  <v:fill o:detectmouseclick="t" type="solid" color2="white"/>
                  <v:stroke color="#3465a4" weight="12600" joinstyle="miter" endcap="flat"/>
                </v:shape>
              </v:group>
            </w:pict>
          </mc:Fallback>
        </mc:AlternateContent>
      </w:r>
      <w:r>
        <w:rPr>
          <w:rFonts w:cs="Arial" w:ascii="Arial" w:hAnsi="Arial"/>
          <w:sz w:val="20"/>
          <w:szCs w:val="20"/>
        </w:rPr>
        <w:t xml:space="preserve"> </w:t>
      </w:r>
      <w:r>
        <w:rPr>
          <w:rFonts w:cs="Arial" w:ascii="Arial" w:hAnsi="Arial"/>
          <w:sz w:val="20"/>
          <w:szCs w:val="20"/>
        </w:rPr>
        <w:t>he quick brown fox jumps over the lazy dog. The quick brown fox jumps over the lazy dog. Thequick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ind w:left="0" w:right="0" w:firstLine="284"/>
        <w:rPr>
          <w:rFonts w:ascii="Arial" w:hAnsi="Arial" w:cs="Arial"/>
          <w:sz w:val="20"/>
          <w:szCs w:val="20"/>
        </w:rPr>
      </w:pP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rPr>
          <w:rFonts w:ascii="Arial" w:hAnsi="Arial" w:cs="Arial"/>
          <w:b/>
          <w:b/>
          <w:bCs/>
          <w:sz w:val="20"/>
          <w:szCs w:val="20"/>
        </w:rPr>
      </w:pPr>
      <w:r>
        <w:rPr>
          <w:rFonts w:cs="Arial" w:ascii="Arial" w:hAnsi="Arial"/>
          <w:b/>
          <w:bCs/>
          <w:sz w:val="20"/>
          <w:szCs w:val="20"/>
        </w:rPr>
        <w:t>RESULTS</w:t>
      </w:r>
    </w:p>
    <w:p>
      <w:pPr>
        <w:pStyle w:val="Normal"/>
        <w:spacing w:lineRule="auto" w:line="360"/>
        <w:rPr>
          <w:rFonts w:ascii="Arial" w:hAnsi="Arial" w:cs="Arial"/>
          <w:b/>
          <w:b/>
          <w:bCs/>
          <w:sz w:val="20"/>
          <w:szCs w:val="20"/>
        </w:rPr>
      </w:pPr>
      <w:r>
        <w:rPr>
          <w:rFonts w:cs="Arial" w:ascii="Arial" w:hAnsi="Arial"/>
          <w:b/>
          <w:bCs/>
          <w:sz w:val="20"/>
          <w:szCs w:val="20"/>
        </w:rPr>
        <w:t>Heading 1</w:t>
      </w:r>
    </w:p>
    <w:p>
      <w:pPr>
        <w:pStyle w:val="Normal"/>
        <w:spacing w:lineRule="auto" w:line="360"/>
        <w:rPr>
          <w:rFonts w:ascii="Arial" w:hAnsi="Arial" w:cs="Arial"/>
          <w:sz w:val="20"/>
          <w:szCs w:val="20"/>
        </w:rPr>
      </w:pP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rPr>
          <w:rFonts w:ascii="Arial" w:hAnsi="Arial" w:cs="Arial"/>
          <w:b/>
          <w:b/>
          <w:bCs/>
          <w:sz w:val="20"/>
          <w:szCs w:val="20"/>
        </w:rPr>
      </w:pPr>
      <w:r>
        <w:rPr>
          <w:rFonts w:cs="Arial" w:ascii="Arial" w:hAnsi="Arial"/>
          <w:b/>
          <w:bCs/>
          <w:sz w:val="20"/>
          <w:szCs w:val="20"/>
        </w:rPr>
        <w:t>Heading 2</w:t>
      </w:r>
    </w:p>
    <w:p>
      <w:pPr>
        <w:pStyle w:val="Normal"/>
        <w:spacing w:lineRule="auto" w:line="360"/>
        <w:rPr/>
      </w:pPr>
      <w:r>
        <w:rPr>
          <w:rFonts w:cs="Arial" w:ascii="Arial" w:hAnsi="Arial"/>
          <w:i/>
          <w:iCs/>
          <w:sz w:val="20"/>
          <w:szCs w:val="20"/>
        </w:rPr>
        <w:t>Heading 3.</w:t>
      </w:r>
      <w:r>
        <w:rPr>
          <w:rFonts w:cs="Arial" w:ascii="Arial" w:hAnsi="Arial"/>
          <w:sz w:val="20"/>
          <w:szCs w:val="20"/>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rPr/>
      </w:pPr>
      <w:r>
        <w:rPr>
          <w:rFonts w:cs="Arial" w:ascii="Arial" w:hAnsi="Arial"/>
          <w:i/>
          <w:iCs/>
          <w:sz w:val="20"/>
          <w:szCs w:val="20"/>
        </w:rPr>
        <w:t xml:space="preserve">Heading 3. </w:t>
      </w: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rPr>
          <w:rFonts w:ascii="Arial" w:hAnsi="Arial" w:cs="Arial"/>
          <w:b/>
          <w:b/>
          <w:bCs/>
          <w:sz w:val="20"/>
          <w:szCs w:val="20"/>
        </w:rPr>
      </w:pPr>
      <w:r>
        <w:rPr>
          <w:rFonts w:cs="Arial" w:ascii="Arial" w:hAnsi="Arial"/>
          <w:b/>
          <w:bCs/>
          <w:sz w:val="20"/>
          <w:szCs w:val="20"/>
        </w:rPr>
        <w:t>DISCUSSION</w:t>
      </w:r>
    </w:p>
    <w:p>
      <w:pPr>
        <w:pStyle w:val="Normal"/>
        <w:spacing w:lineRule="auto" w:line="360" w:before="0" w:after="0"/>
        <w:rPr>
          <w:rFonts w:ascii="Arial" w:hAnsi="Arial" w:cs="Arial"/>
          <w:sz w:val="20"/>
          <w:szCs w:val="20"/>
        </w:rPr>
      </w:pP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(1).</w:t>
      </w:r>
    </w:p>
    <w:p>
      <w:pPr>
        <w:pStyle w:val="Normal"/>
        <w:spacing w:lineRule="auto" w:line="360"/>
        <w:ind w:left="0" w:right="0" w:firstLine="284"/>
        <w:rPr>
          <w:rFonts w:ascii="Arial" w:hAnsi="Arial" w:cs="Arial"/>
          <w:sz w:val="20"/>
          <w:szCs w:val="20"/>
        </w:rPr>
      </w:pP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(2).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(3).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(4).</w:t>
      </w:r>
    </w:p>
    <w:p>
      <w:pPr>
        <w:pStyle w:val="Normal"/>
        <w:spacing w:lineRule="auto" w:line="360"/>
        <w:rPr>
          <w:rFonts w:ascii="Arial" w:hAnsi="Arial" w:cs="Arial"/>
          <w:b/>
          <w:b/>
          <w:bCs/>
          <w:sz w:val="20"/>
          <w:szCs w:val="20"/>
        </w:rPr>
      </w:pPr>
      <w:r>
        <w:rPr>
          <w:rFonts w:cs="Arial" w:ascii="Arial" w:hAnsi="Arial"/>
          <w:b/>
          <w:bCs/>
          <w:sz w:val="20"/>
          <w:szCs w:val="20"/>
        </w:rPr>
      </w:r>
    </w:p>
    <w:p>
      <w:pPr>
        <w:pStyle w:val="Normal"/>
        <w:spacing w:lineRule="auto" w:line="360"/>
        <w:rPr>
          <w:rFonts w:ascii="Arial" w:hAnsi="Arial" w:cs="Arial"/>
          <w:b/>
          <w:b/>
          <w:bCs/>
          <w:sz w:val="20"/>
          <w:szCs w:val="20"/>
        </w:rPr>
      </w:pPr>
      <w:r>
        <w:rPr>
          <w:rFonts w:cs="Arial" w:ascii="Arial" w:hAnsi="Arial"/>
          <w:b/>
          <w:bCs/>
          <w:sz w:val="20"/>
          <w:szCs w:val="20"/>
        </w:rPr>
        <w:t>AVAILABILITY</w:t>
      </w:r>
    </w:p>
    <w:p>
      <w:pPr>
        <w:pStyle w:val="Normal"/>
        <w:spacing w:lineRule="auto" w:line="360"/>
        <w:rPr>
          <w:bCs/>
          <w:color w:val="FF0000"/>
          <w:sz w:val="20"/>
          <w:szCs w:val="20"/>
        </w:rPr>
      </w:pPr>
      <w:r>
        <w:rPr>
          <w:bCs/>
          <w:color w:val="FF0000"/>
          <w:sz w:val="20"/>
          <w:szCs w:val="20"/>
        </w:rPr>
        <w:t>&lt;&lt;Please provide links to all websites where data, software or tools referred to in your article might be hosted, (e.g. github).  An example is provided below&gt;&gt;</w:t>
      </w:r>
    </w:p>
    <w:p>
      <w:pPr>
        <w:pStyle w:val="Normal"/>
        <w:spacing w:lineRule="auto" w:line="360"/>
        <w:rPr>
          <w:rFonts w:ascii="Arial" w:hAnsi="Arial" w:cs="Arial"/>
          <w:bCs/>
          <w:sz w:val="20"/>
          <w:szCs w:val="20"/>
        </w:rPr>
      </w:pPr>
      <w:r>
        <w:rPr>
          <w:rFonts w:cs="Arial" w:ascii="Arial" w:hAnsi="Arial"/>
          <w:bCs/>
          <w:sz w:val="20"/>
          <w:szCs w:val="20"/>
        </w:rPr>
        <w:t>Genome Maps is an open source collaborative initiative available in the GitHub repository (https://github.com/compbio-bigdata-viz/genome-maps)</w:t>
      </w:r>
    </w:p>
    <w:p>
      <w:pPr>
        <w:pStyle w:val="Normal"/>
        <w:spacing w:lineRule="auto" w:line="360"/>
        <w:rPr>
          <w:rFonts w:ascii="Arial" w:hAnsi="Arial" w:cs="Arial"/>
          <w:b/>
          <w:b/>
          <w:bCs/>
          <w:sz w:val="20"/>
          <w:szCs w:val="20"/>
        </w:rPr>
      </w:pPr>
      <w:r>
        <w:rPr>
          <w:rFonts w:cs="Arial" w:ascii="Arial" w:hAnsi="Arial"/>
          <w:b/>
          <w:bCs/>
          <w:sz w:val="20"/>
          <w:szCs w:val="20"/>
        </w:rPr>
      </w:r>
    </w:p>
    <w:p>
      <w:pPr>
        <w:pStyle w:val="Normal"/>
        <w:spacing w:lineRule="auto" w:line="360"/>
        <w:rPr>
          <w:rFonts w:ascii="Arial" w:hAnsi="Arial" w:cs="Arial"/>
          <w:b/>
          <w:b/>
          <w:bCs/>
          <w:sz w:val="20"/>
          <w:szCs w:val="20"/>
        </w:rPr>
      </w:pPr>
      <w:r>
        <w:rPr>
          <w:rFonts w:cs="Arial" w:ascii="Arial" w:hAnsi="Arial"/>
          <w:b/>
          <w:bCs/>
          <w:sz w:val="20"/>
          <w:szCs w:val="20"/>
        </w:rPr>
        <w:t>ACCESSION NUMBERS</w:t>
      </w:r>
    </w:p>
    <w:p>
      <w:pPr>
        <w:pStyle w:val="Normal"/>
        <w:spacing w:lineRule="auto" w:line="360"/>
        <w:rPr>
          <w:bCs/>
          <w:color w:val="FF0000"/>
          <w:sz w:val="20"/>
          <w:szCs w:val="20"/>
        </w:rPr>
      </w:pPr>
      <w:r>
        <w:rPr>
          <w:bCs/>
          <w:color w:val="FF0000"/>
          <w:sz w:val="20"/>
          <w:szCs w:val="20"/>
        </w:rPr>
        <w:t>&lt;&lt;Please list here all the public repository accession numbers (e.g. PDB, GEO). An example is provided below&gt;&gt;</w:t>
      </w:r>
    </w:p>
    <w:p>
      <w:pPr>
        <w:pStyle w:val="Normal"/>
        <w:spacing w:lineRule="auto" w:line="360"/>
        <w:rPr>
          <w:rFonts w:ascii="Arial" w:hAnsi="Arial" w:cs="Arial"/>
          <w:bCs/>
          <w:sz w:val="20"/>
          <w:szCs w:val="20"/>
        </w:rPr>
      </w:pPr>
      <w:r>
        <w:rPr>
          <w:rFonts w:cs="Arial" w:ascii="Arial" w:hAnsi="Arial"/>
          <w:bCs/>
          <w:sz w:val="20"/>
          <w:szCs w:val="20"/>
        </w:rPr>
        <w:t>Atomic coordinates and structure factors for the reported crystal structures have been deposited with the Protein Data bank under accession number XXXX.</w:t>
      </w:r>
    </w:p>
    <w:p>
      <w:pPr>
        <w:pStyle w:val="Normal"/>
        <w:spacing w:lineRule="auto" w:line="360"/>
        <w:rPr>
          <w:rFonts w:ascii="Arial" w:hAnsi="Arial" w:cs="Arial"/>
          <w:b/>
          <w:b/>
          <w:bCs/>
          <w:sz w:val="20"/>
          <w:szCs w:val="20"/>
        </w:rPr>
      </w:pPr>
      <w:r>
        <w:rPr>
          <w:rFonts w:cs="Arial" w:ascii="Arial" w:hAnsi="Arial"/>
          <w:b/>
          <w:bCs/>
          <w:sz w:val="20"/>
          <w:szCs w:val="20"/>
        </w:rPr>
      </w:r>
    </w:p>
    <w:p>
      <w:pPr>
        <w:pStyle w:val="Normal"/>
        <w:spacing w:lineRule="auto" w:line="360"/>
        <w:rPr>
          <w:rFonts w:ascii="Arial" w:hAnsi="Arial" w:cs="Arial"/>
          <w:b/>
          <w:b/>
          <w:bCs/>
          <w:sz w:val="20"/>
          <w:szCs w:val="20"/>
        </w:rPr>
      </w:pPr>
      <w:r>
        <w:rPr>
          <w:rFonts w:cs="Arial" w:ascii="Arial" w:hAnsi="Arial"/>
          <w:b/>
          <w:bCs/>
          <w:sz w:val="20"/>
          <w:szCs w:val="20"/>
        </w:rPr>
        <w:t>SUPPLEMENTARY DATA</w:t>
      </w:r>
    </w:p>
    <w:p>
      <w:pPr>
        <w:pStyle w:val="Normal"/>
        <w:spacing w:lineRule="auto" w:line="360"/>
        <w:rPr/>
      </w:pPr>
      <w:r>
        <w:rPr>
          <w:color w:val="FF0000"/>
          <w:sz w:val="20"/>
          <w:szCs w:val="18"/>
        </w:rPr>
        <w:t>&lt;&lt;Supplementary data should consist of electronic files and should not merely be a link to another web site. All supplementary data MUST be referred to in the main manuscript at an appropriate point in the text.</w:t>
      </w:r>
      <w:r>
        <w:rPr>
          <w:sz w:val="24"/>
        </w:rPr>
        <w:t xml:space="preserve"> </w:t>
      </w:r>
      <w:r>
        <w:rPr>
          <w:color w:val="FF0000"/>
          <w:sz w:val="20"/>
          <w:szCs w:val="18"/>
        </w:rPr>
        <w:t>The supplementary data should preferably be saved as one single PDF file, including all text, figures, tables and legends. If this is not possible, a maximum of 10 files is acceptable to make up the supplementary data unit for the article (see below). The maximum size per file should not exceed 1.5 MBytes, and files must be as small as possible so that they can be downloaded quickly.</w:t>
      </w:r>
    </w:p>
    <w:p>
      <w:pPr>
        <w:pStyle w:val="ListParagraph"/>
        <w:numPr>
          <w:ilvl w:val="0"/>
          <w:numId w:val="2"/>
        </w:numPr>
        <w:spacing w:lineRule="auto" w:line="360"/>
        <w:rPr>
          <w:color w:val="FF0000"/>
          <w:sz w:val="20"/>
          <w:szCs w:val="18"/>
        </w:rPr>
      </w:pPr>
      <w:r>
        <w:rPr>
          <w:color w:val="FF0000"/>
          <w:sz w:val="20"/>
          <w:szCs w:val="18"/>
        </w:rPr>
        <w:t>Pick a common cross-platform (PC, Mac, Linux/UNIX, Amiga, etc.) format for your Supplementary data to allow the greatest access.</w:t>
      </w:r>
    </w:p>
    <w:p>
      <w:pPr>
        <w:pStyle w:val="ListParagraph"/>
        <w:numPr>
          <w:ilvl w:val="0"/>
          <w:numId w:val="2"/>
        </w:numPr>
        <w:spacing w:lineRule="auto" w:line="360"/>
        <w:rPr>
          <w:color w:val="FF0000"/>
          <w:sz w:val="20"/>
          <w:szCs w:val="18"/>
        </w:rPr>
      </w:pPr>
      <w:r>
        <w:rPr>
          <w:color w:val="FF0000"/>
          <w:sz w:val="20"/>
          <w:szCs w:val="18"/>
        </w:rPr>
        <w:t>If you cannot convert all your files to PDF (.pdf), please provide the following:</w:t>
      </w:r>
    </w:p>
    <w:p>
      <w:pPr>
        <w:pStyle w:val="ListParagraph"/>
        <w:numPr>
          <w:ilvl w:val="0"/>
          <w:numId w:val="3"/>
        </w:numPr>
        <w:spacing w:lineRule="auto" w:line="360"/>
        <w:rPr>
          <w:color w:val="FF0000"/>
          <w:sz w:val="20"/>
          <w:szCs w:val="18"/>
        </w:rPr>
      </w:pPr>
      <w:r>
        <w:rPr>
          <w:color w:val="FF0000"/>
          <w:sz w:val="20"/>
          <w:szCs w:val="18"/>
        </w:rPr>
        <w:t>text files in MS Word (.doc), HTML (.html) or RTF (.rtf) format.</w:t>
      </w:r>
    </w:p>
    <w:p>
      <w:pPr>
        <w:pStyle w:val="ListParagraph"/>
        <w:numPr>
          <w:ilvl w:val="0"/>
          <w:numId w:val="3"/>
        </w:numPr>
        <w:spacing w:lineRule="auto" w:line="360"/>
        <w:rPr>
          <w:color w:val="FF0000"/>
          <w:sz w:val="20"/>
          <w:szCs w:val="18"/>
        </w:rPr>
      </w:pPr>
      <w:r>
        <w:rPr>
          <w:color w:val="FF0000"/>
          <w:sz w:val="20"/>
          <w:szCs w:val="18"/>
        </w:rPr>
        <w:t>spreadsheet files in MS Excel (.xls) or CSV format. Where possible, combine all tables into a single Excel workbook, saving individual tables on separate clearly labelled worksheets (tabs).</w:t>
      </w:r>
    </w:p>
    <w:p>
      <w:pPr>
        <w:pStyle w:val="ListParagraph"/>
        <w:numPr>
          <w:ilvl w:val="0"/>
          <w:numId w:val="3"/>
        </w:numPr>
        <w:spacing w:lineRule="auto" w:line="360"/>
        <w:rPr>
          <w:color w:val="FF0000"/>
          <w:sz w:val="20"/>
          <w:szCs w:val="18"/>
        </w:rPr>
      </w:pPr>
      <w:r>
        <w:rPr>
          <w:color w:val="FF0000"/>
          <w:sz w:val="20"/>
          <w:szCs w:val="18"/>
        </w:rPr>
        <w:t>image files in tif, gif or jpg format. Images should be a maximum size of 640 x 480 pixels (9 x 6.8 inches at 72 pixels per inch).</w:t>
      </w:r>
    </w:p>
    <w:p>
      <w:pPr>
        <w:pStyle w:val="ListParagraph"/>
        <w:numPr>
          <w:ilvl w:val="0"/>
          <w:numId w:val="3"/>
        </w:numPr>
        <w:spacing w:lineRule="auto" w:line="360"/>
        <w:rPr>
          <w:color w:val="FF0000"/>
          <w:sz w:val="20"/>
          <w:szCs w:val="18"/>
        </w:rPr>
      </w:pPr>
      <w:r>
        <w:rPr>
          <w:color w:val="FF0000"/>
          <w:sz w:val="20"/>
          <w:szCs w:val="18"/>
        </w:rPr>
        <w:t>sound clips in mp3 format.</w:t>
      </w:r>
    </w:p>
    <w:p>
      <w:pPr>
        <w:pStyle w:val="ListParagraph"/>
        <w:numPr>
          <w:ilvl w:val="0"/>
          <w:numId w:val="3"/>
        </w:numPr>
        <w:spacing w:lineRule="auto" w:line="360"/>
        <w:rPr>
          <w:color w:val="FF0000"/>
          <w:sz w:val="20"/>
          <w:szCs w:val="18"/>
        </w:rPr>
      </w:pPr>
      <w:r>
        <w:rPr>
          <w:color w:val="FF0000"/>
          <w:sz w:val="20"/>
          <w:szCs w:val="18"/>
        </w:rPr>
        <w:t>movie clips in mpeg format</w:t>
      </w:r>
    </w:p>
    <w:p>
      <w:pPr>
        <w:pStyle w:val="Normal"/>
        <w:spacing w:lineRule="auto" w:line="360" w:before="0" w:after="0"/>
        <w:rPr>
          <w:color w:val="FF0000"/>
          <w:sz w:val="20"/>
          <w:szCs w:val="18"/>
        </w:rPr>
      </w:pPr>
      <w:r>
        <w:rPr>
          <w:color w:val="FF0000"/>
          <w:sz w:val="20"/>
          <w:szCs w:val="18"/>
        </w:rPr>
        <w:t>Supplementary Data statement:</w:t>
      </w:r>
    </w:p>
    <w:p>
      <w:pPr>
        <w:pStyle w:val="Normal"/>
        <w:spacing w:lineRule="auto" w:line="360"/>
        <w:rPr>
          <w:color w:val="FF0000"/>
          <w:sz w:val="20"/>
          <w:szCs w:val="18"/>
        </w:rPr>
      </w:pPr>
      <w:r>
        <w:rPr>
          <w:color w:val="FF0000"/>
          <w:sz w:val="20"/>
          <w:szCs w:val="18"/>
        </w:rPr>
        <w:t>If applicable, the following statement must be added at the end of the manuscript&gt;&gt;</w:t>
      </w:r>
    </w:p>
    <w:p>
      <w:pPr>
        <w:pStyle w:val="Normal"/>
        <w:rPr>
          <w:rFonts w:ascii="Arial" w:hAnsi="Arial" w:cs="Arial"/>
          <w:sz w:val="20"/>
          <w:szCs w:val="20"/>
        </w:rPr>
      </w:pPr>
      <w:r>
        <w:rPr>
          <w:rFonts w:cs="Arial" w:ascii="Arial" w:hAnsi="Arial"/>
          <w:sz w:val="20"/>
          <w:szCs w:val="20"/>
        </w:rPr>
        <w:t>Supplementary Data are available at NAR online.</w:t>
      </w:r>
    </w:p>
    <w:p>
      <w:pPr>
        <w:pStyle w:val="Normal"/>
        <w:spacing w:lineRule="auto" w:line="360"/>
        <w:rPr>
          <w:rFonts w:ascii="Arial" w:hAnsi="Arial" w:cs="Arial"/>
          <w:sz w:val="20"/>
          <w:szCs w:val="20"/>
        </w:rPr>
      </w:pPr>
      <w:r>
        <w:rPr>
          <w:rFonts w:cs="Arial" w:ascii="Arial" w:hAnsi="Arial"/>
          <w:sz w:val="20"/>
          <w:szCs w:val="20"/>
        </w:rPr>
      </w:r>
    </w:p>
    <w:p>
      <w:pPr>
        <w:pStyle w:val="Normal"/>
        <w:spacing w:lineRule="auto" w:line="360"/>
        <w:rPr>
          <w:rFonts w:ascii="Arial" w:hAnsi="Arial" w:cs="Arial"/>
          <w:b/>
          <w:b/>
          <w:bCs/>
          <w:sz w:val="20"/>
          <w:szCs w:val="20"/>
        </w:rPr>
      </w:pPr>
      <w:r>
        <w:rPr>
          <w:rFonts w:cs="Arial" w:ascii="Arial" w:hAnsi="Arial"/>
          <w:b/>
          <w:bCs/>
          <w:sz w:val="20"/>
          <w:szCs w:val="20"/>
        </w:rPr>
        <w:t>ACKNOWLEDGEMENT</w:t>
      </w:r>
    </w:p>
    <w:p>
      <w:pPr>
        <w:pStyle w:val="Normal"/>
        <w:spacing w:lineRule="auto" w:line="360"/>
        <w:rPr>
          <w:rFonts w:ascii="Arial" w:hAnsi="Arial" w:cs="Arial"/>
          <w:sz w:val="20"/>
          <w:szCs w:val="20"/>
        </w:rPr>
      </w:pPr>
      <w:r>
        <w:rPr>
          <w:rFonts w:cs="Arial" w:ascii="Arial" w:hAnsi="Arial"/>
          <w:sz w:val="20"/>
          <w:szCs w:val="20"/>
        </w:rPr>
        <w:t>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rPr>
          <w:rFonts w:ascii="Arial" w:hAnsi="Arial" w:cs="Arial"/>
          <w:b/>
          <w:b/>
          <w:bCs/>
          <w:sz w:val="20"/>
          <w:szCs w:val="20"/>
        </w:rPr>
      </w:pPr>
      <w:r>
        <w:rPr>
          <w:rFonts w:cs="Arial" w:ascii="Arial" w:hAnsi="Arial"/>
          <w:b/>
          <w:bCs/>
          <w:sz w:val="20"/>
          <w:szCs w:val="20"/>
        </w:rPr>
      </w:r>
    </w:p>
    <w:p>
      <w:pPr>
        <w:pStyle w:val="Normal"/>
        <w:spacing w:lineRule="auto" w:line="360"/>
        <w:rPr>
          <w:rFonts w:ascii="Arial" w:hAnsi="Arial" w:cs="Arial"/>
          <w:b/>
          <w:b/>
          <w:bCs/>
          <w:sz w:val="20"/>
          <w:szCs w:val="20"/>
        </w:rPr>
      </w:pPr>
      <w:r>
        <w:rPr>
          <w:rFonts w:cs="Arial" w:ascii="Arial" w:hAnsi="Arial"/>
          <w:b/>
          <w:bCs/>
          <w:sz w:val="20"/>
          <w:szCs w:val="20"/>
        </w:rPr>
        <w:t>FUNDING</w:t>
      </w:r>
    </w:p>
    <w:p>
      <w:pPr>
        <w:pStyle w:val="Normal"/>
        <w:spacing w:lineRule="auto" w:line="360"/>
        <w:ind w:left="360" w:right="0" w:hanging="0"/>
        <w:rPr/>
      </w:pPr>
      <w:r>
        <w:rPr>
          <w:color w:val="FF0000"/>
          <w:sz w:val="20"/>
          <w:szCs w:val="18"/>
        </w:rPr>
        <w:t>&lt;&lt;</w:t>
      </w:r>
      <w:r>
        <w:rPr>
          <w:sz w:val="20"/>
          <w:szCs w:val="18"/>
        </w:rPr>
        <w:t xml:space="preserve"> </w:t>
      </w:r>
      <w:r>
        <w:rPr>
          <w:color w:val="FF0000"/>
          <w:sz w:val="20"/>
          <w:szCs w:val="18"/>
        </w:rPr>
        <w:t xml:space="preserve">Details of all funding sources for the work in question, and for the Open Access charge, should be given. An example is shown below. </w:t>
      </w:r>
    </w:p>
    <w:p>
      <w:pPr>
        <w:pStyle w:val="Normal"/>
        <w:spacing w:lineRule="auto" w:line="360"/>
        <w:ind w:left="360" w:right="0" w:hanging="0"/>
        <w:rPr>
          <w:color w:val="FF0000"/>
          <w:sz w:val="20"/>
          <w:szCs w:val="18"/>
        </w:rPr>
      </w:pPr>
      <w:r>
        <w:rPr>
          <w:color w:val="FF0000"/>
          <w:sz w:val="20"/>
          <w:szCs w:val="18"/>
        </w:rPr>
        <w:t>The following rules should be followed:</w:t>
      </w:r>
    </w:p>
    <w:p>
      <w:pPr>
        <w:pStyle w:val="ListParagraph"/>
        <w:numPr>
          <w:ilvl w:val="0"/>
          <w:numId w:val="1"/>
        </w:numPr>
        <w:spacing w:lineRule="auto" w:line="360"/>
        <w:rPr>
          <w:color w:val="FF0000"/>
          <w:sz w:val="20"/>
          <w:szCs w:val="18"/>
        </w:rPr>
      </w:pPr>
      <w:r>
        <w:rPr>
          <w:color w:val="FF0000"/>
          <w:sz w:val="20"/>
          <w:szCs w:val="18"/>
        </w:rPr>
        <w:t>The full official funding agency name should be given, i.e. ‘National Institutes of Health’, not ‘NIH’ (full RIN-approved list of UK funding agencies) Grant numbers should be given in brackets as follows: ‘[grant number xxxx]’</w:t>
      </w:r>
    </w:p>
    <w:p>
      <w:pPr>
        <w:pStyle w:val="ListParagraph"/>
        <w:numPr>
          <w:ilvl w:val="0"/>
          <w:numId w:val="1"/>
        </w:numPr>
        <w:spacing w:lineRule="auto" w:line="360"/>
        <w:rPr>
          <w:color w:val="FF0000"/>
          <w:sz w:val="20"/>
          <w:szCs w:val="18"/>
        </w:rPr>
      </w:pPr>
      <w:r>
        <w:rPr>
          <w:color w:val="FF0000"/>
          <w:sz w:val="20"/>
          <w:szCs w:val="18"/>
        </w:rPr>
        <w:t>Multiple grant numbers should be separated by a comma as follows: ‘[grant numbers xxxx, yyyy]’</w:t>
      </w:r>
    </w:p>
    <w:p>
      <w:pPr>
        <w:pStyle w:val="ListParagraph"/>
        <w:numPr>
          <w:ilvl w:val="0"/>
          <w:numId w:val="1"/>
        </w:numPr>
        <w:spacing w:lineRule="auto" w:line="360"/>
        <w:rPr>
          <w:color w:val="FF0000"/>
          <w:sz w:val="20"/>
          <w:szCs w:val="18"/>
        </w:rPr>
      </w:pPr>
      <w:r>
        <w:rPr>
          <w:color w:val="FF0000"/>
          <w:sz w:val="20"/>
          <w:szCs w:val="18"/>
        </w:rPr>
        <w:t>Agencies should be separated by a semi-colon (plus ‘and’ before the last funding agency)</w:t>
      </w:r>
    </w:p>
    <w:p>
      <w:pPr>
        <w:pStyle w:val="ListParagraph"/>
        <w:numPr>
          <w:ilvl w:val="0"/>
          <w:numId w:val="1"/>
        </w:numPr>
        <w:spacing w:lineRule="auto" w:line="360"/>
        <w:rPr>
          <w:color w:val="FF0000"/>
          <w:sz w:val="20"/>
          <w:szCs w:val="18"/>
        </w:rPr>
      </w:pPr>
      <w:r>
        <w:rPr>
          <w:color w:val="FF0000"/>
          <w:sz w:val="20"/>
          <w:szCs w:val="18"/>
        </w:rPr>
        <w:t>Where individuals need to be specified for certain sources of funding the following text should be added after the relevant agency or grant number 'to [author initials]'&gt;&gt;</w:t>
      </w:r>
    </w:p>
    <w:p>
      <w:pPr>
        <w:pStyle w:val="ListParagraph"/>
        <w:numPr>
          <w:ilvl w:val="0"/>
          <w:numId w:val="1"/>
        </w:numPr>
        <w:spacing w:lineRule="auto" w:line="360"/>
        <w:rPr>
          <w:color w:val="FF0000"/>
          <w:sz w:val="20"/>
          <w:szCs w:val="18"/>
        </w:rPr>
      </w:pPr>
      <w:r>
        <w:rPr>
          <w:color w:val="FF0000"/>
          <w:sz w:val="20"/>
          <w:szCs w:val="18"/>
        </w:rPr>
        <w:t>The statement should end with ‘Funding for open access charge: [insert grant agency name/number]’&gt;&gt;</w:t>
      </w:r>
    </w:p>
    <w:p>
      <w:pPr>
        <w:pStyle w:val="Normal"/>
        <w:spacing w:lineRule="auto" w:line="360"/>
        <w:rPr/>
      </w:pPr>
      <w:r>
        <w:rPr>
          <w:rFonts w:cs="Arial" w:ascii="Arial" w:hAnsi="Arial"/>
          <w:sz w:val="20"/>
          <w:szCs w:val="20"/>
        </w:rPr>
        <w:t xml:space="preserve">This work was supported by the National Institutes of Health [AA123456 to A.B., BB123456 to C.D.]; and the Alcohol &amp; Education Research Council [abcde123456]. </w:t>
      </w:r>
      <w:r>
        <w:rPr>
          <w:rFonts w:cs="AdvTimes" w:ascii="AdvTimes" w:hAnsi="AdvTimes"/>
          <w:sz w:val="20"/>
          <w:szCs w:val="20"/>
        </w:rPr>
        <w:t xml:space="preserve">Funding for open access charge: National Institutes of Health. </w:t>
      </w:r>
    </w:p>
    <w:p>
      <w:pPr>
        <w:pStyle w:val="Normal"/>
        <w:spacing w:lineRule="auto" w:line="360"/>
        <w:rPr>
          <w:rFonts w:ascii="AdvTimes" w:hAnsi="AdvTimes" w:cs="AdvTimes"/>
          <w:sz w:val="20"/>
          <w:szCs w:val="20"/>
        </w:rPr>
      </w:pPr>
      <w:r>
        <w:rPr>
          <w:rFonts w:cs="AdvTimes" w:ascii="AdvTimes" w:hAnsi="AdvTimes"/>
          <w:sz w:val="20"/>
          <w:szCs w:val="20"/>
        </w:rPr>
      </w:r>
    </w:p>
    <w:p>
      <w:pPr>
        <w:pStyle w:val="Normal"/>
        <w:spacing w:lineRule="auto" w:line="360"/>
        <w:rPr>
          <w:rFonts w:ascii="AdvTimes" w:hAnsi="AdvTimes" w:cs="AdvTimes"/>
          <w:b/>
          <w:b/>
          <w:sz w:val="20"/>
          <w:szCs w:val="20"/>
        </w:rPr>
      </w:pPr>
      <w:r>
        <w:rPr>
          <w:rFonts w:cs="AdvTimes" w:ascii="AdvTimes" w:hAnsi="AdvTimes"/>
          <w:b/>
          <w:sz w:val="20"/>
          <w:szCs w:val="20"/>
        </w:rPr>
        <w:t>CONFLICT OF INTEREST</w:t>
      </w:r>
    </w:p>
    <w:p>
      <w:pPr>
        <w:pStyle w:val="Normal"/>
        <w:spacing w:lineRule="auto" w:line="360"/>
        <w:rPr/>
      </w:pPr>
      <w:r>
        <w:rPr>
          <w:color w:val="FF0000"/>
          <w:sz w:val="20"/>
          <w:szCs w:val="20"/>
        </w:rPr>
        <w:t xml:space="preserve">&lt;&lt;Please disclose any financial interests or connections, direct or indirect, or other situations that might raise the question of bias in the work reported or the conclusions, implications, or opinions stated - including pertinent commercial or other sources of funding for the individual author(s) or for the associated department(s) or organization(s), personal relationships, or direct academic competition. Further information is available at </w:t>
      </w:r>
      <w:hyperlink r:id="rId3">
        <w:r>
          <w:rPr>
            <w:rStyle w:val="InternetLink"/>
            <w:sz w:val="20"/>
            <w:szCs w:val="20"/>
          </w:rPr>
          <w:t>https://academic.oup.com/journals/pages/authors/authors_faqs/conflicts_of_interest</w:t>
        </w:r>
      </w:hyperlink>
      <w:r>
        <w:rPr>
          <w:color w:val="FF0000"/>
          <w:sz w:val="20"/>
          <w:szCs w:val="20"/>
        </w:rPr>
        <w:t>&gt;&gt;</w:t>
      </w:r>
    </w:p>
    <w:p>
      <w:pPr>
        <w:pStyle w:val="Normal"/>
        <w:spacing w:lineRule="auto" w:line="360"/>
        <w:rPr>
          <w:rFonts w:ascii="Arial" w:hAnsi="Arial" w:cs="Arial"/>
          <w:color w:val="FF0000"/>
          <w:sz w:val="18"/>
          <w:szCs w:val="20"/>
        </w:rPr>
      </w:pPr>
      <w:r>
        <w:rPr>
          <w:rFonts w:cs="Arial" w:ascii="Arial" w:hAnsi="Arial"/>
          <w:color w:val="FF0000"/>
          <w:sz w:val="18"/>
          <w:szCs w:val="20"/>
        </w:rPr>
      </w:r>
    </w:p>
    <w:p>
      <w:pPr>
        <w:pStyle w:val="Normal"/>
        <w:spacing w:lineRule="auto" w:line="360"/>
        <w:rPr>
          <w:rFonts w:ascii="Arial" w:hAnsi="Arial" w:cs="Arial"/>
          <w:b/>
          <w:b/>
          <w:bCs/>
          <w:sz w:val="20"/>
          <w:szCs w:val="20"/>
        </w:rPr>
      </w:pPr>
      <w:r>
        <w:rPr>
          <w:rFonts w:cs="Arial" w:ascii="Arial" w:hAnsi="Arial"/>
          <w:b/>
          <w:bCs/>
          <w:sz w:val="20"/>
          <w:szCs w:val="20"/>
        </w:rPr>
        <w:t>REFERENCES</w:t>
      </w:r>
    </w:p>
    <w:p>
      <w:pPr>
        <w:pStyle w:val="Normal"/>
        <w:spacing w:lineRule="auto" w:line="360"/>
        <w:rPr>
          <w:color w:val="FF0000"/>
          <w:sz w:val="20"/>
          <w:szCs w:val="18"/>
        </w:rPr>
      </w:pPr>
      <w:r>
        <w:rPr>
          <w:color w:val="FF0000"/>
          <w:sz w:val="20"/>
          <w:szCs w:val="18"/>
        </w:rPr>
        <w:t>&lt;&lt;These should be cited in the text by sequential number only, in order of appearance, and listed numerically in the References section. Online references should be cited as in example 5, below. Please see examples 6 and 7 for papers that have been published online in more than one version. The initial version of a paper published in this way can be cited by the Digital Object Identifier (doi) but, if available, the reference should also include the citation of the final version. Authors should check all references carefully, and in particular ensure that all references in the Reference section are cited in the text. Note that multiple references or page spans under one number are not allowed. Personal communications, unpublished results, manuscripts submitted or in preparation, statistical packages, computer programs and web sites should be cited in the text only, NOT included in the References section. Citations should conform to the following examples. Journal names should be abbreviated in the style of Chemical Abstracts. Where the list of authors is extensive it is acceptable to list the first 10 authors followed by et al. NOTE THAT FULL TITLES OF JOURNAL ARTICLES MUST BE PROVIDED&gt;&gt;</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1. Schmitt,E., Panvert,M., Blanquet,S. and Mechulam,Y. (1995) Transition state stabilisation by the 'high' motif of class I aminoacyl-tRNA synthetases: the case of Escherichia coli methionyl-tRNA synthetase. Nucleic Acids Res., 23, 4793-4798.</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2. Huynh,T.V., Young,R.A. and Davies,R.W. (1988) Constructing and screening cDNA libraries in lambdagt10 and lambdagt11. In Glover,D.M. (ed.), DNA Cloning - A Practical Approach. IRL Press, Oxford, Vol. I, pp. 49-78.</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3. Maniatis,T., Fritsch,E.F. and Sambrook,J. (1982) Molecular Cloning: A Laboratory Manual. Cold Spring Harbor Laboratory Press, Cold Spring Harbor, NY.</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4. Burnett,R.C. (1993) EMBL accession no. X52486.</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5. Capaldi,S., Getts,R.C. and Jayasena,S.D. (2000) Signal amplification through nucleotide extension and excision on a dendritic DNA platform. Nucleic Acids Res., 28, e21.</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6. Qiao,D., Chen,W., Stratagoules,E. and Martinez,J. (March 10, 2000) Bile acid-induced activation of activator protein-1 requires both extracellular signal-regulated kinase and protein kinase C signaling. J. Biol. Chem., 10.1074/jbc.M908890199</w:t>
      </w:r>
    </w:p>
    <w:p>
      <w:pPr>
        <w:pStyle w:val="Normal"/>
        <w:spacing w:lineRule="auto" w:line="360" w:before="0" w:after="0"/>
        <w:rPr/>
      </w:pPr>
      <w:r>
        <w:rPr>
          <w:rFonts w:eastAsia="Arial" w:cs="Arial" w:ascii="Arial" w:hAnsi="Arial"/>
          <w:sz w:val="20"/>
          <w:szCs w:val="20"/>
        </w:rPr>
        <w:t xml:space="preserve">   </w:t>
      </w:r>
      <w:r>
        <w:rPr>
          <w:rFonts w:cs="Arial" w:ascii="Arial" w:hAnsi="Arial"/>
          <w:sz w:val="20"/>
          <w:szCs w:val="20"/>
        </w:rPr>
        <w:t>7. Qiao,D., Chen,W., Stratagoules,E. and Martinez,J. (2000) Bile acid-induced activation of activator protein-1 requires both extracellular signal-regulated kinase and protein kinase C signaling. J. Biol. Chem., 275, 15090-15098. First published on May 19, 2000, 10.1074/jbc.M908890199</w:t>
      </w:r>
    </w:p>
    <w:p>
      <w:pPr>
        <w:pStyle w:val="Normal"/>
        <w:spacing w:lineRule="auto" w:line="360"/>
        <w:rPr/>
      </w:pPr>
      <w:r>
        <w:rPr>
          <w:rFonts w:eastAsia="Arial" w:cs="Arial" w:ascii="Arial" w:hAnsi="Arial"/>
          <w:sz w:val="20"/>
          <w:szCs w:val="20"/>
        </w:rPr>
        <w:t xml:space="preserve">   </w:t>
      </w:r>
      <w:r>
        <w:rPr>
          <w:rFonts w:cs="Arial" w:ascii="Arial" w:hAnsi="Arial"/>
          <w:sz w:val="20"/>
          <w:szCs w:val="20"/>
        </w:rPr>
        <w:t>8. Bernhagen,J., Elkine,B., Geiger,G., Tovar,G. and Vitzthum,F. (1999) Patent DE-198198889.2-44; PCT/WO/EP/99/03047.</w:t>
      </w:r>
    </w:p>
    <w:p>
      <w:pPr>
        <w:pStyle w:val="Normal"/>
        <w:spacing w:lineRule="auto" w:line="360" w:before="0" w:after="0"/>
        <w:rPr>
          <w:rFonts w:ascii="Arial" w:hAnsi="Arial" w:cs="Arial"/>
          <w:b/>
          <w:b/>
          <w:bCs/>
          <w:sz w:val="20"/>
          <w:szCs w:val="20"/>
        </w:rPr>
      </w:pPr>
      <w:r>
        <w:rPr>
          <w:rFonts w:cs="Arial" w:ascii="Arial" w:hAnsi="Arial"/>
          <w:b/>
          <w:bCs/>
          <w:sz w:val="20"/>
          <w:szCs w:val="20"/>
        </w:rPr>
        <w:t>TABLE AND FIGURES LEGENDS</w:t>
      </w:r>
    </w:p>
    <w:p>
      <w:pPr>
        <w:pStyle w:val="Normal"/>
        <w:spacing w:lineRule="auto" w:line="360" w:before="0" w:after="0"/>
        <w:rPr/>
      </w:pPr>
      <w:r>
        <w:rPr>
          <w:color w:val="FF0000"/>
          <w:sz w:val="20"/>
          <w:szCs w:val="18"/>
        </w:rPr>
        <w:t xml:space="preserve">&lt;&lt;Figures and tables should be submitted Tagged Image File Format (.tif), Encapsulated PostScript (.eps), Graphics Interchange Format (.gif), Adobe Illustrator (.ai) (please save your files in Illustrator's EPS format), Portable Network Graphics (.png), Microsoft Word (.doc), Rich Text Format (.rtf), PowerPoint (.ppt), Excel (.xls) and editable Portable Document Format (PDF). Authors must submit original figures or source permissions for republication both online and in print of figures and tables that have been previously published. Further information is available at: </w:t>
      </w:r>
      <w:hyperlink r:id="rId4">
        <w:r>
          <w:rPr>
            <w:rStyle w:val="InternetLink"/>
            <w:sz w:val="20"/>
            <w:szCs w:val="18"/>
          </w:rPr>
          <w:t>https://academic.oup.com/journals/pages/access_purchase/rights_and_permissions</w:t>
        </w:r>
      </w:hyperlink>
      <w:r>
        <w:rPr>
          <w:color w:val="FF0000"/>
          <w:sz w:val="20"/>
          <w:szCs w:val="18"/>
        </w:rPr>
        <w:t>&gt;&gt;</w:t>
      </w:r>
    </w:p>
    <w:p>
      <w:pPr>
        <w:pStyle w:val="Normal"/>
        <w:spacing w:lineRule="auto" w:line="360" w:before="0" w:after="0"/>
        <w:rPr>
          <w:rFonts w:ascii="Arial" w:hAnsi="Arial" w:cs="Arial"/>
          <w:b/>
          <w:b/>
          <w:bCs/>
          <w:color w:val="FF0000"/>
          <w:sz w:val="20"/>
          <w:szCs w:val="20"/>
        </w:rPr>
      </w:pPr>
      <w:r>
        <w:rPr>
          <w:rFonts w:cs="Arial" w:ascii="Arial" w:hAnsi="Arial"/>
          <w:b/>
          <w:bCs/>
          <w:color w:val="FF0000"/>
          <w:sz w:val="20"/>
          <w:szCs w:val="20"/>
        </w:rPr>
      </w:r>
    </w:p>
    <w:p>
      <w:pPr>
        <w:pStyle w:val="Normal"/>
        <w:spacing w:lineRule="auto" w:line="360"/>
        <w:rPr>
          <w:rFonts w:ascii="Arial" w:hAnsi="Arial" w:cs="Arial"/>
          <w:sz w:val="20"/>
          <w:szCs w:val="20"/>
        </w:rPr>
      </w:pPr>
      <w:r>
        <w:rPr>
          <w:rFonts w:cs="Arial" w:ascii="Arial" w:hAnsi="Arial"/>
          <w:sz w:val="20"/>
          <w:szCs w:val="20"/>
        </w:rPr>
        <w:t>Table 1.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Normal"/>
        <w:spacing w:lineRule="auto" w:line="360" w:before="0" w:after="200"/>
        <w:rPr>
          <w:rFonts w:ascii="Arial" w:hAnsi="Arial" w:cs="Arial"/>
          <w:sz w:val="20"/>
          <w:szCs w:val="20"/>
        </w:rPr>
      </w:pPr>
      <w:r>
        <w:rPr>
          <w:rFonts w:cs="Arial" w:ascii="Arial" w:hAnsi="Arial"/>
          <w:sz w:val="20"/>
          <w:szCs w:val="20"/>
        </w:rPr>
        <w:t>Figure 1.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ymbol">
    <w:charset w:val="01"/>
    <w:family w:val="roman"/>
    <w:pitch w:val="variable"/>
  </w:font>
  <w:font w:name="Courier New">
    <w:charset w:val="01"/>
    <w:family w:val="modern"/>
    <w:pitch w:val="default"/>
  </w:font>
  <w:font w:name="Wingdings">
    <w:charset w:val="02"/>
    <w:family w:val="auto"/>
    <w:pitch w:val="variable"/>
  </w:font>
  <w:font w:name="Cambria">
    <w:charset w:val="01"/>
    <w:family w:val="roman"/>
    <w:pitch w:val="variable"/>
  </w:font>
  <w:font w:name="Tahoma">
    <w:charset w:val="01"/>
    <w:family w:val="swiss"/>
    <w:pitch w:val="variable"/>
  </w:font>
  <w:font w:name="Arial">
    <w:charset w:val="01"/>
    <w:family w:val="swiss"/>
    <w:pitch w:val="variable"/>
  </w:font>
  <w:font w:name="AdvTime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6"/>
        <w:szCs w:val="18"/>
        <w:rFonts w:cs="Symbol"/>
        <w:color w:val="FF0000"/>
      </w:rPr>
    </w:lvl>
  </w:abstractNum>
  <w:abstractNum w:abstractNumId="2">
    <w:lvl w:ilvl="0">
      <w:start w:val="1"/>
      <w:numFmt w:val="decimal"/>
      <w:lvlText w:val="%1."/>
      <w:lvlJc w:val="left"/>
      <w:pPr>
        <w:ind w:left="720" w:hanging="360"/>
      </w:pPr>
      <w:rPr/>
    </w:lvl>
  </w:abstractNum>
  <w:abstractNum w:abstractNumId="3">
    <w:lvl w:ilvl="0">
      <w:start w:val="1"/>
      <w:numFmt w:val="bullet"/>
      <w:lvlText w:val=""/>
      <w:lvlJc w:val="left"/>
      <w:pPr>
        <w:ind w:left="855" w:hanging="360"/>
      </w:pPr>
      <w:rPr>
        <w:rFonts w:ascii="Symbol" w:hAnsi="Symbol" w:cs="Symbol" w:hint="default"/>
        <w:rFonts w:cs="Aria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pPr>
    <w:rPr>
      <w:rFonts w:ascii="Calibri" w:hAnsi="Calibri" w:eastAsia="SimSun;宋体" w:cs="Arial"/>
      <w:color w:val="auto"/>
      <w:sz w:val="22"/>
      <w:szCs w:val="22"/>
      <w:lang w:val="en-GB" w:eastAsia="zh-CN" w:bidi="ar-SA"/>
    </w:rPr>
  </w:style>
  <w:style w:type="character" w:styleId="WW8Num1z0">
    <w:name w:val="WW8Num1z0"/>
    <w:qFormat/>
    <w:rPr>
      <w:rFonts w:ascii="Symbol" w:hAnsi="Symbol" w:cs="Symbol"/>
      <w:color w:val="FF0000"/>
      <w:sz w:val="16"/>
      <w:szCs w:val="18"/>
    </w:rPr>
  </w:style>
  <w:style w:type="character" w:styleId="WW8Num2z0">
    <w:name w:val="WW8Num2z0"/>
    <w:qFormat/>
    <w:rPr/>
  </w:style>
  <w:style w:type="character" w:styleId="WW8Num3z0">
    <w:name w:val="WW8Num3z0"/>
    <w:qFormat/>
    <w:rPr>
      <w:rFonts w:ascii="Symbol" w:hAnsi="Symbol" w:cs="Aria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rFonts w:ascii="Symbol" w:hAnsi="Symbol" w:eastAsia="SimSun;宋体"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eastAsia="SimSun;宋体"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TitleChar">
    <w:name w:val="Title Char"/>
    <w:qFormat/>
    <w:rPr>
      <w:rFonts w:ascii="Cambria" w:hAnsi="Cambria" w:eastAsia="SimSun;宋体" w:cs="Times New Roman"/>
      <w:color w:val="17365D"/>
      <w:spacing w:val="5"/>
      <w:sz w:val="52"/>
      <w:szCs w:val="52"/>
    </w:rPr>
  </w:style>
  <w:style w:type="character" w:styleId="StrongEmphasis">
    <w:name w:val="Strong Emphasis"/>
    <w:qFormat/>
    <w:rPr>
      <w:b/>
      <w:bCs/>
    </w:rPr>
  </w:style>
  <w:style w:type="character" w:styleId="BalloonTextChar">
    <w:name w:val="Balloon Text Char"/>
    <w:qFormat/>
    <w:rPr>
      <w:rFonts w:ascii="Tahoma" w:hAnsi="Tahoma" w:cs="Tahoma"/>
      <w:sz w:val="16"/>
      <w:szCs w:val="16"/>
      <w:lang w:eastAsia="zh-CN"/>
    </w:rPr>
  </w:style>
  <w:style w:type="character" w:styleId="InternetLink">
    <w:name w:val="Internet Link"/>
    <w:rPr>
      <w:color w:val="0000FF"/>
      <w:u w:val="single"/>
    </w:rPr>
  </w:style>
  <w:style w:type="paragraph" w:styleId="Heading">
    <w:name w:val="Heading"/>
    <w:basedOn w:val="Normal"/>
    <w:next w:val="Normal"/>
    <w:qFormat/>
    <w:pPr>
      <w:pBdr>
        <w:bottom w:val="single" w:sz="8" w:space="4" w:color="4F81BD"/>
      </w:pBdr>
      <w:spacing w:lineRule="auto" w:line="240" w:before="0" w:after="300"/>
      <w:contextualSpacing/>
    </w:pPr>
    <w:rPr>
      <w:rFonts w:ascii="Cambria" w:hAnsi="Cambria" w:eastAsia="SimSun;宋体" w:cs="Times New Roman"/>
      <w:color w:val="17365D"/>
      <w:spacing w:val="5"/>
      <w:sz w:val="52"/>
      <w:szCs w:val="52"/>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Bibliography1">
    <w:name w:val="Bibliography 1"/>
    <w:basedOn w:val="Index"/>
    <w:qFormat/>
    <w:pPr>
      <w:tabs>
        <w:tab w:val="right" w:pos="9026" w:leader="dot"/>
      </w:tabs>
      <w:ind w:left="0" w:right="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zr0014@auburn.ed" TargetMode="External"/><Relationship Id="rId3" Type="http://schemas.openxmlformats.org/officeDocument/2006/relationships/hyperlink" Target="https://academic.oup.com/journals/pages/authors/authors_faqs/conflicts_of_interest" TargetMode="External"/><Relationship Id="rId4" Type="http://schemas.openxmlformats.org/officeDocument/2006/relationships/hyperlink" Target="https://academic.oup.com/journals/pages/access_purchase/rights_and_permission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LibreOffice/5.1.6.2$Linux_X86_64 LibreOffice_project/10m0$Build-2</Application>
  <Pages>6</Pages>
  <Words>3002</Words>
  <Characters>14179</Characters>
  <CharactersWithSpaces>17138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2017-03-01T07:43:00Z</dcterms:created>
  <dc:creator>M. Bernardes Silva</dc:creator>
  <dc:description/>
  <dc:language>en-US</dc:language>
  <cp:lastModifiedBy/>
  <dcterms:modified xsi:type="dcterms:W3CDTF">2018-03-26T11:30:27Z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id="3OtkAAEg"/&gt;&lt;style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y fmtid="{D5CDD505-2E9C-101B-9397-08002B2CF9AE}" pid="4" name="_NewReviewCycle">
    <vt:lpwstr/>
  </property>
</Properties>
</file>