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rFonts w:ascii="Roboto Black" w:hAnsi="Roboto Black" w:cs="Roboto Black" w:eastAsia="Roboto Black"/>
          <w:sz w:val="28"/>
          <w:szCs w:val="28"/>
        </w:rPr>
        <w:pStyle w:val="P68B1DB1-Normal1"/>
        <w:bidi/>
      </w:pPr>
      <w:r>
        <w:drawing>
          <wp:anchor allowOverlap="1" behindDoc="0" distB="0" distT="0" distL="0" distR="0" hidden="0" layoutInCell="1" locked="0" relativeHeight="0" simplePos="0">
            <wp:simplePos x="0" y="0"/>
            <wp:positionH relativeFrom="page">
              <wp:posOffset>3338</wp:posOffset>
            </wp:positionH>
            <wp:positionV relativeFrom="page">
              <wp:posOffset>9525</wp:posOffset>
            </wp:positionV>
            <wp:extent cx="7553325" cy="2245922"/>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3325" cy="2245922"/>
                    </a:xfrm>
                    <a:prstGeom prst="rect"/>
                    <a:ln/>
                  </pic:spPr>
                </pic:pic>
              </a:graphicData>
            </a:graphic>
          </wp:anchor>
        </w:drawing>
      </w:r>
      <w:r>
        <w:rPr>
          <w:rtl/>
        </w:rPr>
        <w:t xml:space="preserve">How to run your coding club safely</w:t>
      </w:r>
    </w:p>
    <w:p w14:paraId="00000002">
      <w:pPr>
        <w:jc w:val="both"/>
        <w:rPr>
          <w:rFonts w:ascii="Lato" w:hAnsi="Lato" w:cs="Lato" w:eastAsia="Lato"/>
        </w:rPr>
        <w:bidi/>
      </w:pPr>
    </w:p>
    <w:p w14:paraId="00000003">
      <w:pPr>
        <w:pStyle w:val="P68B1DB1-Heading22"/>
        <w:spacing w:after="0" w:before="0" w:lineRule="auto"/>
        <w:rPr>
          <w:rFonts w:ascii="Roboto" w:hAnsi="Roboto" w:cs="Roboto" w:eastAsia="Roboto"/>
          <w:sz w:val="22"/>
          <w:szCs w:val="22"/>
        </w:rPr>
        <w:bidi/>
      </w:pPr>
      <w:bookmarkStart w:colFirst="0" w:colLast="0" w:name="_is0xd1i2yu28" w:id="0"/>
      <w:bookmarkEnd w:id="0"/>
      <w:r>
        <w:rPr>
          <w:rtl/>
        </w:rPr>
        <w:t xml:space="preserve">This table helps you identify your options for running your club while your community is still at risk from coronavirus</w:t>
      </w:r>
    </w:p>
    <w:p w14:paraId="00000004">
      <w:pPr>
        <w:bidi/>
      </w:pPr>
    </w:p>
    <w:p w14:paraId="00000005">
      <w:pPr>
        <w:pStyle w:val="P68B1DB1-Heading23"/>
        <w:spacing w:after="0" w:before="0" w:lineRule="auto"/>
        <w:jc w:val="both"/>
        <w:rPr>
          <w:rFonts w:ascii="Roboto" w:hAnsi="Roboto" w:cs="Roboto" w:eastAsia="Roboto"/>
          <w:b w:val="1"/>
          <w:sz w:val="24"/>
          <w:szCs w:val="24"/>
        </w:rPr>
        <w:bidi/>
      </w:pPr>
      <w:bookmarkStart w:colFirst="0" w:colLast="0" w:name="_216to2crjpq2" w:id="1"/>
      <w:bookmarkEnd w:id="1"/>
      <w:r>
        <w:rPr>
          <w:rtl/>
        </w:rPr>
        <w:t xml:space="preserve">You should:</w:t>
      </w:r>
    </w:p>
    <w:p w14:paraId="00000006">
      <w:pPr>
        <w:jc w:val="both"/>
        <w:rPr>
          <w:rFonts w:ascii="Roboto" w:hAnsi="Roboto" w:cs="Roboto" w:eastAsia="Roboto"/>
        </w:rPr>
        <w:bidi/>
      </w:pPr>
    </w:p>
    <w:p w14:paraId="00000007">
      <w:pPr>
        <w:numPr>
          <w:ilvl w:val="0"/>
          <w:numId w:val="1"/>
        </w:numPr>
        <w:ind w:left="720" w:hanging="360"/>
        <w:jc w:val="both"/>
        <w:rPr>
          <w:rFonts w:ascii="Roboto" w:hAnsi="Roboto" w:cs="Roboto" w:eastAsia="Roboto"/>
        </w:rPr>
        <w:pStyle w:val="P68B1DB1-Normal4"/>
        <w:bidi/>
      </w:pPr>
      <w:r>
        <w:rPr>
          <w:rtl/>
        </w:rPr>
        <w:t xml:space="preserve">Always follow your local public health advice, consider the risks in your location, and decide whether to run your club sessions in  person in consultation with the venue that hosts it.</w:t>
      </w:r>
    </w:p>
    <w:p w14:paraId="00000008">
      <w:pPr>
        <w:numPr>
          <w:ilvl w:val="0"/>
          <w:numId w:val="1"/>
        </w:numPr>
        <w:ind w:left="720" w:hanging="360"/>
        <w:jc w:val="both"/>
        <w:rPr>
          <w:rFonts w:ascii="Roboto" w:hAnsi="Roboto" w:cs="Roboto" w:eastAsia="Roboto"/>
        </w:rPr>
        <w:pStyle w:val="P68B1DB1-Normal4"/>
        <w:bidi/>
      </w:pPr>
      <w:r>
        <w:rPr>
          <w:rtl/>
        </w:rPr>
        <w:t xml:space="preserve">Regularly check for updates to your local public health advice.</w:t>
      </w:r>
    </w:p>
    <w:p w14:paraId="00000009">
      <w:pPr>
        <w:numPr>
          <w:ilvl w:val="0"/>
          <w:numId w:val="1"/>
        </w:numPr>
        <w:ind w:left="720" w:hanging="360"/>
        <w:jc w:val="both"/>
        <w:rPr>
          <w:rFonts w:ascii="Roboto" w:hAnsi="Roboto" w:cs="Roboto" w:eastAsia="Roboto"/>
        </w:rPr>
        <w:pStyle w:val="P68B1DB1-Normal4"/>
        <w:bidi/>
      </w:pPr>
      <w:r>
        <w:rPr>
          <w:rtl/>
        </w:rPr>
        <w:t xml:space="preserve">Follow our </w:t>
      </w:r>
      <w:hyperlink r:id="rId7">
        <w:r>
          <w:rPr>
            <w:b w:val="1"/>
            <w:u w:val="single"/>
            <w:rtl/>
          </w:rPr>
          <w:t xml:space="preserve">safeguarding policy</w:t>
        </w:r>
      </w:hyperlink>
      <w:r>
        <w:rPr>
          <w:rtl/>
        </w:rPr>
        <w:t xml:space="preserve">, and make sure you attend one of our ‘Best practices for online sessions’ community calls.</w:t>
      </w:r>
    </w:p>
    <w:p w14:paraId="0000000A">
      <w:pPr>
        <w:ind w:left="0" w:firstLine="0"/>
        <w:jc w:val="both"/>
        <w:rPr>
          <w:rFonts w:ascii="Roboto" w:hAnsi="Roboto" w:cs="Roboto" w:eastAsia="Roboto"/>
        </w:rPr>
        <w:bidi/>
      </w:pPr>
    </w:p>
    <w:p w14:paraId="0000000B">
      <w:pPr>
        <w:jc w:val="both"/>
        <w:rPr>
          <w:rFonts w:ascii="Roboto" w:hAnsi="Roboto" w:cs="Roboto" w:eastAsia="Roboto"/>
        </w:rPr>
        <w:bidi/>
      </w:pP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3009.6666666666665"/>
        <w:gridCol w:w="3009.6666666666665"/>
        <w:gridCol w:w="3009.6666666666665"/>
      </w:tblGrid>
      <w:tr>
        <w:trPr>
          <w:cantSplit w:val="0"/>
          <w:tblHeader w:val="0"/>
        </w:trPr>
        <w:tc>
          <w:tcPr>
            <w:shd w:fill="auto" w:val="clear"/>
            <w:tcMar>
              <w:top w:w="100.0" w:type="dxa"/>
              <w:left w:w="100.0" w:type="dxa"/>
              <w:bottom w:w="100.0" w:type="dxa"/>
              <w:right w:w="100.0" w:type="dxa"/>
            </w:tcMar>
            <w:vAlign w:val="top"/>
          </w:tcPr>
          <w:p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Roboto" w:hAnsi="Roboto" w:cs="Roboto" w:eastAsia="Roboto"/>
                <w:b w:val="1"/>
                <w:sz w:val="24"/>
                <w:szCs w:val="24"/>
              </w:rPr>
              <w:pStyle w:val="P68B1DB1-Normal5"/>
              <w:bidi/>
            </w:pPr>
            <w:r>
              <w:rPr>
                <w:rtl/>
              </w:rPr>
              <w:t xml:space="preserve">My current situation</w:t>
            </w:r>
          </w:p>
        </w:tc>
        <w:tc>
          <w:tcPr>
            <w:shd w:fill="auto" w:val="clear"/>
            <w:tcMar>
              <w:top w:w="100.0" w:type="dxa"/>
              <w:left w:w="100.0" w:type="dxa"/>
              <w:bottom w:w="100.0" w:type="dxa"/>
              <w:right w:w="100.0" w:type="dxa"/>
            </w:tcMar>
            <w:vAlign w:val="top"/>
          </w:tcPr>
          <w:p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Roboto" w:hAnsi="Roboto" w:cs="Roboto" w:eastAsia="Roboto"/>
                <w:b w:val="1"/>
                <w:sz w:val="24"/>
                <w:szCs w:val="24"/>
              </w:rPr>
              <w:pStyle w:val="P68B1DB1-Normal5"/>
              <w:bidi/>
            </w:pPr>
            <w:r>
              <w:rPr>
                <w:rtl/>
              </w:rPr>
              <w:t xml:space="preserve">Recommended activities</w:t>
            </w:r>
          </w:p>
        </w:tc>
        <w:tc>
          <w:tcPr>
            <w:shd w:fill="auto" w:val="clear"/>
            <w:tcMar>
              <w:top w:w="100.0" w:type="dxa"/>
              <w:left w:w="100.0" w:type="dxa"/>
              <w:bottom w:w="100.0" w:type="dxa"/>
              <w:right w:w="100.0" w:type="dxa"/>
            </w:tcMar>
            <w:vAlign w:val="top"/>
          </w:tcPr>
          <w:p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Roboto" w:hAnsi="Roboto" w:cs="Roboto" w:eastAsia="Roboto"/>
                <w:b w:val="1"/>
                <w:sz w:val="24"/>
                <w:szCs w:val="24"/>
              </w:rPr>
              <w:pStyle w:val="P68B1DB1-Normal5"/>
              <w:bidi/>
            </w:pPr>
            <w:r>
              <w:rPr>
                <w:rtl/>
              </w:rPr>
              <w:t xml:space="preserve">What should I do next?</w:t>
            </w:r>
          </w:p>
        </w:tc>
      </w:tr>
      <w:tr>
        <w:trPr>
          <w:cantSplit w:val="0"/>
          <w:tblHeader w:val="0"/>
        </w:trPr>
        <w:tc>
          <w:tcPr>
            <w:shd w:fill="auto" w:val="clear"/>
            <w:tcMar>
              <w:top w:w="100.0" w:type="dxa"/>
              <w:left w:w="100.0" w:type="dxa"/>
              <w:bottom w:w="100.0" w:type="dxa"/>
              <w:right w:w="100.0" w:type="dxa"/>
            </w:tcMar>
            <w:vAlign w:val="top"/>
          </w:tcPr>
          <w:p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bidi/>
            </w:pPr>
            <w:r>
              <w:rPr>
                <w:rtl/>
              </w:rPr>
              <w:t xml:space="preserve">It is </w:t>
            </w:r>
            <w:r>
              <w:rPr>
                <w:b w:val="1"/>
                <w:rtl/>
              </w:rPr>
              <w:t xml:space="preserve">not safe to run in-person club sessions</w:t>
            </w:r>
            <w:r>
              <w:rPr>
                <w:rtl/>
              </w:rPr>
              <w:t xml:space="preserve"> right now.</w:t>
            </w:r>
          </w:p>
        </w:tc>
        <w:tc>
          <w:tcPr>
            <w:shd w:fill="auto" w:val="clear"/>
            <w:tcMar>
              <w:top w:w="100.0" w:type="dxa"/>
              <w:left w:w="100.0" w:type="dxa"/>
              <w:bottom w:w="100.0" w:type="dxa"/>
              <w:right w:w="100.0" w:type="dxa"/>
            </w:tcMar>
            <w:vAlign w:val="top"/>
          </w:tcPr>
          <w:p w14:paraId="00000010">
            <w:pPr>
              <w:numPr>
                <w:ilvl w:val="0"/>
                <w:numId w:val="1"/>
              </w:numPr>
              <w:ind w:left="425.19685039370046" w:hanging="360"/>
              <w:rPr>
                <w:rFonts w:ascii="Lato" w:hAnsi="Lato" w:cs="Lato" w:eastAsia="Lato"/>
              </w:rPr>
              <w:pStyle w:val="P68B1DB1-Normal4"/>
              <w:bidi/>
            </w:pPr>
            <w:r>
              <w:rPr>
                <w:rtl/>
              </w:rPr>
              <w:t xml:space="preserve">Online sessions</w:t>
            </w:r>
          </w:p>
          <w:p w14:paraId="00000011">
            <w:pPr>
              <w:numPr>
                <w:ilvl w:val="0"/>
                <w:numId w:val="1"/>
              </w:numPr>
              <w:ind w:left="425.19685039370046" w:hanging="360"/>
              <w:rPr>
                <w:rFonts w:ascii="Lato" w:hAnsi="Lato" w:cs="Lato" w:eastAsia="Lato"/>
              </w:rPr>
              <w:pStyle w:val="P68B1DB1-Normal4"/>
              <w:bidi/>
            </w:pPr>
            <w:r>
              <w:rPr>
                <w:rtl/>
              </w:rPr>
              <w:t xml:space="preserve">Remote activities</w:t>
            </w:r>
          </w:p>
          <w:p w14:paraId="00000012">
            <w:pPr>
              <w:numPr>
                <w:ilvl w:val="0"/>
                <w:numId w:val="1"/>
              </w:numPr>
              <w:ind w:left="425.19685039370046" w:hanging="360"/>
              <w:rPr>
                <w:rFonts w:ascii="Lato" w:hAnsi="Lato" w:cs="Lato" w:eastAsia="Lato"/>
              </w:rPr>
              <w:pStyle w:val="P68B1DB1-Normal4"/>
              <w:bidi/>
            </w:pPr>
            <w:r>
              <w:rPr>
                <w:rtl/>
              </w:rPr>
              <w:t xml:space="preserve">A mixture of both</w:t>
            </w:r>
          </w:p>
        </w:tc>
        <w:tc>
          <w:tcPr>
            <w:shd w:fill="auto" w:val="clear"/>
            <w:tcMar>
              <w:top w:w="100.0" w:type="dxa"/>
              <w:left w:w="100.0" w:type="dxa"/>
              <w:bottom w:w="100.0" w:type="dxa"/>
              <w:right w:w="100.0" w:type="dxa"/>
            </w:tcMar>
            <w:vAlign w:val="top"/>
          </w:tcPr>
          <w:p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bidi/>
            </w:pPr>
            <w:r>
              <w:rPr>
                <w:rtl/>
              </w:rPr>
              <w:t xml:space="preserve">Read our guidance on how to run </w:t>
            </w:r>
            <w:hyperlink r:id="rId8">
              <w:r>
                <w:rPr>
                  <w:b w:val="1"/>
                  <w:u w:val="single"/>
                  <w:rtl/>
                </w:rPr>
                <w:t xml:space="preserve">online sessions</w:t>
              </w:r>
            </w:hyperlink>
            <w:r>
              <w:rPr>
                <w:rtl/>
              </w:rPr>
              <w:t xml:space="preserve"> and </w:t>
            </w:r>
            <w:hyperlink r:id="rId9">
              <w:r>
                <w:rPr>
                  <w:b w:val="1"/>
                  <w:u w:val="single"/>
                  <w:rtl/>
                </w:rPr>
                <w:t xml:space="preserve">remote activities</w:t>
              </w:r>
            </w:hyperlink>
            <w:r>
              <w:rPr>
                <w:rtl/>
              </w:rPr>
              <w:t>.</w:t>
            </w:r>
          </w:p>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bidi/>
            </w:pPr>
          </w:p>
          <w:p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bidi/>
            </w:pPr>
          </w:p>
        </w:tc>
      </w:tr>
      <w:tr>
        <w:trPr>
          <w:cantSplit w:val="0"/>
          <w:tblHeader w:val="0"/>
        </w:trPr>
        <w:tc>
          <w:tcPr>
            <w:shd w:fill="auto" w:val="clear"/>
            <w:tcMar>
              <w:top w:w="100.0" w:type="dxa"/>
              <w:left w:w="100.0" w:type="dxa"/>
              <w:bottom w:w="100.0" w:type="dxa"/>
              <w:right w:w="100.0" w:type="dxa"/>
            </w:tcMar>
            <w:vAlign w:val="top"/>
          </w:tcPr>
          <w:p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bidi/>
            </w:pPr>
            <w:r>
              <w:rPr>
                <w:rtl/>
              </w:rPr>
              <w:t xml:space="preserve">I am able to run </w:t>
            </w:r>
            <w:r>
              <w:rPr>
                <w:b w:val="1"/>
                <w:rtl/>
              </w:rPr>
              <w:t xml:space="preserve">in-person club sessions with safety measures</w:t>
            </w:r>
            <w:r>
              <w:rPr>
                <w:rtl/>
              </w:rPr>
              <w:t xml:space="preserve"> such as social distancing.</w:t>
            </w:r>
          </w:p>
        </w:tc>
        <w:tc>
          <w:tcPr>
            <w:shd w:fill="auto" w:val="clear"/>
            <w:tcMar>
              <w:top w:w="100.0" w:type="dxa"/>
              <w:left w:w="100.0" w:type="dxa"/>
              <w:bottom w:w="100.0" w:type="dxa"/>
              <w:right w:w="100.0" w:type="dxa"/>
            </w:tcMar>
            <w:vAlign w:val="top"/>
          </w:tcPr>
          <w:p w14:paraId="00000017">
            <w:pPr>
              <w:numPr>
                <w:ilvl w:val="0"/>
                <w:numId w:val="1"/>
              </w:numPr>
              <w:ind w:left="425.19685039370046" w:hanging="360"/>
              <w:rPr>
                <w:rFonts w:ascii="Lato" w:hAnsi="Lato" w:cs="Lato" w:eastAsia="Lato"/>
              </w:rPr>
              <w:pStyle w:val="P68B1DB1-Normal4"/>
              <w:bidi/>
            </w:pPr>
            <w:r>
              <w:rPr>
                <w:rtl/>
              </w:rPr>
              <w:t xml:space="preserve">In-person sessions respecting  local safety guidance</w:t>
            </w:r>
          </w:p>
          <w:p w14:paraId="00000018">
            <w:pPr>
              <w:numPr>
                <w:ilvl w:val="0"/>
                <w:numId w:val="1"/>
              </w:numPr>
              <w:ind w:left="425.19685039370046" w:hanging="360"/>
              <w:rPr>
                <w:rFonts w:ascii="Lato" w:hAnsi="Lato" w:cs="Lato" w:eastAsia="Lato"/>
              </w:rPr>
              <w:pStyle w:val="P68B1DB1-Normal4"/>
              <w:bidi/>
            </w:pPr>
            <w:r>
              <w:rPr>
                <w:rtl/>
              </w:rPr>
              <w:t xml:space="preserve">Online sessions</w:t>
            </w:r>
          </w:p>
          <w:p w14:paraId="00000019">
            <w:pPr>
              <w:numPr>
                <w:ilvl w:val="0"/>
                <w:numId w:val="1"/>
              </w:numPr>
              <w:ind w:left="425.19685039370046" w:hanging="360"/>
              <w:rPr>
                <w:rFonts w:ascii="Lato" w:hAnsi="Lato" w:cs="Lato" w:eastAsia="Lato"/>
              </w:rPr>
              <w:pStyle w:val="P68B1DB1-Normal4"/>
              <w:bidi/>
            </w:pPr>
            <w:r>
              <w:rPr>
                <w:rtl/>
              </w:rPr>
              <w:t xml:space="preserve">Remote activities</w:t>
            </w:r>
          </w:p>
          <w:p w14:paraId="0000001A">
            <w:pPr>
              <w:numPr>
                <w:ilvl w:val="0"/>
                <w:numId w:val="1"/>
              </w:numPr>
              <w:ind w:left="425.19685039370046" w:hanging="360"/>
              <w:rPr>
                <w:rFonts w:ascii="Lato" w:hAnsi="Lato" w:cs="Lato" w:eastAsia="Lato"/>
              </w:rPr>
              <w:pStyle w:val="P68B1DB1-Normal4"/>
              <w:bidi/>
            </w:pPr>
            <w:r>
              <w:rPr>
                <w:rtl/>
              </w:rPr>
              <w:t xml:space="preserve">A mixture of two or more of  the above</w:t>
            </w:r>
          </w:p>
        </w:tc>
        <w:tc>
          <w:tcPr>
            <w:shd w:fill="auto" w:val="clear"/>
            <w:tcMar>
              <w:top w:w="100.0" w:type="dxa"/>
              <w:left w:w="100.0" w:type="dxa"/>
              <w:bottom w:w="100.0" w:type="dxa"/>
              <w:right w:w="100.0" w:type="dxa"/>
            </w:tcMar>
            <w:vAlign w:val="top"/>
          </w:tcPr>
          <w:p w14:paraId="0000001B">
            <w:pPr>
              <w:widowControl w:val="0"/>
              <w:spacing w:line="240" w:lineRule="auto"/>
              <w:rPr>
                <w:rFonts w:ascii="Roboto" w:hAnsi="Roboto" w:cs="Roboto" w:eastAsia="Roboto"/>
              </w:rPr>
              <w:pStyle w:val="P68B1DB1-Normal4"/>
              <w:bidi/>
            </w:pPr>
            <w:r>
              <w:rPr>
                <w:rtl/>
              </w:rPr>
              <w:t xml:space="preserve">Read our guidance on how to run </w:t>
            </w:r>
            <w:hyperlink r:id="rId10">
              <w:r>
                <w:rPr>
                  <w:b w:val="1"/>
                  <w:u w:val="single"/>
                  <w:rtl/>
                </w:rPr>
                <w:t xml:space="preserve">online sessions</w:t>
              </w:r>
            </w:hyperlink>
            <w:r>
              <w:rPr>
                <w:rtl/>
              </w:rPr>
              <w:t xml:space="preserve"> and </w:t>
            </w:r>
            <w:hyperlink r:id="rId11">
              <w:r>
                <w:rPr>
                  <w:b w:val="1"/>
                  <w:u w:val="single"/>
                  <w:rtl/>
                </w:rPr>
                <w:t xml:space="preserve">remote activities</w:t>
              </w:r>
            </w:hyperlink>
            <w:r>
              <w:rPr>
                <w:rtl/>
              </w:rPr>
              <w:t>.</w:t>
            </w:r>
          </w:p>
          <w:p w14:paraId="0000001C">
            <w:pPr>
              <w:widowControl w:val="0"/>
              <w:spacing w:line="240" w:lineRule="auto"/>
              <w:rPr>
                <w:rFonts w:ascii="Roboto" w:hAnsi="Roboto" w:cs="Roboto" w:eastAsia="Roboto"/>
              </w:rPr>
              <w:bidi/>
            </w:pPr>
          </w:p>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bidi/>
            </w:pPr>
            <w:r>
              <w:rPr>
                <w:rtl/>
              </w:rPr>
              <w:t xml:space="preserve">For in-person sessions: </w:t>
            </w:r>
          </w:p>
          <w:p w14:paraId="0000001E">
            <w:pPr>
              <w:widowControl w:val="0"/>
              <w:numPr>
                <w:ilvl w:val="0"/>
                <w:numId w:val="1"/>
              </w:numPr>
              <w:spacing w:line="240" w:lineRule="auto"/>
              <w:ind w:left="425.1968503937013" w:hanging="360"/>
              <w:rPr>
                <w:rFonts w:ascii="Lato" w:hAnsi="Lato" w:cs="Lato" w:eastAsia="Lato"/>
              </w:rPr>
              <w:pStyle w:val="P68B1DB1-Normal4"/>
              <w:bidi/>
            </w:pPr>
            <w:r>
              <w:rPr>
                <w:rtl/>
              </w:rPr>
              <w:t xml:space="preserve">Plan your sessions in line with the safety guidelines of your local authorities  and host venue to make sure you are prepared.</w:t>
            </w:r>
          </w:p>
          <w:p w14:paraId="0000001F">
            <w:pPr>
              <w:widowControl w:val="0"/>
              <w:numPr>
                <w:ilvl w:val="0"/>
                <w:numId w:val="1"/>
              </w:numPr>
              <w:spacing w:line="240" w:lineRule="auto"/>
              <w:ind w:left="425.1968503937013" w:hanging="360"/>
              <w:rPr>
                <w:rFonts w:ascii="Lato" w:hAnsi="Lato" w:cs="Lato" w:eastAsia="Lato"/>
              </w:rPr>
              <w:pStyle w:val="P68B1DB1-Normal4"/>
              <w:bidi/>
            </w:pPr>
            <w:r>
              <w:rPr>
                <w:rtl/>
              </w:rPr>
              <w:t xml:space="preserve">Ensure equal opportunities for young people and adults at increased risk from  coronavirus and offer them safe activities, or alternatives to meeting in person.</w:t>
            </w:r>
          </w:p>
          <w:p w14:paraId="00000020">
            <w:pPr>
              <w:widowControl w:val="0"/>
              <w:numPr>
                <w:ilvl w:val="0"/>
                <w:numId w:val="1"/>
              </w:numPr>
              <w:spacing w:line="240" w:lineRule="auto"/>
              <w:ind w:left="425.1968503937013" w:hanging="360"/>
              <w:rPr>
                <w:rFonts w:ascii="Roboto" w:hAnsi="Roboto" w:cs="Roboto" w:eastAsia="Roboto"/>
                <w:u w:val="none"/>
              </w:rPr>
              <w:pStyle w:val="P68B1DB1-Normal4"/>
              <w:bidi/>
            </w:pPr>
            <w:r>
              <w:rPr>
                <w:rtl/>
              </w:rPr>
              <w:t xml:space="preserve">In case safety guidelines in your local area change, prepare by training all your  participants to use the tools needed to access your online sessions or  participate in remote activities.</w:t>
            </w:r>
          </w:p>
        </w:tc>
      </w:tr>
      <w:tr>
        <w:trPr>
          <w:cantSplit w:val="0"/>
          <w:tblHeader w:val="0"/>
        </w:trPr>
        <w:tc>
          <w:tcPr>
            <w:shd w:fill="auto" w:val="clear"/>
            <w:tcMar>
              <w:top w:w="100.0" w:type="dxa"/>
              <w:left w:w="100.0" w:type="dxa"/>
              <w:bottom w:w="100.0" w:type="dxa"/>
              <w:right w:w="100.0" w:type="dxa"/>
            </w:tcMar>
            <w:vAlign w:val="top"/>
          </w:tcPr>
          <w:p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b w:val="1"/>
              </w:rPr>
              <w:pStyle w:val="P68B1DB1-Normal4"/>
              <w:bidi/>
            </w:pPr>
            <w:r>
              <w:rPr>
                <w:rtl/>
              </w:rPr>
              <w:t xml:space="preserve">I am able to </w:t>
            </w:r>
            <w:r>
              <w:rPr>
                <w:b w:val="1"/>
                <w:rtl/>
              </w:rPr>
              <w:t xml:space="preserve">run in-person club sessions with no safety measures.</w:t>
            </w:r>
          </w:p>
        </w:tc>
        <w:tc>
          <w:tcPr>
            <w:shd w:fill="auto" w:val="clear"/>
            <w:tcMar>
              <w:top w:w="100.0" w:type="dxa"/>
              <w:left w:w="100.0" w:type="dxa"/>
              <w:bottom w:w="100.0" w:type="dxa"/>
              <w:right w:w="100.0" w:type="dxa"/>
            </w:tcMar>
            <w:vAlign w:val="top"/>
          </w:tcPr>
          <w:p w14:paraId="00000022">
            <w:pPr>
              <w:numPr>
                <w:ilvl w:val="0"/>
                <w:numId w:val="1"/>
              </w:numPr>
              <w:ind w:left="425.19685039370046" w:hanging="360"/>
              <w:rPr>
                <w:rFonts w:ascii="Lato" w:hAnsi="Lato" w:cs="Lato" w:eastAsia="Lato"/>
              </w:rPr>
              <w:pStyle w:val="P68B1DB1-Normal4"/>
              <w:bidi/>
            </w:pPr>
            <w:r>
              <w:rPr>
                <w:rtl/>
              </w:rPr>
              <w:t xml:space="preserve">In-person sessions</w:t>
            </w:r>
          </w:p>
          <w:p w14:paraId="00000023">
            <w:pPr>
              <w:numPr>
                <w:ilvl w:val="0"/>
                <w:numId w:val="1"/>
              </w:numPr>
              <w:ind w:left="425.19685039370046" w:hanging="360"/>
              <w:rPr>
                <w:rFonts w:ascii="Lato" w:hAnsi="Lato" w:cs="Lato" w:eastAsia="Lato"/>
              </w:rPr>
              <w:pStyle w:val="P68B1DB1-Normal4"/>
              <w:bidi/>
            </w:pPr>
            <w:r>
              <w:rPr>
                <w:rtl/>
              </w:rPr>
              <w:t xml:space="preserve">A mixture of in-person sessions,  online sessions, and remote  activities</w:t>
            </w:r>
          </w:p>
        </w:tc>
        <w:tc>
          <w:tcPr>
            <w:shd w:fill="auto" w:val="clear"/>
            <w:tcMar>
              <w:top w:w="100.0" w:type="dxa"/>
              <w:left w:w="100.0" w:type="dxa"/>
              <w:bottom w:w="100.0" w:type="dxa"/>
              <w:right w:w="100.0" w:type="dxa"/>
            </w:tcMar>
            <w:vAlign w:val="top"/>
          </w:tcPr>
          <w:p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bidi/>
            </w:pPr>
            <w:r>
              <w:rPr>
                <w:rtl/>
              </w:rPr>
              <w:t xml:space="preserve">Ensure equal opportunities for young people and adults at increased risk from coronavirus and offer them safe activities, or alternatives to meeting in person.</w:t>
            </w:r>
          </w:p>
          <w:p w14:paraId="00000025">
            <w:pPr>
              <w:widowControl w:val="0"/>
              <w:spacing w:line="240" w:lineRule="auto"/>
              <w:rPr>
                <w:rFonts w:ascii="Roboto" w:hAnsi="Roboto" w:cs="Roboto" w:eastAsia="Roboto"/>
              </w:rPr>
              <w:pStyle w:val="P68B1DB1-Normal4"/>
              <w:bidi/>
            </w:pPr>
            <w:r>
              <w:rPr>
                <w:rtl/>
              </w:rPr>
              <w:t xml:space="preserve">Read our guidance on how to run </w:t>
            </w:r>
            <w:hyperlink r:id="rId12">
              <w:r>
                <w:rPr>
                  <w:b w:val="1"/>
                  <w:u w:val="single"/>
                  <w:rtl/>
                </w:rPr>
                <w:t xml:space="preserve">online sessions</w:t>
              </w:r>
            </w:hyperlink>
            <w:r>
              <w:rPr>
                <w:rtl/>
              </w:rPr>
              <w:t xml:space="preserve"> and </w:t>
            </w:r>
            <w:hyperlink r:id="rId13">
              <w:r>
                <w:rPr>
                  <w:b w:val="1"/>
                  <w:u w:val="single"/>
                  <w:rtl/>
                </w:rPr>
                <w:t xml:space="preserve">remote activities</w:t>
              </w:r>
            </w:hyperlink>
            <w:r>
              <w:rPr>
                <w:rtl/>
              </w:rPr>
              <w:t>.</w:t>
            </w:r>
          </w:p>
        </w:tc>
      </w:tr>
    </w:tbl>
    <w:p w14:paraId="00000026">
      <w:pPr>
        <w:jc w:val="both"/>
        <w:rPr>
          <w:rFonts w:ascii="Roboto" w:hAnsi="Roboto" w:cs="Roboto" w:eastAsia="Roboto"/>
        </w:rPr>
        <w:bidi/>
      </w:pPr>
    </w:p>
    <w:p w14:paraId="00000027">
      <w:pPr>
        <w:ind w:left="0" w:firstLine="0"/>
        <w:jc w:val="both"/>
        <w:rPr>
          <w:rFonts w:ascii="Lato" w:hAnsi="Lato" w:cs="Lato" w:eastAsia="Lato"/>
        </w:rPr>
        <w:bidi/>
      </w:pPr>
    </w:p>
    <w:p w14:paraId="00000028">
      <w:pPr>
        <w:ind w:left="1440" w:firstLine="0"/>
        <w:jc w:val="both"/>
        <w:rPr>
          <w:rFonts w:ascii="Lato" w:hAnsi="Lato" w:cs="Lato" w:eastAsia="Lato"/>
        </w:rPr>
        <w:bidi/>
      </w:pPr>
    </w:p>
    <w:p w14:paraId="00000029">
      <w:pPr>
        <w:jc w:val="both"/>
        <w:rPr>
          <w:rFonts w:ascii="Lato" w:hAnsi="Lato" w:cs="Lato" w:eastAsia="Lato"/>
        </w:rPr>
        <w:bidi/>
      </w:pPr>
    </w:p>
    <w:p w14:paraId="0000002A">
      <w:pPr>
        <w:jc w:val="both"/>
        <w:rPr>
          <w:rFonts w:ascii="Lato" w:hAnsi="Lato" w:cs="Lato" w:eastAsia="Lato"/>
        </w:rPr>
        <w:pStyle w:val="P68B1DB1-Normal6"/>
        <w:bidi/>
      </w:pPr>
      <w:r>
        <w:drawing>
          <wp:anchor allowOverlap="1" behindDoc="1" distB="114300" distT="114300" distL="114300" distR="114300" hidden="0" layoutInCell="1" locked="0" relativeHeight="0" simplePos="0">
            <wp:simplePos x="0" y="0"/>
            <wp:positionH relativeFrom="page">
              <wp:posOffset>9525</wp:posOffset>
            </wp:positionH>
            <wp:positionV relativeFrom="page">
              <wp:posOffset>9872663</wp:posOffset>
            </wp:positionV>
            <wp:extent cx="7553768" cy="853249"/>
            <wp:effectExtent b="0" l="0" r="0" t="0"/>
            <wp:wrapNone/>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553768" cy="853249"/>
                    </a:xfrm>
                    <a:prstGeom prst="rect"/>
                    <a:ln/>
                  </pic:spPr>
                </pic:pic>
              </a:graphicData>
            </a:graphic>
          </wp:anchor>
        </w:drawing>
      </w:r>
    </w:p>
    <w:p w14:paraId="0000002B">
      <w:pPr>
        <w:bidi/>
      </w:pPr>
    </w:p>
    <w:p w14:paraId="0000002C">
      <w:pPr>
        <w:bidi/>
      </w:pPr>
    </w:p>
    <w:p w14:paraId="0000002D">
      <w:pPr>
        <w:bidi/>
      </w:pPr>
    </w:p>
    <w:p w14:paraId="0000002E">
      <w:pPr>
        <w:bidi/>
      </w:pPr>
    </w:p>
    <w:p w14:paraId="0000002F">
      <w:pPr>
        <w:bidi/>
      </w:pPr>
    </w:p>
    <w:p w14:paraId="00000030">
      <w:pPr>
        <w:bidi/>
      </w:pPr>
    </w:p>
    <w:p w14:paraId="00000031">
      <w:pPr>
        <w:bidi/>
      </w:pPr>
    </w:p>
    <w:p w14:paraId="00000032">
      <w:pPr>
        <w:bidi/>
      </w:pPr>
    </w:p>
    <w:p w14:paraId="00000033">
      <w:pPr>
        <w:bidi/>
      </w:pPr>
    </w:p>
    <w:p w14:paraId="00000034">
      <w:pPr>
        <w:bidi/>
      </w:pPr>
    </w:p>
    <w:p w14:paraId="00000035">
      <w:pPr>
        <w:bidi/>
      </w:pPr>
    </w:p>
    <w:p w14:paraId="00000036">
      <w:pPr>
        <w:bidi/>
      </w:pPr>
    </w:p>
    <w:p w14:paraId="00000037">
      <w:pPr>
        <w:bidi/>
      </w:pPr>
    </w:p>
    <w:p w14:paraId="00000038">
      <w:pPr>
        <w:bidi/>
      </w:pPr>
    </w:p>
    <w:p w14:paraId="00000039">
      <w:pPr>
        <w:bidi/>
      </w:pPr>
    </w:p>
    <w:p w14:paraId="0000003A">
      <w:pPr>
        <w:bidi/>
      </w:pPr>
    </w:p>
    <w:p w14:paraId="0000003B">
      <w:pPr>
        <w:bidi/>
      </w:pPr>
    </w:p>
    <w:p w14:paraId="0000003C">
      <w:pPr>
        <w:bidi/>
      </w:pPr>
    </w:p>
    <w:p w14:paraId="0000003D">
      <w:pPr>
        <w:bidi/>
      </w:pPr>
    </w:p>
    <w:p w14:paraId="0000003E">
      <w:pPr>
        <w:bidi/>
      </w:pPr>
    </w:p>
    <w:p w14:paraId="0000003F">
      <w:pPr>
        <w:jc w:val="center"/>
        <w:rPr>
          <w:sz w:val="15"/>
          <w:szCs w:val="15"/>
        </w:rPr>
        <w:pStyle w:val="P68B1DB1-Normal7"/>
        <w:bidi/>
      </w:pPr>
      <w:r>
        <w:rPr>
          <w:rtl/>
        </w:rPr>
        <w:t xml:space="preserve">Code Club and CoderDojo are part of the Raspberry Pi Foundation, UK registered charity 1129409 </w:t>
      </w:r>
    </w:p>
    <w:p w14:paraId="00000040">
      <w:pPr>
        <w:jc w:val="center"/>
        <w:rPr>
          <w:sz w:val="15"/>
          <w:szCs w:val="15"/>
        </w:rPr>
        <w:pStyle w:val="P68B1DB1-Normal8"/>
        <w:bidi/>
      </w:pPr>
      <w:hyperlink r:id="rId15">
        <w:r>
          <w:rPr>
            <w:rtl/>
          </w:rPr>
          <w:t>www.raspberrypi.org</w:t>
        </w:r>
      </w:hyperlink>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a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c2556"/>
        <w:u w:val="none"/>
      </w:rPr>
    </w:lvl>
    <w:lvl w:ilvl="1">
      <w:start w:val="1"/>
      <w:numFmt w:val="bullet"/>
      <w:lvlText w:val="○"/>
      <w:lvlJc w:val="left"/>
      <w:pPr>
        <w:ind w:left="1440" w:hanging="360"/>
      </w:pPr>
      <w:rPr>
        <w:color w:val="cc255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rFonts w:ascii="Roboto Black" w:hAnsi="Roboto Black" w:cs="Roboto Black" w:eastAsia="Roboto Black"/>
      <w:sz w:val="28"/>
      <w:szCs w:val="28"/>
    </w:rPr>
  </w:style>
  <w:style w:type="paragraph" w:styleId="P68B1DB1-Heading22">
    <w:name w:val="P68B1DB1-Heading22"/>
    <w:basedOn w:val="Heading2"/>
    <w:rPr>
      <w:rFonts w:ascii="Roboto" w:hAnsi="Roboto" w:cs="Roboto" w:eastAsia="Roboto"/>
      <w:sz w:val="22"/>
      <w:szCs w:val="22"/>
    </w:rPr>
  </w:style>
  <w:style w:type="paragraph" w:styleId="P68B1DB1-Heading23">
    <w:name w:val="P68B1DB1-Heading23"/>
    <w:basedOn w:val="Heading2"/>
    <w:rPr>
      <w:rFonts w:ascii="Roboto" w:hAnsi="Roboto" w:cs="Roboto" w:eastAsia="Roboto"/>
      <w:b w:val="1"/>
      <w:sz w:val="24"/>
      <w:szCs w:val="24"/>
    </w:rPr>
  </w:style>
  <w:style w:type="paragraph" w:styleId="P68B1DB1-Normal4">
    <w:name w:val="P68B1DB1-Normal4"/>
    <w:basedOn w:val="Normal"/>
    <w:rPr>
      <w:rFonts w:ascii="Roboto" w:hAnsi="Roboto" w:cs="Roboto" w:eastAsia="Roboto"/>
    </w:rPr>
  </w:style>
  <w:style w:type="paragraph" w:styleId="P68B1DB1-Normal5">
    <w:name w:val="P68B1DB1-Normal5"/>
    <w:basedOn w:val="Normal"/>
    <w:rPr>
      <w:rFonts w:ascii="Roboto" w:hAnsi="Roboto" w:cs="Roboto" w:eastAsia="Roboto"/>
      <w:b w:val="1"/>
      <w:sz w:val="24"/>
      <w:szCs w:val="24"/>
    </w:rPr>
  </w:style>
  <w:style w:type="paragraph" w:styleId="P68B1DB1-Normal6">
    <w:name w:val="P68B1DB1-Normal6"/>
    <w:basedOn w:val="Normal"/>
    <w:rPr>
      <w:rFonts w:ascii="Lato" w:hAnsi="Lato" w:cs="Lato" w:eastAsia="Lato"/>
    </w:rPr>
  </w:style>
  <w:style w:type="paragraph" w:styleId="P68B1DB1-Normal7">
    <w:name w:val="P68B1DB1-Normal7"/>
    <w:basedOn w:val="Normal"/>
    <w:rPr>
      <w:sz w:val="15"/>
      <w:szCs w:val="15"/>
    </w:rPr>
  </w:style>
  <w:style w:type="paragraph" w:styleId="P68B1DB1-Normal8">
    <w:name w:val="P68B1DB1-Normal8"/>
    <w:basedOn w:val="Normal"/>
    <w:rPr>
      <w:sz w:val="15"/>
      <w:szCs w:val="15"/>
      <w:u w:val="single"/>
    </w:rPr>
  </w:style>
</w:styles>
</file>

<file path=word/_rels/document.xml.rels><?xml version="1.0" encoding="UTF-8" standalone="yes"?><Relationships xmlns="http://schemas.openxmlformats.org/package/2006/relationships"><Relationship Id="rId11" Type="http://schemas.openxmlformats.org/officeDocument/2006/relationships/hyperlink" Target="http://rpf.io/virtual-club-guidance" TargetMode="External"/><Relationship Id="rId10" Type="http://schemas.openxmlformats.org/officeDocument/2006/relationships/hyperlink" Target="https://rpf.io/online-club-guidance" TargetMode="External"/><Relationship Id="rId13" Type="http://schemas.openxmlformats.org/officeDocument/2006/relationships/hyperlink" Target="http://rpf.io/virtual-club-guidance" TargetMode="External"/><Relationship Id="rId12" Type="http://schemas.openxmlformats.org/officeDocument/2006/relationships/hyperlink" Target="https://rpf.io/online-club-guid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pf.io/virtual-club-guidance" TargetMode="External"/><Relationship Id="rId15" Type="http://schemas.openxmlformats.org/officeDocument/2006/relationships/hyperlink" Target="http://www.raspberrypi.org"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aspberrypi.org/safeguarding/" TargetMode="External"/><Relationship Id="rId8" Type="http://schemas.openxmlformats.org/officeDocument/2006/relationships/hyperlink" Target="https://rpf.io/online-club-guid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Lato-boldItalic.ttf"/><Relationship Id="rId9" Type="http://schemas.openxmlformats.org/officeDocument/2006/relationships/font" Target="fonts/Lat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Lato-regular.ttf"/><Relationship Id="rId8" Type="http://schemas.openxmlformats.org/officeDocument/2006/relationships/font" Target="fonts/La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