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jc w:val="center"/>
        <w:rPr>
          <w:rFonts w:ascii="Roboto Black" w:hAnsi="Roboto Black" w:cs="Roboto Black" w:eastAsia="Roboto Black"/>
          <w:sz w:val="28"/>
          <w:szCs w:val="28"/>
        </w:rPr>
        <w:pStyle w:val="P68B1DB1-Normal1"/>
      </w:pPr>
      <w: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2245922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245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>
        <w:t xml:space="preserve">Jak bezpečně provozovat svůj kódovací klub</w:t>
      </w:r>
    </w:p>
    <w:p w14:paraId="00000002">
      <w:pPr>
        <w:jc w:val="both"/>
        <w:rPr>
          <w:rFonts w:ascii="Lato" w:hAnsi="Lato" w:cs="Lato" w:eastAsia="Lato"/>
        </w:rPr>
      </w:pPr>
    </w:p>
    <w:p w14:paraId="00000003">
      <w:pPr>
        <w:pStyle w:val="P68B1DB1-Heading22"/>
        <w:spacing w:after="0" w:before="0" w:lineRule="auto"/>
        <w:rPr>
          <w:rFonts w:ascii="Roboto" w:hAnsi="Roboto" w:cs="Roboto" w:eastAsia="Roboto"/>
          <w:sz w:val="22"/>
          <w:szCs w:val="22"/>
        </w:rPr>
      </w:pPr>
      <w:bookmarkStart w:colFirst="0" w:colLast="0" w:name="_is0xd1i2yu28" w:id="0"/>
      <w:bookmarkEnd w:id="0"/>
      <w:r>
        <w:t xml:space="preserve">Tato tabulka vám pomůže identifikovat možnosti vedení vašeho klubu, pokud je vaše komunita stále ohrožena šířením koronaviru</w:t>
      </w:r>
    </w:p>
    <w:p w14:paraId="00000004"/>
    <w:p w14:paraId="00000005">
      <w:pPr>
        <w:pStyle w:val="P68B1DB1-Heading23"/>
        <w:spacing w:after="0" w:before="0" w:lineRule="auto"/>
        <w:jc w:val="both"/>
        <w:rPr>
          <w:rFonts w:ascii="Roboto" w:hAnsi="Roboto" w:cs="Roboto" w:eastAsia="Roboto"/>
          <w:b w:val="1"/>
          <w:sz w:val="24"/>
          <w:szCs w:val="24"/>
        </w:rPr>
      </w:pPr>
      <w:bookmarkStart w:colFirst="0" w:colLast="0" w:name="_216to2crjpq2" w:id="1"/>
      <w:bookmarkEnd w:id="1"/>
      <w:r>
        <w:t xml:space="preserve">Měli byste:</w:t>
      </w:r>
    </w:p>
    <w:p w14:paraId="00000006">
      <w:pPr>
        <w:jc w:val="both"/>
        <w:rPr>
          <w:rFonts w:ascii="Roboto" w:hAnsi="Roboto" w:cs="Roboto" w:eastAsia="Roboto"/>
        </w:rPr>
      </w:pPr>
    </w:p>
    <w:p w14:paraId="00000007">
      <w:pPr>
        <w:numPr>
          <w:ilvl w:val="0"/>
          <w:numId w:val="1"/>
        </w:numPr>
        <w:ind w:left="720" w:hanging="360"/>
        <w:jc w:val="both"/>
        <w:rPr>
          <w:rFonts w:ascii="Roboto" w:hAnsi="Roboto" w:cs="Roboto" w:eastAsia="Roboto"/>
        </w:rPr>
        <w:pStyle w:val="P68B1DB1-Normal4"/>
      </w:pPr>
      <w:r>
        <w:t xml:space="preserve">Vždy se řiďte místními doporučeními v oblasti veřejného zdraví, zvažte rizika ve vaší lokalitě a rozhodněte se, zda pořádat sezení v klubu osobně po konzultaci s místem konání.</w:t>
      </w:r>
    </w:p>
    <w:p w14:paraId="00000008">
      <w:pPr>
        <w:numPr>
          <w:ilvl w:val="0"/>
          <w:numId w:val="1"/>
        </w:numPr>
        <w:ind w:left="720" w:hanging="360"/>
        <w:jc w:val="both"/>
        <w:rPr>
          <w:rFonts w:ascii="Roboto" w:hAnsi="Roboto" w:cs="Roboto" w:eastAsia="Roboto"/>
        </w:rPr>
        <w:pStyle w:val="P68B1DB1-Normal4"/>
      </w:pPr>
      <w:r>
        <w:t xml:space="preserve">Pravidelně kontrolujte aktualizace doporučení místních zdravotnických institucí.</w:t>
      </w:r>
    </w:p>
    <w:p w14:paraId="00000009">
      <w:pPr>
        <w:numPr>
          <w:ilvl w:val="0"/>
          <w:numId w:val="1"/>
        </w:numPr>
        <w:ind w:left="720" w:hanging="360"/>
        <w:jc w:val="both"/>
        <w:rPr>
          <w:rFonts w:ascii="Roboto" w:hAnsi="Roboto" w:cs="Roboto" w:eastAsia="Roboto"/>
        </w:rPr>
        <w:pStyle w:val="P68B1DB1-Normal4"/>
      </w:pPr>
      <w:r>
        <w:t xml:space="preserve">Dodržujte naše </w:t>
      </w:r>
      <w:hyperlink r:id="rId7">
        <w:r>
          <w:rPr>
            <w:b w:val="1"/>
            <w:u w:val="single"/>
          </w:rPr>
          <w:t xml:space="preserve">zásady ochrany </w:t>
        </w:r>
      </w:hyperlink>
      <w:r>
        <w:t xml:space="preserve">a ujistěte se, že se zúčastníte jednoho z našich komunitních hovorů „Osvědčených postupů pro online hodiny“.</w:t>
      </w:r>
    </w:p>
    <w:p w14:paraId="0000000A">
      <w:pPr>
        <w:ind w:left="0" w:firstLine="0"/>
        <w:jc w:val="both"/>
        <w:rPr>
          <w:rFonts w:ascii="Roboto" w:hAnsi="Roboto" w:cs="Roboto" w:eastAsia="Roboto"/>
        </w:rPr>
      </w:pPr>
    </w:p>
    <w:p w14:paraId="0000000B">
      <w:pPr>
        <w:jc w:val="both"/>
        <w:rPr>
          <w:rFonts w:ascii="Roboto" w:hAnsi="Roboto" w:cs="Roboto" w:eastAsia="Roboto"/>
        </w:rPr>
      </w:pP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Roboto" w:hAnsi="Roboto" w:cs="Roboto" w:eastAsia="Roboto"/>
                <w:b w:val="1"/>
                <w:sz w:val="24"/>
                <w:szCs w:val="24"/>
              </w:rPr>
              <w:pStyle w:val="P68B1DB1-Normal5"/>
            </w:pPr>
            <w:r>
              <w:t xml:space="preserve">Moje aktuální situace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Roboto" w:hAnsi="Roboto" w:cs="Roboto" w:eastAsia="Roboto"/>
                <w:b w:val="1"/>
                <w:sz w:val="24"/>
                <w:szCs w:val="24"/>
              </w:rPr>
              <w:pStyle w:val="P68B1DB1-Normal5"/>
            </w:pPr>
            <w:r>
              <w:t xml:space="preserve">Doporučené aktivity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Roboto" w:hAnsi="Roboto" w:cs="Roboto" w:eastAsia="Roboto"/>
                <w:b w:val="1"/>
                <w:sz w:val="24"/>
                <w:szCs w:val="24"/>
              </w:rPr>
              <w:pStyle w:val="P68B1DB1-Normal5"/>
            </w:pPr>
            <w:r>
              <w:t xml:space="preserve">Co mám dělat dál?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Právě teď </w:t>
            </w:r>
            <w:r>
              <w:rPr>
                <w:b w:val="1"/>
              </w:rPr>
              <w:t xml:space="preserve">není bezpečné provozovat osobní hodiny klubu</w:t>
            </w:r>
            <w:r>
              <w:t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0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Online hodiny</w:t>
            </w:r>
          </w:p>
          <w:p w14:paraId="00000011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Vzdálené aktivity</w:t>
            </w:r>
          </w:p>
          <w:p w14:paraId="00000012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Kombinace výše uvedeného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Přečtěte si naše pokyny, jak provozovat </w:t>
            </w:r>
            <w:hyperlink r:id="rId8">
              <w:r>
                <w:rPr>
                  <w:b w:val="1"/>
                  <w:u w:val="single"/>
                </w:rPr>
                <w:t xml:space="preserve">online hodiny</w:t>
              </w:r>
            </w:hyperlink>
            <w:r>
              <w:t xml:space="preserve"> a </w:t>
            </w:r>
            <w:hyperlink r:id="rId9">
              <w:r>
                <w:rPr>
                  <w:b w:val="1"/>
                  <w:u w:val="single"/>
                </w:rPr>
                <w:t xml:space="preserve">vzdálené aktivity</w:t>
              </w:r>
            </w:hyperlink>
            <w:r>
              <w:t>.</w:t>
            </w: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</w:pP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Jsem schopen vést </w:t>
            </w:r>
            <w:r>
              <w:rPr>
                <w:b w:val="1"/>
              </w:rPr>
              <w:t xml:space="preserve">osobní klubové hodiny s bezpečnostními opatřeními</w:t>
            </w:r>
            <w:r>
              <w:t xml:space="preserve">, jako je dodržování rozestupů.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Osobní hodiny respektující místní bezpečnostní pokyny</w:t>
            </w:r>
          </w:p>
          <w:p w14:paraId="00000018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Online hodiny</w:t>
            </w:r>
          </w:p>
          <w:p w14:paraId="00000019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Vzdálené aktivity</w:t>
            </w:r>
          </w:p>
          <w:p w14:paraId="0000001A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Kombinace dvou nebo více výše uvedených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B">
            <w:pPr>
              <w:widowControl w:val="0"/>
              <w:spacing w:line="240" w:lineRule="auto"/>
              <w:rPr>
                <w:rFonts w:ascii="Roboto" w:hAnsi="Roboto" w:cs="Roboto" w:eastAsia="Roboto"/>
              </w:rPr>
              <w:pStyle w:val="P68B1DB1-Normal4"/>
            </w:pPr>
            <w:r>
              <w:t xml:space="preserve">Přečtěte si naše pokyny, jak provozovat </w:t>
            </w:r>
            <w:hyperlink r:id="rId10">
              <w:r>
                <w:rPr>
                  <w:b w:val="1"/>
                  <w:u w:val="single"/>
                </w:rPr>
                <w:t xml:space="preserve">online hodiny</w:t>
              </w:r>
            </w:hyperlink>
            <w:r>
              <w:t xml:space="preserve"> a </w:t>
            </w:r>
            <w:hyperlink r:id="rId11">
              <w:r>
                <w:rPr>
                  <w:b w:val="1"/>
                  <w:u w:val="single"/>
                </w:rPr>
                <w:t xml:space="preserve">vzdálené aktivity</w:t>
              </w:r>
            </w:hyperlink>
            <w:r>
              <w:t>.</w:t>
            </w:r>
          </w:p>
          <w:p w14:paraId="0000001C">
            <w:pPr>
              <w:widowControl w:val="0"/>
              <w:spacing w:line="240" w:lineRule="auto"/>
              <w:rPr>
                <w:rFonts w:ascii="Roboto" w:hAnsi="Roboto" w:cs="Roboto" w:eastAsia="Roboto"/>
              </w:rPr>
            </w:pPr>
          </w:p>
          <w:p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Pro osobní hodiny: </w:t>
            </w:r>
          </w:p>
          <w:p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Naplánujte si sezení v souladu s bezpečnostními pokyny místních úřadů a místa konání, abyste se ujistili, že jste připraveni.</w:t>
            </w:r>
          </w:p>
          <w:p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Zajistěte rovné příležitosti pro mladé lidi a dospělé při zvýšeném riziku koronaviru, a nabídněte jim bezpečné aktivity nebo alternativy k osobnímu setkání.</w:t>
            </w:r>
          </w:p>
          <w:p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rFonts w:ascii="Roboto" w:hAnsi="Roboto" w:cs="Roboto" w:eastAsia="Roboto"/>
                <w:u w:val="none"/>
              </w:rPr>
              <w:pStyle w:val="P68B1DB1-Normal4"/>
            </w:pPr>
            <w:r>
              <w:t xml:space="preserve">V případě, že se bezpečnostní pokyny ve vaší oblasti změní, připravte se školením všech účastníků v používání nástrojů potřebných pro přístup k vašim online hodinám nebo k účasti na vzdálených aktivitách.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  <w:b w:val="1"/>
              </w:rPr>
              <w:pStyle w:val="P68B1DB1-Normal4"/>
            </w:pPr>
            <w:r>
              <w:t xml:space="preserve">Jsem schopen </w:t>
            </w:r>
            <w:r>
              <w:rPr>
                <w:b w:val="1"/>
              </w:rPr>
              <w:t xml:space="preserve">vést osobní klubová sezení bez jakýchkoli bezpečnostních opatření.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Osobní hodiny</w:t>
            </w:r>
          </w:p>
          <w:p w14:paraId="00000023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Kombinace osobních hodin, online hodin a vzdálených aktivit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Zajistěte rovné příležitosti pro mladé lidi a dospělé při zvýšeném riziku koronaviru, a nabídněte jim bezpečné aktivity nebo alternativy k osobnímu setkání.</w:t>
            </w:r>
          </w:p>
          <w:p w14:paraId="00000025">
            <w:pPr>
              <w:widowControl w:val="0"/>
              <w:spacing w:line="240" w:lineRule="auto"/>
              <w:rPr>
                <w:rFonts w:ascii="Roboto" w:hAnsi="Roboto" w:cs="Roboto" w:eastAsia="Roboto"/>
              </w:rPr>
              <w:pStyle w:val="P68B1DB1-Normal4"/>
            </w:pPr>
            <w:r>
              <w:t xml:space="preserve">Přečtěte si naše pokyny, jak provozovat </w:t>
            </w:r>
            <w:hyperlink r:id="rId12">
              <w:r>
                <w:rPr>
                  <w:b w:val="1"/>
                  <w:u w:val="single"/>
                </w:rPr>
                <w:t xml:space="preserve">online hodiny</w:t>
              </w:r>
            </w:hyperlink>
            <w:r>
              <w:t xml:space="preserve"> a </w:t>
            </w:r>
            <w:hyperlink r:id="rId13">
              <w:r>
                <w:rPr>
                  <w:b w:val="1"/>
                  <w:u w:val="single"/>
                </w:rPr>
                <w:t xml:space="preserve">vzdálené aktivity</w:t>
              </w:r>
            </w:hyperlink>
            <w:r>
              <w:t>.</w:t>
            </w:r>
          </w:p>
        </w:tc>
      </w:tr>
    </w:tbl>
    <w:p w14:paraId="00000026">
      <w:pPr>
        <w:jc w:val="both"/>
        <w:rPr>
          <w:rFonts w:ascii="Roboto" w:hAnsi="Roboto" w:cs="Roboto" w:eastAsia="Roboto"/>
        </w:rPr>
      </w:pPr>
    </w:p>
    <w:p w14:paraId="00000027">
      <w:pPr>
        <w:ind w:left="0" w:firstLine="0"/>
        <w:jc w:val="both"/>
        <w:rPr>
          <w:rFonts w:ascii="Lato" w:hAnsi="Lato" w:cs="Lato" w:eastAsia="Lato"/>
        </w:rPr>
      </w:pPr>
    </w:p>
    <w:p w14:paraId="00000028">
      <w:pPr>
        <w:ind w:left="1440" w:firstLine="0"/>
        <w:jc w:val="both"/>
        <w:rPr>
          <w:rFonts w:ascii="Lato" w:hAnsi="Lato" w:cs="Lato" w:eastAsia="Lato"/>
        </w:rPr>
      </w:pPr>
    </w:p>
    <w:p w14:paraId="00000029">
      <w:pPr>
        <w:jc w:val="both"/>
        <w:rPr>
          <w:rFonts w:ascii="Lato" w:hAnsi="Lato" w:cs="Lato" w:eastAsia="Lato"/>
        </w:rPr>
      </w:pPr>
    </w:p>
    <w:p w14:paraId="0000002A">
      <w:pPr>
        <w:jc w:val="both"/>
        <w:rPr>
          <w:rFonts w:ascii="Lato" w:hAnsi="Lato" w:cs="Lato" w:eastAsia="Lato"/>
        </w:rPr>
        <w:pStyle w:val="P68B1DB1-Normal6"/>
      </w:pPr>
      <w: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9872663</wp:posOffset>
            </wp:positionV>
            <wp:extent cx="7553768" cy="85324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768" cy="853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4"/>
    <w:p w14:paraId="00000035"/>
    <w:p w14:paraId="00000036"/>
    <w:p w14:paraId="00000037"/>
    <w:p w14:paraId="00000038"/>
    <w:p w14:paraId="00000039"/>
    <w:p w14:paraId="0000003A"/>
    <w:p w14:paraId="0000003B"/>
    <w:p w14:paraId="0000003C"/>
    <w:p w14:paraId="0000003D"/>
    <w:p w14:paraId="0000003E"/>
    <w:p w14:paraId="0000003F">
      <w:pPr>
        <w:jc w:val="center"/>
        <w:rPr>
          <w:sz w:val="15"/>
          <w:szCs w:val="15"/>
        </w:rPr>
        <w:pStyle w:val="P68B1DB1-Normal7"/>
      </w:pPr>
      <w:r>
        <w:t xml:space="preserve">Code Club a CoderDojo jsou součástí nadace Raspberry Pi, registrované charity 1129409 ve Spojeném království </w:t>
      </w:r>
    </w:p>
    <w:p w14:paraId="00000040">
      <w:pPr>
        <w:jc w:val="center"/>
        <w:rPr>
          <w:sz w:val="15"/>
          <w:szCs w:val="15"/>
        </w:rPr>
        <w:pStyle w:val="P68B1DB1-Normal8"/>
      </w:pPr>
      <w:hyperlink r:id="rId15">
        <w:r>
          <w:t>www.raspberrypi.org</w:t>
        </w:r>
      </w:hyperlink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a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255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cc255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Roboto Black" w:hAnsi="Roboto Black" w:cs="Roboto Black" w:eastAsia="Roboto Black"/>
      <w:sz w:val="28"/>
      <w:szCs w:val="28"/>
    </w:rPr>
  </w:style>
  <w:style w:type="paragraph" w:styleId="P68B1DB1-Heading22">
    <w:name w:val="P68B1DB1-Heading22"/>
    <w:basedOn w:val="Heading2"/>
    <w:rPr>
      <w:rFonts w:ascii="Roboto" w:hAnsi="Roboto" w:cs="Roboto" w:eastAsia="Roboto"/>
      <w:sz w:val="22"/>
      <w:szCs w:val="22"/>
    </w:rPr>
  </w:style>
  <w:style w:type="paragraph" w:styleId="P68B1DB1-Heading23">
    <w:name w:val="P68B1DB1-Heading23"/>
    <w:basedOn w:val="Heading2"/>
    <w:rPr>
      <w:rFonts w:ascii="Roboto" w:hAnsi="Roboto" w:cs="Roboto" w:eastAsia="Roboto"/>
      <w:b w:val="1"/>
      <w:sz w:val="24"/>
      <w:szCs w:val="24"/>
    </w:rPr>
  </w:style>
  <w:style w:type="paragraph" w:styleId="P68B1DB1-Normal4">
    <w:name w:val="P68B1DB1-Normal4"/>
    <w:basedOn w:val="Normal"/>
    <w:rPr>
      <w:rFonts w:ascii="Roboto" w:hAnsi="Roboto" w:cs="Roboto" w:eastAsia="Roboto"/>
    </w:rPr>
  </w:style>
  <w:style w:type="paragraph" w:styleId="P68B1DB1-Normal5">
    <w:name w:val="P68B1DB1-Normal5"/>
    <w:basedOn w:val="Normal"/>
    <w:rPr>
      <w:rFonts w:ascii="Roboto" w:hAnsi="Roboto" w:cs="Roboto" w:eastAsia="Roboto"/>
      <w:b w:val="1"/>
      <w:sz w:val="24"/>
      <w:szCs w:val="24"/>
    </w:rPr>
  </w:style>
  <w:style w:type="paragraph" w:styleId="P68B1DB1-Normal6">
    <w:name w:val="P68B1DB1-Normal6"/>
    <w:basedOn w:val="Normal"/>
    <w:rPr>
      <w:rFonts w:ascii="Lato" w:hAnsi="Lato" w:cs="Lato" w:eastAsia="Lato"/>
    </w:rPr>
  </w:style>
  <w:style w:type="paragraph" w:styleId="P68B1DB1-Normal7">
    <w:name w:val="P68B1DB1-Normal7"/>
    <w:basedOn w:val="Normal"/>
    <w:rPr>
      <w:sz w:val="15"/>
      <w:szCs w:val="15"/>
    </w:rPr>
  </w:style>
  <w:style w:type="paragraph" w:styleId="P68B1DB1-Normal8">
    <w:name w:val="P68B1DB1-Normal8"/>
    <w:basedOn w:val="Normal"/>
    <w:rPr>
      <w:sz w:val="15"/>
      <w:szCs w:val="15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pf.io/virtual-club-guidance" TargetMode="External"/><Relationship Id="rId10" Type="http://schemas.openxmlformats.org/officeDocument/2006/relationships/hyperlink" Target="https://rpf.io/online-club-guidance" TargetMode="External"/><Relationship Id="rId13" Type="http://schemas.openxmlformats.org/officeDocument/2006/relationships/hyperlink" Target="http://rpf.io/virtual-club-guidance" TargetMode="External"/><Relationship Id="rId12" Type="http://schemas.openxmlformats.org/officeDocument/2006/relationships/hyperlink" Target="https://rpf.io/online-club-guid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pf.io/virtual-club-guidance" TargetMode="External"/><Relationship Id="rId15" Type="http://schemas.openxmlformats.org/officeDocument/2006/relationships/hyperlink" Target="http://www.raspberrypi.org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aspberrypi.org/safeguarding/" TargetMode="External"/><Relationship Id="rId8" Type="http://schemas.openxmlformats.org/officeDocument/2006/relationships/hyperlink" Target="https://rpf.io/online-club-guid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Lato-boldItalic.ttf"/><Relationship Id="rId9" Type="http://schemas.openxmlformats.org/officeDocument/2006/relationships/font" Target="fonts/Lat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Lato-regular.ttf"/><Relationship Id="rId8" Type="http://schemas.openxmlformats.org/officeDocument/2006/relationships/font" Target="fonts/La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