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708E" w:rsidRDefault="0057708E" w:rsidP="0057708E">
      <w:pPr>
        <w:rPr>
          <w:rFonts w:ascii="Times New Roman" w:eastAsia="Times New Roman" w:hAnsi="Symbol" w:cs="Times New Roman"/>
          <w:kern w:val="0"/>
          <w:lang w:val="en-US" w:eastAsia="en-GB"/>
          <w14:ligatures w14:val="none"/>
        </w:rPr>
      </w:pPr>
      <w:r>
        <w:rPr>
          <w:rFonts w:ascii="Times New Roman" w:eastAsia="Times New Roman" w:hAnsi="Symbol" w:cs="Times New Roman"/>
          <w:kern w:val="0"/>
          <w:lang w:val="en-US" w:eastAsia="en-GB"/>
          <w14:ligatures w14:val="none"/>
        </w:rPr>
        <w:t>SUGGESTED EDA PROCESS CONSIDERING THE MISSINGNESS OF CERTAIN FEATURES.</w:t>
      </w:r>
    </w:p>
    <w:p w:rsid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 xml:space="preserve">Load each of the 7 stablecoin parquet files one at a time. For each file, record the number of rows, number of columns, date range, and how many depeg events it contains. Check whether all 7 files have the same columns. Note any coins with shorter histories. UST ends at the May 2022 collapse, BUSD ends at the 2023 discontinuation, and RLUSD and USDE are newer with less data. </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 xml:space="preserve">For each coin, run a missing value count on every column. Calculate the percentage of rows that are null for each column and sort from highest to lowest. Identify which columns have missing data and determine why. Is it because the data source did not exist yet, because an exchange went offline temporarily, or because of a data collection error? Group the missing patterns into categories: structural missingness, extended exchange gaps, short exchange gaps, sentiment index lag, and minor edge cases. </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For features where the data source did not exist before a certain date (like the Binance USDC/USDT pair not existing before December 2018), leave the nulls as is</w:t>
      </w:r>
      <w:r>
        <w:rPr>
          <w:rFonts w:ascii="Times New Roman" w:eastAsia="Times New Roman" w:hAnsi="Times New Roman" w:cs="Times New Roman"/>
          <w:kern w:val="0"/>
          <w:lang w:val="en-US" w:eastAsia="en-GB"/>
          <w14:ligatures w14:val="none"/>
        </w:rPr>
        <w:t xml:space="preserve"> because boosted trees handle </w:t>
      </w:r>
      <w:r w:rsidRPr="0057708E">
        <w:rPr>
          <w:rFonts w:ascii="Times New Roman" w:eastAsia="Times New Roman" w:hAnsi="Times New Roman" w:cs="Times New Roman"/>
          <w:kern w:val="0"/>
          <w:lang w:eastAsia="en-GB"/>
          <w14:ligatures w14:val="none"/>
        </w:rPr>
        <w:t>missing values natively</w:t>
      </w:r>
      <w:r>
        <w:rPr>
          <w:rFonts w:ascii="Times New Roman" w:eastAsia="Times New Roman" w:hAnsi="Times New Roman" w:cs="Times New Roman"/>
          <w:kern w:val="0"/>
          <w:lang w:val="en-US" w:eastAsia="en-GB"/>
          <w14:ligatures w14:val="none"/>
        </w:rPr>
        <w:t xml:space="preserve"> and we are using CatBoost for modeling</w:t>
      </w:r>
      <w:r w:rsidRPr="0057708E">
        <w:rPr>
          <w:rFonts w:ascii="Times New Roman" w:eastAsia="Times New Roman" w:hAnsi="Times New Roman" w:cs="Times New Roman"/>
          <w:kern w:val="0"/>
          <w:lang w:eastAsia="en-GB"/>
          <w14:ligatures w14:val="none"/>
        </w:rPr>
        <w:t>. It learns the best way to route null observations at each tree split, so the model will automatically rely on other features such as CoinAPI price, on chain data, Curve pool data, and macro indicators during periods when Binance data is unavailable. This avoids fabricating</w:t>
      </w:r>
      <w:r>
        <w:rPr>
          <w:rFonts w:ascii="Times New Roman" w:eastAsia="Times New Roman" w:hAnsi="Times New Roman" w:cs="Times New Roman"/>
          <w:kern w:val="0"/>
          <w:lang w:val="en-US" w:eastAsia="en-GB"/>
          <w14:ligatures w14:val="none"/>
        </w:rPr>
        <w:t xml:space="preserve"> or engineering</w:t>
      </w:r>
      <w:r w:rsidRPr="0057708E">
        <w:rPr>
          <w:rFonts w:ascii="Times New Roman" w:eastAsia="Times New Roman" w:hAnsi="Times New Roman" w:cs="Times New Roman"/>
          <w:kern w:val="0"/>
          <w:lang w:eastAsia="en-GB"/>
          <w14:ligatures w14:val="none"/>
        </w:rPr>
        <w:t xml:space="preserve"> trading data that never existed. </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For short exchange gaps under 24 hours, typically caused by maintenance or API failures, forward fill</w:t>
      </w:r>
      <w:r>
        <w:rPr>
          <w:rFonts w:ascii="Times New Roman" w:eastAsia="Times New Roman" w:hAnsi="Times New Roman" w:cs="Times New Roman"/>
          <w:kern w:val="0"/>
          <w:lang w:val="en-US" w:eastAsia="en-GB"/>
          <w14:ligatures w14:val="none"/>
        </w:rPr>
        <w:t xml:space="preserve"> (as Rob suggested)</w:t>
      </w:r>
      <w:r w:rsidRPr="0057708E">
        <w:rPr>
          <w:rFonts w:ascii="Times New Roman" w:eastAsia="Times New Roman" w:hAnsi="Times New Roman" w:cs="Times New Roman"/>
          <w:kern w:val="0"/>
          <w:lang w:eastAsia="en-GB"/>
          <w14:ligatures w14:val="none"/>
        </w:rPr>
        <w:t xml:space="preserve"> using the last known value with a limit of 288 rows (24 hours of 5 minute bars). Apply the forward fill only within valid data periods. </w:t>
      </w:r>
      <w:r>
        <w:rPr>
          <w:rFonts w:ascii="Times New Roman" w:eastAsia="Times New Roman" w:hAnsi="Times New Roman" w:cs="Times New Roman"/>
          <w:kern w:val="0"/>
          <w:lang w:val="en-US" w:eastAsia="en-GB"/>
          <w14:ligatures w14:val="none"/>
        </w:rPr>
        <w:t>I will not</w:t>
      </w:r>
      <w:r w:rsidRPr="0057708E">
        <w:rPr>
          <w:rFonts w:ascii="Times New Roman" w:eastAsia="Times New Roman" w:hAnsi="Times New Roman" w:cs="Times New Roman"/>
          <w:kern w:val="0"/>
          <w:lang w:eastAsia="en-GB"/>
          <w14:ligatures w14:val="none"/>
        </w:rPr>
        <w:t xml:space="preserve"> let it fill across structural gaps or extended outages. For the Fear and Greed index, fill the pre February 2018 period with 50, the neutral midpoint of the 0 to 100 scale. For CoinAPI tick count, forward fill the small gap at the start. For depeg label edge cases at the very beginning of each file, fill with 0 meaning no depeg. </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 xml:space="preserve">After preprocessing, verify that the only remaining nulls are in the Binance columns during the structural and extended gap periods. Everything else should be fully populated. </w:t>
      </w:r>
      <w:r>
        <w:rPr>
          <w:rFonts w:ascii="Times New Roman" w:eastAsia="Times New Roman" w:hAnsi="Times New Roman" w:cs="Times New Roman"/>
          <w:kern w:val="0"/>
          <w:lang w:val="en-US" w:eastAsia="en-GB"/>
          <w14:ligatures w14:val="none"/>
        </w:rPr>
        <w:t>Run statistics to be sure of this</w:t>
      </w:r>
      <w:r w:rsidRPr="0057708E">
        <w:rPr>
          <w:rFonts w:ascii="Times New Roman" w:eastAsia="Times New Roman" w:hAnsi="Times New Roman" w:cs="Times New Roman"/>
          <w:kern w:val="0"/>
          <w:lang w:eastAsia="en-GB"/>
          <w14:ligatures w14:val="none"/>
        </w:rPr>
        <w:t xml:space="preserve">. </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 xml:space="preserve">Generate a full statistical profile for every numeric column in each coin. This includes count, mean, standard deviation, min, 1st percentile, 5th, 25th, 50th, 75th, 95th, 99th, max, missing percentage, skewness, and kurtosis. Run this separately for the period with Binance data available and the period without, since the distributions may differ. This gives </w:t>
      </w:r>
      <w:r>
        <w:rPr>
          <w:rFonts w:ascii="Times New Roman" w:eastAsia="Times New Roman" w:hAnsi="Times New Roman" w:cs="Times New Roman"/>
          <w:kern w:val="0"/>
          <w:lang w:val="en-US" w:eastAsia="en-GB"/>
          <w14:ligatures w14:val="none"/>
        </w:rPr>
        <w:t>us</w:t>
      </w:r>
      <w:r w:rsidRPr="0057708E">
        <w:rPr>
          <w:rFonts w:ascii="Times New Roman" w:eastAsia="Times New Roman" w:hAnsi="Times New Roman" w:cs="Times New Roman"/>
          <w:kern w:val="0"/>
          <w:lang w:eastAsia="en-GB"/>
          <w14:ligatures w14:val="none"/>
        </w:rPr>
        <w:t xml:space="preserve"> a baseline understanding of every column before engineering any features. </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 xml:space="preserve">Check for constant or near constant columns. Look for any column with fewer than 5 unique values or where a single value accounts for more than 95 percent of rows. On chain columns like mint count and burn count will likely be zero dominated because mints and burns are rare events. Do not drop these. The rare non zero values may coincide with significant events and carry strong signal. Flag them for awareness but keep them. </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 xml:space="preserve">Verify that the 5 minute time series is continuous with no unexpected row level gaps. Calculate the time difference between consecutive rows and flag any gaps longer than 1 hour. These are different from column level nulls. They represent entire missing time periods where no data at all was recorded. </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P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 xml:space="preserve">Verify the depeg labels by identifying the start time of each depeg event, meaning where the label transitions from 0 to 1. Calculate the duration of each event. Cross reference against known historical events: October 2018 Tether crisis, March 2020 Black Thursday, June 2021 Iron Finance, May 2022 UST collapse, and March 2023 USDC/SVB. If any major event is missing from the labels, </w:t>
      </w:r>
      <w:r>
        <w:rPr>
          <w:rFonts w:ascii="Times New Roman" w:eastAsia="Times New Roman" w:hAnsi="Times New Roman" w:cs="Times New Roman"/>
          <w:kern w:val="0"/>
          <w:lang w:val="en-US" w:eastAsia="en-GB"/>
          <w14:ligatures w14:val="none"/>
        </w:rPr>
        <w:t>we may revisit the depeg definition.</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P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 xml:space="preserve">Calculate univariate AUC and Spearman correlation for every numeric column against the depeg_next_1h target. For each column, drop rows where either the feature or the target is null, compute the AUC (flipping it if below 0.5 to account for inverse relationships), and compute the Spearman rank correlation with its p value. Sort the results by AUC descending. Features with AUC above 0.55 have measurable individual signal. Features near 0.50 are no better than random on their own but may still contribute in combination. </w:t>
      </w:r>
      <w:r>
        <w:rPr>
          <w:rFonts w:ascii="Times New Roman" w:eastAsia="Times New Roman" w:hAnsi="Times New Roman" w:cs="Times New Roman"/>
          <w:kern w:val="0"/>
          <w:lang w:val="en-US" w:eastAsia="en-GB"/>
          <w14:ligatures w14:val="none"/>
        </w:rPr>
        <w:t>We can also include Mutual Information to check for association strength.</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 xml:space="preserve">For the top features from the AUC screening, create plots showing feature behavior in the 24 hours before each depeg event versus normal periods. For each depeg event start time, extract the feature values from 24 hours before to the event start and plot them as red lines. For comparison, extract the same 24 hour window from several random normal periods and plot them as gray lines. The x axis is hours before the event where 0 equals depeg start, and the y axis is the feature value. This shows which features change before depegs and how much lead time they provide. </w:t>
      </w: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57708E" w:rsidRPr="0057708E" w:rsidRDefault="0057708E" w:rsidP="0057708E">
      <w:pPr>
        <w:pStyle w:val="ListParagraph"/>
        <w:rPr>
          <w:rFonts w:ascii="Times New Roman" w:eastAsia="Times New Roman" w:hAnsi="Times New Roman" w:cs="Times New Roman"/>
          <w:kern w:val="0"/>
          <w:lang w:eastAsia="en-GB"/>
          <w14:ligatures w14:val="none"/>
        </w:rPr>
      </w:pPr>
    </w:p>
    <w:p w:rsidR="002B3AA2" w:rsidRPr="0057708E" w:rsidRDefault="0057708E" w:rsidP="0057708E">
      <w:pPr>
        <w:pStyle w:val="ListParagraph"/>
        <w:numPr>
          <w:ilvl w:val="0"/>
          <w:numId w:val="1"/>
        </w:numPr>
        <w:rPr>
          <w:rFonts w:ascii="Times New Roman" w:eastAsia="Times New Roman" w:hAnsi="Times New Roman" w:cs="Times New Roman"/>
          <w:kern w:val="0"/>
          <w:lang w:eastAsia="en-GB"/>
          <w14:ligatures w14:val="none"/>
        </w:rPr>
      </w:pPr>
      <w:r w:rsidRPr="0057708E">
        <w:rPr>
          <w:rFonts w:ascii="Times New Roman" w:eastAsia="Times New Roman" w:hAnsi="Times New Roman" w:cs="Times New Roman"/>
          <w:kern w:val="0"/>
          <w:lang w:eastAsia="en-GB"/>
          <w14:ligatures w14:val="none"/>
        </w:rPr>
        <w:t xml:space="preserve">Document all findings in a summary table. For each feature, record its univariate AUC, Spearman correlation, estimated lead time from the overlay plots, and whether it shows consistent pre depeg behavior across multiple events. Flag which features are leading indicators where signal appears hours before the depeg, which are coincident indicators where signal appears at the same time as the depeg, and which show no useful pattern. </w:t>
      </w:r>
      <w:r>
        <w:rPr>
          <w:rFonts w:ascii="Times New Roman" w:eastAsia="Times New Roman" w:hAnsi="Times New Roman" w:cs="Times New Roman"/>
          <w:kern w:val="0"/>
          <w:lang w:val="en-US" w:eastAsia="en-GB"/>
          <w14:ligatures w14:val="none"/>
        </w:rPr>
        <w:t>We will then use this table as</w:t>
      </w:r>
      <w:r w:rsidRPr="0057708E">
        <w:rPr>
          <w:rFonts w:ascii="Times New Roman" w:eastAsia="Times New Roman" w:hAnsi="Times New Roman" w:cs="Times New Roman"/>
          <w:kern w:val="0"/>
          <w:lang w:eastAsia="en-GB"/>
          <w14:ligatures w14:val="none"/>
        </w:rPr>
        <w:t xml:space="preserve"> the input for feature engineering</w:t>
      </w:r>
      <w:r>
        <w:rPr>
          <w:rFonts w:ascii="Times New Roman" w:eastAsia="Times New Roman" w:hAnsi="Times New Roman" w:cs="Times New Roman"/>
          <w:kern w:val="0"/>
          <w:lang w:val="en-US" w:eastAsia="en-GB"/>
          <w14:ligatures w14:val="none"/>
        </w:rPr>
        <w:t>, where leading</w:t>
      </w:r>
      <w:r w:rsidRPr="0057708E">
        <w:rPr>
          <w:rFonts w:ascii="Times New Roman" w:eastAsia="Times New Roman" w:hAnsi="Times New Roman" w:cs="Times New Roman"/>
          <w:kern w:val="0"/>
          <w:lang w:eastAsia="en-GB"/>
          <w14:ligatures w14:val="none"/>
        </w:rPr>
        <w:t xml:space="preserve"> indicators get priority for building derived features like rates of change, z scores, and rolling statistics.</w:t>
      </w:r>
    </w:p>
    <w:p w:rsidR="0057708E" w:rsidRPr="0057708E" w:rsidRDefault="0057708E" w:rsidP="0057708E">
      <w:pPr>
        <w:ind w:left="360"/>
        <w:rPr>
          <w:rFonts w:ascii="Times New Roman" w:eastAsia="Times New Roman" w:hAnsi="Times New Roman" w:cs="Times New Roman"/>
          <w:kern w:val="0"/>
          <w:lang w:eastAsia="en-GB"/>
          <w14:ligatures w14:val="none"/>
        </w:rPr>
      </w:pPr>
    </w:p>
    <w:sectPr w:rsidR="0057708E" w:rsidRPr="00577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834B2"/>
    <w:multiLevelType w:val="hybridMultilevel"/>
    <w:tmpl w:val="261664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6676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8E"/>
    <w:rsid w:val="002B3AA2"/>
    <w:rsid w:val="0057708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7FDC5402"/>
  <w15:chartTrackingRefBased/>
  <w15:docId w15:val="{8BAA0FFA-811C-4D46-9FAA-70EB65EF1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70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2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2026-03-09T03:46:00Z</dcterms:created>
  <dcterms:modified xsi:type="dcterms:W3CDTF">2026-03-09T04:06:00Z</dcterms:modified>
</cp:coreProperties>
</file>