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No10.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Рассолова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Подпрограмма - это программа, которую можно выполнять в разных местах в составе одной или нескольких программ.</w:t>
      </w:r>
      <w:r>
        <w:t xml:space="preserve"> </w:t>
      </w:r>
      <w:r>
        <w:t xml:space="preserve">Отладчик — это узкоспециализированное средство разработки, которое присоединяется к работающему приложению и позволяет проверять код.</w:t>
      </w:r>
    </w:p>
    <w:bookmarkEnd w:id="21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каталог для 10 лабораторной и файл к ней. (рис. 1)</w:t>
      </w:r>
    </w:p>
    <w:p>
      <w:pPr>
        <w:pStyle w:val="CaptionedFigure"/>
      </w:pPr>
      <w:bookmarkStart w:id="25" w:name="fig:001"/>
      <w:r>
        <w:drawing>
          <wp:inline>
            <wp:extent cx="5334000" cy="1251185"/>
            <wp:effectExtent b="0" l="0" r="0" t="0"/>
            <wp:docPr descr="Рис. 1: Создание каталога и файла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6%2022-20-4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Ввела в созданный файл текст программы из Листинга 1. (рис. 2)</w:t>
      </w:r>
    </w:p>
    <w:p>
      <w:pPr>
        <w:pStyle w:val="CaptionedFigure"/>
      </w:pPr>
      <w:bookmarkStart w:id="29" w:name="fig:002"/>
      <w:r>
        <w:drawing>
          <wp:inline>
            <wp:extent cx="5334000" cy="4002329"/>
            <wp:effectExtent b="0" l="0" r="0" t="0"/>
            <wp:docPr descr="Рис. 2: Ввод текста программы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6%2022-22-1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Ввод текста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Создала исполняемый файл и проверила его работу. (рис. 3)</w:t>
      </w:r>
    </w:p>
    <w:p>
      <w:pPr>
        <w:pStyle w:val="CaptionedFigure"/>
      </w:pPr>
      <w:bookmarkStart w:id="33" w:name="fig:003"/>
      <w:r>
        <w:drawing>
          <wp:inline>
            <wp:extent cx="5334000" cy="1090213"/>
            <wp:effectExtent b="0" l="0" r="0" t="0"/>
            <wp:docPr descr="Рис. 3: Создание исполняемого файла и проверка его работы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05-1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Создание исполняемого файла и проверка его работы</w:t>
      </w:r>
    </w:p>
    <w:p>
      <w:pPr>
        <w:numPr>
          <w:ilvl w:val="0"/>
          <w:numId w:val="1004"/>
        </w:numPr>
        <w:pStyle w:val="Compact"/>
      </w:pPr>
      <w:r>
        <w:t xml:space="preserve">Изменила текст программы в соответствии с инструкцией.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, 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</w:p>
    <w:p>
      <w:pPr>
        <w:pStyle w:val="FirstParagraph"/>
      </w:pPr>
      <w:bookmarkStart w:id="37" w:name="fig:004"/>
      <w:r>
        <w:drawing>
          <wp:inline>
            <wp:extent cx="5334000" cy="3941884"/>
            <wp:effectExtent b="0" l="0" r="0" t="0"/>
            <wp:docPr descr="Изменение текста программы 1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3-0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5"/>
      <w:r>
        <w:drawing>
          <wp:inline>
            <wp:extent cx="5334000" cy="4017053"/>
            <wp:effectExtent b="0" l="0" r="0" t="0"/>
            <wp:docPr descr="Изменение текста программы 2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3-2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5"/>
        </w:numPr>
        <w:pStyle w:val="Compact"/>
      </w:pPr>
      <w:r>
        <w:t xml:space="preserve">Создала исполняемый файл и проверила его работу. (рис. 4)</w:t>
      </w:r>
    </w:p>
    <w:p>
      <w:pPr>
        <w:pStyle w:val="CaptionedFigure"/>
      </w:pPr>
      <w:bookmarkStart w:id="45" w:name="fig:006"/>
      <w:r>
        <w:drawing>
          <wp:inline>
            <wp:extent cx="5334000" cy="1385358"/>
            <wp:effectExtent b="0" l="0" r="0" t="0"/>
            <wp:docPr descr="Рис. 4: Создание исполняемого файла и проверка его работы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3-4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4: Создание исполняемого файла и проверка его работы</w:t>
      </w:r>
    </w:p>
    <w:p>
      <w:pPr>
        <w:numPr>
          <w:ilvl w:val="0"/>
          <w:numId w:val="1006"/>
        </w:numPr>
        <w:pStyle w:val="Compact"/>
      </w:pPr>
      <w:r>
        <w:t xml:space="preserve">Создала файл 2. (рис. 5)</w:t>
      </w:r>
    </w:p>
    <w:p>
      <w:pPr>
        <w:pStyle w:val="CaptionedFigure"/>
      </w:pPr>
      <w:bookmarkStart w:id="49" w:name="fig:007"/>
      <w:r>
        <w:drawing>
          <wp:inline>
            <wp:extent cx="5334000" cy="692254"/>
            <wp:effectExtent b="0" l="0" r="0" t="0"/>
            <wp:docPr descr="Рис. 5: Создание второго файла" title="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4-2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5: Создание второго файла</w:t>
      </w:r>
    </w:p>
    <w:p>
      <w:pPr>
        <w:numPr>
          <w:ilvl w:val="0"/>
          <w:numId w:val="1007"/>
        </w:numPr>
        <w:pStyle w:val="Compact"/>
      </w:pPr>
      <w:r>
        <w:t xml:space="preserve">Ввела в созданный файл текст программы из Листинга 2. (рис. 6)</w:t>
      </w:r>
    </w:p>
    <w:p>
      <w:pPr>
        <w:pStyle w:val="CaptionedFigure"/>
      </w:pPr>
      <w:bookmarkStart w:id="53" w:name="fig:008"/>
      <w:r>
        <w:drawing>
          <wp:inline>
            <wp:extent cx="5334000" cy="3427410"/>
            <wp:effectExtent b="0" l="0" r="0" t="0"/>
            <wp:docPr descr="Рис. 6: Ввод текста программы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5-3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6: Ввод текста программы</w:t>
      </w:r>
    </w:p>
    <w:p>
      <w:pPr>
        <w:numPr>
          <w:ilvl w:val="0"/>
          <w:numId w:val="1008"/>
        </w:numPr>
        <w:pStyle w:val="Compact"/>
      </w:pPr>
      <w:r>
        <w:t xml:space="preserve">Получила исполняемый файл и загрузила его в отладчик gdb. (рис. 7)</w:t>
      </w:r>
    </w:p>
    <w:p>
      <w:pPr>
        <w:pStyle w:val="CaptionedFigure"/>
      </w:pPr>
      <w:bookmarkStart w:id="57" w:name="fig:009"/>
      <w:r>
        <w:drawing>
          <wp:inline>
            <wp:extent cx="5334000" cy="3054263"/>
            <wp:effectExtent b="0" l="0" r="0" t="0"/>
            <wp:docPr descr="Рис. 7: Получение исполняемого файла и его загрузка в отладчик" title="" id="5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8-2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7: Получение исполняемого файла и его загрузка в отладчик</w:t>
      </w:r>
    </w:p>
    <w:p>
      <w:pPr>
        <w:numPr>
          <w:ilvl w:val="0"/>
          <w:numId w:val="1009"/>
        </w:numPr>
        <w:pStyle w:val="Compact"/>
      </w:pPr>
      <w:r>
        <w:t xml:space="preserve">Проверила работу программы. (рис. 8)</w:t>
      </w:r>
    </w:p>
    <w:p>
      <w:pPr>
        <w:pStyle w:val="CaptionedFigure"/>
      </w:pPr>
      <w:bookmarkStart w:id="61" w:name="fig:010"/>
      <w:r>
        <w:drawing>
          <wp:inline>
            <wp:extent cx="5334000" cy="818326"/>
            <wp:effectExtent b="0" l="0" r="0" t="0"/>
            <wp:docPr descr="Рис. 8: Проверка" title="" id="5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29-0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8: Проверка</w:t>
      </w:r>
    </w:p>
    <w:p>
      <w:pPr>
        <w:numPr>
          <w:ilvl w:val="0"/>
          <w:numId w:val="1010"/>
        </w:numPr>
        <w:pStyle w:val="Compact"/>
      </w:pPr>
      <w:r>
        <w:t xml:space="preserve">Установила брейкпоинт на метку _start. Запустила ее. (рис. 9)</w:t>
      </w:r>
    </w:p>
    <w:p>
      <w:pPr>
        <w:pStyle w:val="CaptionedFigure"/>
      </w:pPr>
      <w:bookmarkStart w:id="65" w:name="fig:011"/>
      <w:r>
        <w:drawing>
          <wp:inline>
            <wp:extent cx="5334000" cy="1140883"/>
            <wp:effectExtent b="0" l="0" r="0" t="0"/>
            <wp:docPr descr="Рис. 9: Проверка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30-2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9: Проверка</w:t>
      </w:r>
    </w:p>
    <w:p>
      <w:pPr>
        <w:numPr>
          <w:ilvl w:val="0"/>
          <w:numId w:val="1011"/>
        </w:numPr>
        <w:pStyle w:val="Compact"/>
      </w:pPr>
      <w:r>
        <w:t xml:space="preserve">Посмотрела дисассимилированный код программы. (рис. 10)</w:t>
      </w:r>
    </w:p>
    <w:p>
      <w:pPr>
        <w:pStyle w:val="CaptionedFigure"/>
      </w:pPr>
      <w:bookmarkStart w:id="69" w:name="fig:012"/>
      <w:r>
        <w:drawing>
          <wp:inline>
            <wp:extent cx="5334000" cy="2215091"/>
            <wp:effectExtent b="0" l="0" r="0" t="0"/>
            <wp:docPr descr="Рис. 10: Дисассимилированный код программы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30-5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10: Дисассимилированный код программы</w:t>
      </w:r>
    </w:p>
    <w:p>
      <w:pPr>
        <w:numPr>
          <w:ilvl w:val="0"/>
          <w:numId w:val="1012"/>
        </w:numPr>
        <w:pStyle w:val="Compact"/>
      </w:pPr>
      <w:r>
        <w:t xml:space="preserve">Подключилась на отображение команд с Intel’овским синтаксисом. Различия: В коде Интел отсутствуют суффиксы обозначения размера, код Интел опускает символ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перед именами регистров, имеет другой способ описания местоположений в памяти. (рис. 11)</w:t>
      </w:r>
    </w:p>
    <w:p>
      <w:pPr>
        <w:pStyle w:val="CaptionedFigure"/>
      </w:pPr>
      <w:bookmarkStart w:id="73" w:name="fig:013"/>
      <w:r>
        <w:drawing>
          <wp:inline>
            <wp:extent cx="5334000" cy="2293398"/>
            <wp:effectExtent b="0" l="0" r="0" t="0"/>
            <wp:docPr descr="Рис. 11: Дисассимилированный код программы" title="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32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Дисассимилированный код программы</w:t>
      </w:r>
    </w:p>
    <w:p>
      <w:pPr>
        <w:numPr>
          <w:ilvl w:val="0"/>
          <w:numId w:val="1013"/>
        </w:numPr>
        <w:pStyle w:val="Compact"/>
      </w:pPr>
      <w:r>
        <w:t xml:space="preserve">Включила режим псевдографики. (рис. 12)</w:t>
      </w:r>
    </w:p>
    <w:p>
      <w:pPr>
        <w:pStyle w:val="CaptionedFigure"/>
      </w:pPr>
      <w:bookmarkStart w:id="77" w:name="fig:014"/>
      <w:r>
        <w:drawing>
          <wp:inline>
            <wp:extent cx="5334000" cy="2637530"/>
            <wp:effectExtent b="0" l="0" r="0" t="0"/>
            <wp:docPr descr="Рис. 12: Режим псевдографики" title="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33-0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Режим псевдографики</w:t>
      </w:r>
    </w:p>
    <w:p>
      <w:pPr>
        <w:numPr>
          <w:ilvl w:val="0"/>
          <w:numId w:val="1014"/>
        </w:numPr>
        <w:pStyle w:val="Compact"/>
      </w:pPr>
      <w:r>
        <w:t xml:space="preserve">Проверила установку точки останова. (рис. 13)</w:t>
      </w:r>
    </w:p>
    <w:p>
      <w:pPr>
        <w:pStyle w:val="CaptionedFigure"/>
      </w:pPr>
      <w:bookmarkStart w:id="81" w:name="fig:015"/>
      <w:r>
        <w:drawing>
          <wp:inline>
            <wp:extent cx="5334000" cy="582024"/>
            <wp:effectExtent b="0" l="0" r="0" t="0"/>
            <wp:docPr descr="Рис. 13: Проверка установки" title="" id="7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01-33-4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Проверка установки</w:t>
      </w:r>
    </w:p>
    <w:p>
      <w:pPr>
        <w:numPr>
          <w:ilvl w:val="0"/>
          <w:numId w:val="1015"/>
        </w:numPr>
        <w:pStyle w:val="Compact"/>
      </w:pPr>
      <w:r>
        <w:t xml:space="preserve">Установила точку остановы по адресу инструкции. (рис. 14)</w:t>
      </w:r>
    </w:p>
    <w:p>
      <w:pPr>
        <w:pStyle w:val="CaptionedFigure"/>
      </w:pPr>
      <w:bookmarkStart w:id="85" w:name="fig:016"/>
      <w:r>
        <w:drawing>
          <wp:inline>
            <wp:extent cx="5334000" cy="607670"/>
            <wp:effectExtent b="0" l="0" r="0" t="0"/>
            <wp:docPr descr="Рис. 14: Установка точки остановы" title="" id="8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01-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Установка точки остановы</w:t>
      </w:r>
    </w:p>
    <w:p>
      <w:pPr>
        <w:numPr>
          <w:ilvl w:val="0"/>
          <w:numId w:val="1016"/>
        </w:numPr>
        <w:pStyle w:val="Compact"/>
      </w:pPr>
      <w:r>
        <w:t xml:space="preserve">Посмотрела информацию о всех установленных точках останова. (рис. 15)</w:t>
      </w:r>
    </w:p>
    <w:p>
      <w:pPr>
        <w:pStyle w:val="CaptionedFigure"/>
      </w:pPr>
      <w:bookmarkStart w:id="89" w:name="fig:017"/>
      <w:r>
        <w:drawing>
          <wp:inline>
            <wp:extent cx="5334000" cy="828932"/>
            <wp:effectExtent b="0" l="0" r="0" t="0"/>
            <wp:docPr descr="Рис. 15: Просмотр информации об установках" title="" id="8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01-5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15: Просмотр информации об установках</w:t>
      </w:r>
    </w:p>
    <w:p>
      <w:pPr>
        <w:numPr>
          <w:ilvl w:val="0"/>
          <w:numId w:val="1017"/>
        </w:numPr>
        <w:pStyle w:val="Compact"/>
      </w:pPr>
      <w:r>
        <w:t xml:space="preserve">Посмотрела содержимое регистров.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, 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</w:p>
    <w:p>
      <w:pPr>
        <w:pStyle w:val="FirstParagraph"/>
      </w:pPr>
      <w:bookmarkStart w:id="93" w:name="fig:018"/>
      <w:r>
        <w:drawing>
          <wp:inline>
            <wp:extent cx="5334000" cy="1497904"/>
            <wp:effectExtent b="0" l="0" r="0" t="0"/>
            <wp:docPr descr="Просмотр содержимого регистров1" title="" id="9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15-2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bookmarkStart w:id="97" w:name="fig:019"/>
      <w:r>
        <w:drawing>
          <wp:inline>
            <wp:extent cx="5334000" cy="1497904"/>
            <wp:effectExtent b="0" l="0" r="0" t="0"/>
            <wp:docPr descr="Просмотр содержимого регистров2" title="" id="9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16-3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numPr>
          <w:ilvl w:val="0"/>
          <w:numId w:val="1018"/>
        </w:numPr>
        <w:pStyle w:val="Compact"/>
      </w:pPr>
      <w:r>
        <w:t xml:space="preserve">Посмотрела значения переменных.(рис.</w:t>
      </w:r>
      <w:r>
        <w:t xml:space="preserve"> </w:t>
      </w:r>
      <w:r>
        <w:rPr>
          <w:bCs/>
          <w:b/>
        </w:rPr>
        <w:t xml:space="preserve">¿fig:020?</w:t>
      </w:r>
      <w:r>
        <w:t xml:space="preserve">, рис.</w:t>
      </w:r>
      <w:r>
        <w:t xml:space="preserve"> </w:t>
      </w:r>
      <w:r>
        <w:rPr>
          <w:bCs/>
          <w:b/>
        </w:rPr>
        <w:t xml:space="preserve">¿fig:021?</w:t>
      </w:r>
      <w:r>
        <w:t xml:space="preserve">)</w:t>
      </w:r>
    </w:p>
    <w:p>
      <w:pPr>
        <w:pStyle w:val="FirstParagraph"/>
      </w:pPr>
      <w:bookmarkStart w:id="101" w:name="fig:020"/>
      <w:r>
        <w:drawing>
          <wp:inline>
            <wp:extent cx="5334000" cy="328358"/>
            <wp:effectExtent b="0" l="0" r="0" t="0"/>
            <wp:docPr descr="1" title="" id="9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17-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 </w:t>
      </w:r>
      <w:bookmarkStart w:id="105" w:name="fig:021"/>
      <w:r>
        <w:drawing>
          <wp:inline>
            <wp:extent cx="5334000" cy="328358"/>
            <wp:effectExtent b="0" l="0" r="0" t="0"/>
            <wp:docPr descr="2" title="" id="10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18-1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0"/>
          <w:numId w:val="1019"/>
        </w:numPr>
        <w:pStyle w:val="Compact"/>
      </w:pPr>
      <w:r>
        <w:t xml:space="preserve">Изменила первый символ переменной msg1. (рис. 16)</w:t>
      </w:r>
    </w:p>
    <w:p>
      <w:pPr>
        <w:pStyle w:val="CaptionedFigure"/>
      </w:pPr>
      <w:bookmarkStart w:id="109" w:name="fig:022"/>
      <w:r>
        <w:drawing>
          <wp:inline>
            <wp:extent cx="4165600" cy="711200"/>
            <wp:effectExtent b="0" l="0" r="0" t="0"/>
            <wp:docPr descr="Рис. 16: Просмотр информации об установках" title="" id="10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20-1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16: Просмотр информации об установках</w:t>
      </w:r>
    </w:p>
    <w:p>
      <w:pPr>
        <w:numPr>
          <w:ilvl w:val="0"/>
          <w:numId w:val="1020"/>
        </w:numPr>
        <w:pStyle w:val="Compact"/>
      </w:pPr>
      <w:r>
        <w:t xml:space="preserve">Заменила символ в msg2. (рис. 17)</w:t>
      </w:r>
    </w:p>
    <w:p>
      <w:pPr>
        <w:pStyle w:val="CaptionedFigure"/>
      </w:pPr>
      <w:bookmarkStart w:id="113" w:name="fig:023"/>
      <w:r>
        <w:drawing>
          <wp:inline>
            <wp:extent cx="4495800" cy="711200"/>
            <wp:effectExtent b="0" l="0" r="0" t="0"/>
            <wp:docPr descr="Рис. 17: Просмотр информации об установках" title="" id="11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21-1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17: Просмотр информации об установках</w:t>
      </w:r>
    </w:p>
    <w:p>
      <w:pPr>
        <w:numPr>
          <w:ilvl w:val="0"/>
          <w:numId w:val="1021"/>
        </w:numPr>
        <w:pStyle w:val="Compact"/>
      </w:pPr>
      <w:r>
        <w:t xml:space="preserve">Вывела в шестнадцатиричном, двоичном форматах и символьном виде значение регистра edx. (рис. 18)</w:t>
      </w:r>
    </w:p>
    <w:p>
      <w:pPr>
        <w:pStyle w:val="CaptionedFigure"/>
      </w:pPr>
      <w:bookmarkStart w:id="117" w:name="fig:024"/>
      <w:r>
        <w:drawing>
          <wp:inline>
            <wp:extent cx="4546600" cy="1447800"/>
            <wp:effectExtent b="0" l="0" r="0" t="0"/>
            <wp:docPr descr="Рис. 18: Вывод в различных форматах значение регистра edx" title="" id="11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22-37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18: Вывод в различных форматах значение регистра edx</w:t>
      </w:r>
    </w:p>
    <w:p>
      <w:pPr>
        <w:numPr>
          <w:ilvl w:val="0"/>
          <w:numId w:val="1022"/>
        </w:numPr>
        <w:pStyle w:val="Compact"/>
      </w:pPr>
      <w:r>
        <w:t xml:space="preserve">Изменила значение регистра ebx. (рис. 19)</w:t>
      </w:r>
    </w:p>
    <w:p>
      <w:pPr>
        <w:pStyle w:val="CaptionedFigure"/>
      </w:pPr>
      <w:bookmarkStart w:id="121" w:name="fig:025"/>
      <w:r>
        <w:drawing>
          <wp:inline>
            <wp:extent cx="4546600" cy="1447800"/>
            <wp:effectExtent b="0" l="0" r="0" t="0"/>
            <wp:docPr descr="Рис. 19: Изменение значение регистра ebx" title="" id="11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23-57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19: Изменение значение регистра ebx</w:t>
      </w:r>
    </w:p>
    <w:p>
      <w:pPr>
        <w:numPr>
          <w:ilvl w:val="0"/>
          <w:numId w:val="1023"/>
        </w:numPr>
        <w:pStyle w:val="Compact"/>
      </w:pPr>
      <w:r>
        <w:t xml:space="preserve">Скопировала файл 9 лабораторной в третий файл десятой лабораторной. (рис. 20)</w:t>
      </w:r>
    </w:p>
    <w:p>
      <w:pPr>
        <w:pStyle w:val="CaptionedFigure"/>
      </w:pPr>
      <w:bookmarkStart w:id="125" w:name="fig:026"/>
      <w:r>
        <w:drawing>
          <wp:inline>
            <wp:extent cx="5334000" cy="531962"/>
            <wp:effectExtent b="0" l="0" r="0" t="0"/>
            <wp:docPr descr="Рис. 20: Изменение значение регистра ebx" title="" id="1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29-0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20: Изменение значение регистра ebx</w:t>
      </w:r>
    </w:p>
    <w:p>
      <w:pPr>
        <w:numPr>
          <w:ilvl w:val="0"/>
          <w:numId w:val="1024"/>
        </w:numPr>
        <w:pStyle w:val="Compact"/>
      </w:pPr>
      <w:r>
        <w:t xml:space="preserve">Создала исполняемый файл и загрузила его в отладчик, указав аргументы. (рис. 21)</w:t>
      </w:r>
    </w:p>
    <w:p>
      <w:pPr>
        <w:pStyle w:val="CaptionedFigure"/>
      </w:pPr>
      <w:bookmarkStart w:id="129" w:name="fig:027"/>
      <w:r>
        <w:drawing>
          <wp:inline>
            <wp:extent cx="5334000" cy="1181257"/>
            <wp:effectExtent b="0" l="0" r="0" t="0"/>
            <wp:docPr descr="Рис. 21: Создание исполняемого файла и его загрузка в отладчик" title="" id="1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33-4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21: Создание исполняемого файла и его загрузка в отладчик</w:t>
      </w:r>
    </w:p>
    <w:p>
      <w:pPr>
        <w:numPr>
          <w:ilvl w:val="0"/>
          <w:numId w:val="1025"/>
        </w:numPr>
        <w:pStyle w:val="Compact"/>
      </w:pPr>
      <w:r>
        <w:t xml:space="preserve">Посмотрела адрес вершины стека. (рис. 22)</w:t>
      </w:r>
    </w:p>
    <w:p>
      <w:pPr>
        <w:pStyle w:val="CaptionedFigure"/>
      </w:pPr>
      <w:bookmarkStart w:id="133" w:name="fig:028"/>
      <w:r>
        <w:drawing>
          <wp:inline>
            <wp:extent cx="3225800" cy="508000"/>
            <wp:effectExtent b="0" l="0" r="0" t="0"/>
            <wp:docPr descr="Рис. 22: Адрес вершины стека" title="" id="1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34-2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22: Адрес вершины стека</w:t>
      </w:r>
    </w:p>
    <w:p>
      <w:pPr>
        <w:numPr>
          <w:ilvl w:val="0"/>
          <w:numId w:val="1026"/>
        </w:numPr>
        <w:pStyle w:val="Compact"/>
      </w:pPr>
      <w:r>
        <w:t xml:space="preserve">Установила точку останова и запустила ее. (рис. 23)</w:t>
      </w:r>
    </w:p>
    <w:p>
      <w:pPr>
        <w:pStyle w:val="CaptionedFigure"/>
      </w:pPr>
      <w:bookmarkStart w:id="137" w:name="fig:029"/>
      <w:r>
        <w:drawing>
          <wp:inline>
            <wp:extent cx="5334000" cy="1880016"/>
            <wp:effectExtent b="0" l="0" r="0" t="0"/>
            <wp:docPr descr="Рис. 23: Установка точки остановы и ее запуск" title="" id="1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36-5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23: Установка точки остановы и ее запуск</w:t>
      </w:r>
    </w:p>
    <w:bookmarkEnd w:id="138"/>
    <w:bookmarkStart w:id="155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27"/>
        </w:numPr>
        <w:pStyle w:val="Compact"/>
      </w:pPr>
      <w:r>
        <w:t xml:space="preserve">Преобразовала программу из девятой лабораторной. (рис. 24)</w:t>
      </w:r>
    </w:p>
    <w:p>
      <w:pPr>
        <w:pStyle w:val="CaptionedFigure"/>
      </w:pPr>
      <w:bookmarkStart w:id="142" w:name="fig:030"/>
      <w:r>
        <w:drawing>
          <wp:inline>
            <wp:extent cx="5334000" cy="4015153"/>
            <wp:effectExtent b="0" l="0" r="0" t="0"/>
            <wp:docPr descr="Рис. 24: Установка точки остановы и ее запуск" title="" id="1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1-59-25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24: Установка точки остановы и ее запуск</w:t>
      </w:r>
    </w:p>
    <w:p>
      <w:pPr>
        <w:numPr>
          <w:ilvl w:val="0"/>
          <w:numId w:val="1028"/>
        </w:numPr>
        <w:pStyle w:val="Compact"/>
      </w:pPr>
      <w:r>
        <w:t xml:space="preserve">Создала исполняемый файл и проверила его работу. (рис. 25)</w:t>
      </w:r>
    </w:p>
    <w:p>
      <w:pPr>
        <w:pStyle w:val="CaptionedFigure"/>
      </w:pPr>
      <w:bookmarkStart w:id="146" w:name="fig:031"/>
      <w:r>
        <w:drawing>
          <wp:inline>
            <wp:extent cx="5334000" cy="2700016"/>
            <wp:effectExtent b="0" l="0" r="0" t="0"/>
            <wp:docPr descr="Рис. 25: Создание исполняемого файла и проверка его работы" title="" id="1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2-03-25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25: Создание исполняемого файла и проверка его работы</w:t>
      </w:r>
    </w:p>
    <w:p>
      <w:pPr>
        <w:numPr>
          <w:ilvl w:val="0"/>
          <w:numId w:val="1029"/>
        </w:numPr>
        <w:pStyle w:val="Compact"/>
      </w:pPr>
      <w:r>
        <w:t xml:space="preserve">С помощью отладчика определила и исправила ошибку в листинге 3. (рис. 26)</w:t>
      </w:r>
    </w:p>
    <w:p>
      <w:pPr>
        <w:pStyle w:val="CaptionedFigure"/>
      </w:pPr>
      <w:bookmarkStart w:id="150" w:name="fig:032"/>
      <w:r>
        <w:drawing>
          <wp:inline>
            <wp:extent cx="5334000" cy="2700016"/>
            <wp:effectExtent b="0" l="0" r="0" t="0"/>
            <wp:docPr descr="Рис. 26: Исправление ошибки" title="" id="1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2-22-0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26: Исправление ошибки</w:t>
      </w:r>
    </w:p>
    <w:p>
      <w:pPr>
        <w:numPr>
          <w:ilvl w:val="0"/>
          <w:numId w:val="1030"/>
        </w:numPr>
        <w:pStyle w:val="Compact"/>
      </w:pPr>
      <w:r>
        <w:t xml:space="preserve">Создала исполняемый файл и проверила его работу. (рис. 27)</w:t>
      </w:r>
    </w:p>
    <w:p>
      <w:pPr>
        <w:pStyle w:val="CaptionedFigure"/>
      </w:pPr>
      <w:bookmarkStart w:id="154" w:name="fig:033"/>
      <w:r>
        <w:drawing>
          <wp:inline>
            <wp:extent cx="5334000" cy="1247761"/>
            <wp:effectExtent b="0" l="0" r="0" t="0"/>
            <wp:docPr descr="Рис. 27: Создание исполняемого файла и проверка его работы" title="" id="1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2-17%2022-23-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27: Создание исполняемого файла и проверка его работы</w:t>
      </w:r>
    </w:p>
    <w:bookmarkEnd w:id="155"/>
    <w:bookmarkStart w:id="1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</w:t>
      </w:r>
      <w:r>
        <w:t xml:space="preserve"> </w:t>
      </w:r>
      <w:r>
        <w:t xml:space="preserve">Ознакомилась с методами отладки при помощи GDB и его основными возможностями.</w:t>
      </w:r>
    </w:p>
    <w:bookmarkEnd w:id="156"/>
    <w:bookmarkStart w:id="158" w:name="список-литературы"/>
    <w:p>
      <w:pPr>
        <w:pStyle w:val="Heading1"/>
      </w:pPr>
      <w:r>
        <w:t xml:space="preserve">Список литературы</w:t>
      </w:r>
    </w:p>
    <w:bookmarkStart w:id="157" w:name="refs"/>
    <w:bookmarkEnd w:id="157"/>
    <w:bookmarkEnd w:id="1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7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8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9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30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No10.</dc:title>
  <dc:creator>Рассолова Маргарита Сергеевна</dc:creator>
  <dc:language>ru-RU</dc:language>
  <cp:keywords/>
  <dcterms:created xsi:type="dcterms:W3CDTF">2022-12-17T20:45:46Z</dcterms:created>
  <dcterms:modified xsi:type="dcterms:W3CDTF">2022-12-17T20:45:46Z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