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6.png" ContentType="image/png"/>
  <Override PartName="/word/media/rId62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строка - это программа, которая эмулирует поле ввода в текстовом экране пользовательского интерфейса. Эту программу можно использовать для выполнения введенных команд и дополнительных функций администрирования.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Определила полное имя домашнего каталога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695700" cy="774700"/>
            <wp:effectExtent b="0" l="0" r="0" t="0"/>
            <wp:docPr descr="Figure 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28-0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Полное имя домашнего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Вывела на экран содержимое каталога tmp. Функции ключей: -а (позволяет увидеть скрытые файлы).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819881"/>
            <wp:effectExtent b="0" l="0" r="0" t="0"/>
            <wp:docPr descr="Figure 2: -а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31-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-а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Без ключа - видимые файлы.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308280"/>
            <wp:effectExtent b="0" l="0" r="0" t="0"/>
            <wp:docPr descr="Figure 3: без ключа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31-1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без ключа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Определила, что в каталоге /var/spool нет подкаталога с именем cron.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772682"/>
            <wp:effectExtent b="0" l="0" r="0" t="0"/>
            <wp:docPr descr="Figure 4: Проверка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34-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Проверка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Перешла в дом. каталог, вывела его содержимое и определила владельца каталогов и подкаталогов.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265842"/>
            <wp:effectExtent b="0" l="0" r="0" t="0"/>
            <wp:docPr descr="Figure 5: Владелец (под)каталогов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35-5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Владелец (под)каталогов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Создала каталог newdir. А в нем - morefun.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092700" cy="2095500"/>
            <wp:effectExtent b="0" l="0" r="0" t="0"/>
            <wp:docPr descr="Figure 6: Создание каталога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38-0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Создание каталога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дом. каталоге создала сразу 3 новых каталога.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381395"/>
            <wp:effectExtent b="0" l="0" r="0" t="0"/>
            <wp:docPr descr="Figure 7: Создание каталогов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41-3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каталогов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Удалила их.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701523"/>
            <wp:effectExtent b="0" l="0" r="0" t="0"/>
            <wp:docPr descr="Figure 8: Удаление каталогов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42-1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Удаление каталогов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Удалила ранее созданный каталог newdir.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4279900" cy="723900"/>
            <wp:effectExtent b="0" l="0" r="0" t="0"/>
            <wp:docPr descr="Figure 9: Удаление каталога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44-2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Удаление каталога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Morefun удалился одновременно.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74628"/>
            <wp:effectExtent b="0" l="0" r="0" t="0"/>
            <wp:docPr descr="Figure 10: Проверка удаления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45-1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Проверка удаления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Определила команду, которая показывает содержимое каталогов и подкаталогов.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5107599"/>
            <wp:effectExtent b="0" l="0" r="0" t="0"/>
            <wp:docPr descr="Figure 11: Нужная команда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20-29-0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Нужная команда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Определила набор опций команды ls.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2308921"/>
            <wp:effectExtent b="0" l="0" r="0" t="0"/>
            <wp:docPr descr="Figure 12: Набор опций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09-46-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Набор опций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Проделала то же самое с остальными командами.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4203700" cy="2654300"/>
            <wp:effectExtent b="0" l="0" r="0" t="0"/>
            <wp:docPr descr="Figure 13: Набор опций остальных команд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20-31-2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Набор опций остальных команд</w:t>
      </w:r>
    </w:p>
    <w:bookmarkEnd w:id="0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взаимодействия пользователя с системой посредством командной строки.</w:t>
      </w:r>
    </w:p>
    <w:bookmarkEnd w:id="75"/>
    <w:bookmarkStart w:id="7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Командная строка - это программа, которая эмулирует поле ввода в текстовом экране пользовательского интерфейса. Эту программу можно использовать для выполнения введенных команд и дополнительных функций администрирования.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mkdir. Пример в первом пункте выполнения лабораторной.</w:t>
      </w:r>
    </w:p>
    <w:p>
      <w:pPr>
        <w:numPr>
          <w:ilvl w:val="0"/>
          <w:numId w:val="1014"/>
        </w:numPr>
        <w:pStyle w:val="Compact"/>
      </w:pPr>
      <w:r>
        <w:t xml:space="preserve">Команда file.</w:t>
      </w:r>
    </w:p>
    <w:p>
      <w:pPr>
        <w:numPr>
          <w:ilvl w:val="0"/>
          <w:numId w:val="1014"/>
        </w:numPr>
        <w:pStyle w:val="Compact"/>
      </w:pPr>
      <w:r>
        <w:t xml:space="preserve">ls -a</w:t>
      </w:r>
    </w:p>
    <w:p>
      <w:pPr>
        <w:numPr>
          <w:ilvl w:val="0"/>
          <w:numId w:val="1014"/>
        </w:numPr>
        <w:pStyle w:val="Compact"/>
      </w:pPr>
      <w:r>
        <w:t xml:space="preserve">rm (для файла), rm -r (для каталога).</w:t>
      </w:r>
    </w:p>
    <w:p>
      <w:pPr>
        <w:numPr>
          <w:ilvl w:val="0"/>
          <w:numId w:val="1014"/>
        </w:numPr>
        <w:pStyle w:val="Compact"/>
      </w:pPr>
      <w:r>
        <w:t xml:space="preserve">history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62" Target="media/rId62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Рассолова Маргарита Сергеевна</dc:creator>
  <dc:language>ru-RU</dc:language>
  <cp:keywords/>
  <dcterms:created xsi:type="dcterms:W3CDTF">2023-03-04T19:13:19Z</dcterms:created>
  <dcterms:modified xsi:type="dcterms:W3CDTF">2023-03-04T19:13:19Z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