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Projet Site location vélo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Note de synthèse 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Description du projet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Le commanditaire du projet Mr.Afpa , gérant d’une entreprise de   Location de vélos a exprimé les besoins suivants 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Développer la présence en ligne de l'entreprise.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Langue en Français.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 vélo classique et électrique avec déscription.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Carte bleu accepté.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Couleur claire et couleur. 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776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Page d’administration: Gestion des articles et suivie des commande.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hébergée chez OVH.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Deux email associé au site web vous seras offert.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2.Obligation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Prix pour les particulier et professionnels en déplacement qui ont besoin de louer des  vélos sur Lille, lyon, bordeaux et paris.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 à l’heure, journées, semaines et mois.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Depuis tous types d’appareils.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3.Objectif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L’objectif du projet est de mettre en place un dispositif de communication en ligne permettant à l’entreprise une présence sur internet.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(Responsive Web Designe).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de début du projet : 19/08/2019 </w:t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de livraison : 31/09/2019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Devis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5415"/>
        <w:gridCol w:w="1260"/>
        <w:gridCol w:w="1425"/>
        <w:tblGridChange w:id="0">
          <w:tblGrid>
            <w:gridCol w:w="1410"/>
            <w:gridCol w:w="5415"/>
            <w:gridCol w:w="1260"/>
            <w:gridCol w:w="142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3f3f3"/>
                <w:sz w:val="28"/>
                <w:szCs w:val="28"/>
                <w:rtl w:val="0"/>
              </w:rPr>
              <w:t xml:space="preserve">Quantité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3f3f3"/>
                <w:sz w:val="28"/>
                <w:szCs w:val="28"/>
                <w:rtl w:val="0"/>
              </w:rPr>
              <w:t xml:space="preserve">Désignation 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3f3f3"/>
                <w:sz w:val="28"/>
                <w:szCs w:val="28"/>
                <w:rtl w:val="0"/>
              </w:rPr>
              <w:t xml:space="preserve">Prix unitaire HT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3f3f3"/>
                <w:sz w:val="28"/>
                <w:szCs w:val="28"/>
                <w:rtl w:val="0"/>
              </w:rPr>
              <w:t xml:space="preserve">Montant TTC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d'un site vitrine multilingue adapté à tous les écrans et équipé d'un système de réservation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6000€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Adaptation de la charte graphique pour le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Référencement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360 €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 l'hébergement et du domaine (abonnement annuel)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Publi-rédaction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Création d'emails dédiés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trike w:val="1"/>
                <w:sz w:val="28"/>
                <w:szCs w:val="28"/>
                <w:rtl w:val="0"/>
              </w:rPr>
              <w:t xml:space="preserve">120€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trike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"/>
        <w:gridCol w:w="1305"/>
        <w:gridCol w:w="1515"/>
        <w:tblGridChange w:id="0">
          <w:tblGrid>
            <w:gridCol w:w="6840"/>
            <w:gridCol w:w="1305"/>
            <w:gridCol w:w="1515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6080€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TVA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1270€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TTC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7350€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Net à payer (€)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7350€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N.B. Livrables réalisés conformément au cahier des charges conçu avec le droit de regard du client.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Signature du représentant de l’agence 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Signature du représentant: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Lu et accepté                                                                           Lu et accepté        </w:t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