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Layout w:type="fixed"/>
        <w:tblBorders>
          <w:top w:val="nil"/>
          <w:left w:val="nil"/>
          <w:bottom w:val="nil"/>
          <w:right w:val="nil"/>
          <w:insideH w:val="nil"/>
          <w:insideV w:val="nil"/>
        </w:tblBorders>
      </w:tblPr>
      <w:tblGrid>
        <w:gridCol w:w="6917"/>
        <w:gridCol w:w="3288"/>
      </w:tblGrid>
      <w:tr>
        <w:tc>
          <w:tcPr>
            <w:tcW w:type="dxa" w:w="6917"/>
            <w:shd w:val="clear" w:color="auto" w:fill="1F3A5F"/>
            <w:tcMar>
              <w:top w:w="110" w:type="dxa"/>
              <w:bottom w:w="110" w:type="dxa"/>
              <w:left w:w="200" w:type="dxa"/>
              <w:right w:w="60" w:type="dxa"/>
            </w:tcMar>
          </w:tcPr>
          <w:p>
            <w:pPr>
              <w:spacing w:after="0"/>
            </w:pPr>
            <w:r>
              <w:rPr>
                <w:b/>
                <w:i w:val="0"/>
                <w:color w:val="9FD3DA"/>
                <w:sz w:val="15"/>
              </w:rPr>
              <w:t>MODEL CARD</w:t>
            </w:r>
          </w:p>
          <w:p>
            <w:pPr>
              <w:spacing w:after="0"/>
            </w:pPr>
            <w:r>
              <w:rPr>
                <w:b/>
                <w:i w:val="0"/>
                <w:color w:val="FFFFFF"/>
                <w:sz w:val="34"/>
              </w:rPr>
              <w:t>Travel Query Intent Classifier</w:t>
            </w:r>
          </w:p>
          <w:p>
            <w:pPr>
              <w:spacing w:after="0"/>
            </w:pPr>
            <w:r>
              <w:rPr>
                <w:b w:val="0"/>
                <w:i w:val="0"/>
                <w:color w:val="DCE6F2"/>
                <w:sz w:val="16"/>
              </w:rPr>
              <w:t>TravelIntent-SVM v1 · TF-IDF + Linear SVM</w:t>
            </w:r>
          </w:p>
        </w:tc>
        <w:tc>
          <w:tcPr>
            <w:tcW w:type="dxa" w:w="3288"/>
            <w:shd w:val="clear" w:color="auto" w:fill="1F3A5F"/>
            <w:tcMar>
              <w:top w:w="110" w:type="dxa"/>
              <w:bottom w:w="110" w:type="dxa"/>
              <w:left w:w="60" w:type="dxa"/>
              <w:right w:w="200" w:type="dxa"/>
            </w:tcMar>
            <w:vAlign w:val="center"/>
          </w:tcPr>
          <w:p>
            <w:pPr>
              <w:spacing w:after="0"/>
              <w:jc w:val="right"/>
            </w:pPr>
            <w:r>
              <w:rPr>
                <w:b/>
                <w:i w:val="0"/>
                <w:color w:val="FFFFFF"/>
                <w:sz w:val="15"/>
              </w:rPr>
              <w:t>Symbiosis Artificial Intelligence Institute</w:t>
            </w:r>
          </w:p>
          <w:p>
            <w:pPr>
              <w:spacing w:after="0"/>
              <w:jc w:val="right"/>
            </w:pPr>
            <w:r>
              <w:rPr>
                <w:b w:val="0"/>
                <w:i w:val="0"/>
                <w:color w:val="DCE6F2"/>
                <w:sz w:val="15"/>
              </w:rPr>
              <w:t>Natural Language Processing · NLP-34</w:t>
            </w:r>
          </w:p>
          <w:p>
            <w:pPr>
              <w:spacing w:after="0"/>
              <w:jc w:val="right"/>
            </w:pPr>
            <w:r>
              <w:rPr>
                <w:b w:val="0"/>
                <w:i w:val="0"/>
                <w:color w:val="DCE6F2"/>
                <w:sz w:val="15"/>
              </w:rPr>
              <w:t>Academic year 2026-27 · October 2026</w:t>
            </w:r>
          </w:p>
        </w:tc>
      </w:tr>
    </w:tbl>
    <w:p>
      <w:pPr>
        <w:spacing w:after="60" w:before="60"/>
      </w:pPr>
      <w:r>
        <w:rPr>
          <w:b w:val="0"/>
          <w:i/>
          <w:color w:val="55657A"/>
          <w:sz w:val="14"/>
        </w:rPr>
        <w:t>Travel Query Intent Classification Using NLP. Every number on this card comes from one verified run (run ID 87f82a74, seed 42) of the project notebook on the ATIS benchmark, recomputed from stored predictions by Travel NLP Lab Studio.</w:t>
      </w:r>
    </w:p>
    <w:tbl>
      <w:tblPr>
        <w:tblW w:type="auto" w:w="0"/>
        <w:tblLayout w:type="fixed"/>
        <w:tblLook w:firstColumn="1" w:firstRow="1" w:lastColumn="0" w:lastRow="0" w:noHBand="0" w:noVBand="1" w:val="04A0"/>
        <w:tblLayout w:type="fixed"/>
        <w:tblBorders>
          <w:top w:val="nil"/>
          <w:left w:val="nil"/>
          <w:bottom w:val="nil"/>
          <w:right w:val="nil"/>
          <w:insideH w:val="nil"/>
          <w:insideV w:val="nil"/>
        </w:tblBorders>
      </w:tblPr>
      <w:tblGrid>
        <w:gridCol w:w="2551"/>
        <w:gridCol w:w="2551"/>
        <w:gridCol w:w="2551"/>
        <w:gridCol w:w="2551"/>
      </w:tblGrid>
      <w:tr>
        <w:tc>
          <w:tcPr>
            <w:tcW w:type="dxa" w:w="2551"/>
            <w:shd w:val="clear" w:color="auto" w:fill="EAF1F8"/>
            <w:tcMar>
              <w:top w:w="60" w:type="dxa"/>
              <w:bottom w:w="60" w:type="dxa"/>
              <w:left w:w="110" w:type="dxa"/>
              <w:right w:w="60" w:type="dxa"/>
            </w:tcMar>
            <w:tcBorders>
              <w:left w:val="single" w:sz="24" w:color="FFFFFF"/>
              <w:right w:val="single" w:sz="24" w:color="FFFFFF"/>
            </w:tcBorders>
          </w:tcPr>
          <w:p>
            <w:pPr>
              <w:spacing w:after="0"/>
            </w:pPr>
            <w:r>
              <w:rPr>
                <w:b/>
                <w:i w:val="0"/>
                <w:color w:val="1B7F8C"/>
                <w:sz w:val="32"/>
              </w:rPr>
              <w:t>95.4%</w:t>
            </w:r>
          </w:p>
          <w:p>
            <w:pPr>
              <w:spacing w:after="0"/>
            </w:pPr>
            <w:r>
              <w:rPr>
                <w:b/>
                <w:i w:val="0"/>
                <w:color w:val="1F3A5F"/>
                <w:sz w:val="16"/>
              </w:rPr>
              <w:t>Accuracy</w:t>
            </w:r>
          </w:p>
          <w:p>
            <w:pPr>
              <w:spacing w:after="0"/>
            </w:pPr>
            <w:r>
              <w:rPr>
                <w:b w:val="0"/>
                <w:i w:val="0"/>
                <w:color w:val="55657A"/>
                <w:sz w:val="13"/>
              </w:rPr>
              <w:t>850 test queries</w:t>
            </w:r>
          </w:p>
        </w:tc>
        <w:tc>
          <w:tcPr>
            <w:tcW w:type="dxa" w:w="2551"/>
            <w:shd w:val="clear" w:color="auto" w:fill="EAF1F8"/>
            <w:tcMar>
              <w:top w:w="60" w:type="dxa"/>
              <w:bottom w:w="60" w:type="dxa"/>
              <w:left w:w="110" w:type="dxa"/>
              <w:right w:w="60" w:type="dxa"/>
            </w:tcMar>
            <w:tcBorders>
              <w:left w:val="single" w:sz="24" w:color="FFFFFF"/>
              <w:right w:val="single" w:sz="24" w:color="FFFFFF"/>
            </w:tcBorders>
          </w:tcPr>
          <w:p>
            <w:pPr>
              <w:spacing w:after="0"/>
            </w:pPr>
            <w:r>
              <w:rPr>
                <w:b/>
                <w:i w:val="0"/>
                <w:color w:val="1B7F8C"/>
                <w:sz w:val="32"/>
              </w:rPr>
              <w:t>0.683</w:t>
            </w:r>
          </w:p>
          <w:p>
            <w:pPr>
              <w:spacing w:after="0"/>
            </w:pPr>
            <w:r>
              <w:rPr>
                <w:b/>
                <w:i w:val="0"/>
                <w:color w:val="1F3A5F"/>
                <w:sz w:val="16"/>
              </w:rPr>
              <w:t>Macro-F1</w:t>
            </w:r>
          </w:p>
          <w:p>
            <w:pPr>
              <w:spacing w:after="0"/>
            </w:pPr>
            <w:r>
              <w:rPr>
                <w:b w:val="0"/>
                <w:i w:val="0"/>
                <w:color w:val="55657A"/>
                <w:sz w:val="13"/>
              </w:rPr>
              <w:t>95% CI 0.589–0.714</w:t>
            </w:r>
          </w:p>
        </w:tc>
        <w:tc>
          <w:tcPr>
            <w:tcW w:type="dxa" w:w="2551"/>
            <w:shd w:val="clear" w:color="auto" w:fill="EAF1F8"/>
            <w:tcMar>
              <w:top w:w="60" w:type="dxa"/>
              <w:bottom w:w="60" w:type="dxa"/>
              <w:left w:w="110" w:type="dxa"/>
              <w:right w:w="60" w:type="dxa"/>
            </w:tcMar>
            <w:tcBorders>
              <w:left w:val="single" w:sz="24" w:color="FFFFFF"/>
              <w:right w:val="single" w:sz="24" w:color="FFFFFF"/>
            </w:tcBorders>
          </w:tcPr>
          <w:p>
            <w:pPr>
              <w:spacing w:after="0"/>
            </w:pPr>
            <w:r>
              <w:rPr>
                <w:b/>
                <w:i w:val="0"/>
                <w:color w:val="6B7C93"/>
                <w:sz w:val="32"/>
              </w:rPr>
              <w:t>72.1%</w:t>
            </w:r>
          </w:p>
          <w:p>
            <w:pPr>
              <w:spacing w:after="0"/>
            </w:pPr>
            <w:r>
              <w:rPr>
                <w:b/>
                <w:i w:val="0"/>
                <w:color w:val="1F3A5F"/>
                <w:sz w:val="16"/>
              </w:rPr>
              <w:t>Baseline accuracy</w:t>
            </w:r>
          </w:p>
          <w:p>
            <w:pPr>
              <w:spacing w:after="0"/>
            </w:pPr>
            <w:r>
              <w:rPr>
                <w:b w:val="0"/>
                <w:i w:val="0"/>
                <w:color w:val="55657A"/>
                <w:sz w:val="13"/>
              </w:rPr>
              <w:t>always “flight”; Macro-F1 0.042</w:t>
            </w:r>
          </w:p>
        </w:tc>
        <w:tc>
          <w:tcPr>
            <w:tcW w:type="dxa" w:w="2551"/>
            <w:shd w:val="clear" w:color="auto" w:fill="E4F3F0"/>
            <w:tcMar>
              <w:top w:w="60" w:type="dxa"/>
              <w:bottom w:w="60" w:type="dxa"/>
              <w:left w:w="110" w:type="dxa"/>
              <w:right w:w="60" w:type="dxa"/>
            </w:tcMar>
            <w:tcBorders>
              <w:left w:val="single" w:sz="24" w:color="FFFFFF"/>
              <w:right w:val="single" w:sz="24" w:color="FFFFFF"/>
            </w:tcBorders>
          </w:tcPr>
          <w:p>
            <w:pPr>
              <w:spacing w:after="0"/>
            </w:pPr>
            <w:r>
              <w:rPr>
                <w:b/>
                <w:i w:val="0"/>
                <w:color w:val="1B7F8C"/>
                <w:sz w:val="32"/>
              </w:rPr>
              <w:t>99.0%</w:t>
            </w:r>
          </w:p>
          <w:p>
            <w:pPr>
              <w:spacing w:after="0"/>
            </w:pPr>
            <w:r>
              <w:rPr>
                <w:b/>
                <w:i w:val="0"/>
                <w:color w:val="1F3A5F"/>
                <w:sz w:val="16"/>
              </w:rPr>
              <w:t>Accuracy kept</w:t>
            </w:r>
          </w:p>
          <w:p>
            <w:pPr>
              <w:spacing w:after="0"/>
            </w:pPr>
            <w:r>
              <w:rPr>
                <w:b w:val="0"/>
                <w:i w:val="0"/>
                <w:color w:val="55657A"/>
                <w:sz w:val="13"/>
              </w:rPr>
              <w:t>after routing the 20% least-certain to a person</w:t>
            </w:r>
          </w:p>
        </w:tc>
      </w:tr>
    </w:tbl>
    <w:p>
      <w:pPr>
        <w:spacing w:after="0" w:line="80" w:lineRule="exact"/>
      </w:pPr>
    </w:p>
    <w:tbl>
      <w:tblPr>
        <w:tblW w:type="auto" w:w="0"/>
        <w:tblLayout w:type="fixed"/>
        <w:tblLook w:firstColumn="1" w:firstRow="1" w:lastColumn="0" w:lastRow="0" w:noHBand="0" w:noVBand="1" w:val="04A0"/>
        <w:tblLayout w:type="fixed"/>
        <w:tblBorders>
          <w:top w:val="nil"/>
          <w:left w:val="nil"/>
          <w:bottom w:val="nil"/>
          <w:right w:val="nil"/>
          <w:insideH w:val="nil"/>
          <w:insideV w:val="nil"/>
        </w:tblBorders>
      </w:tblPr>
      <w:tblGrid>
        <w:gridCol w:w="79"/>
        <w:gridCol w:w="10125"/>
      </w:tblGrid>
      <w:tr>
        <w:tc>
          <w:tcPr>
            <w:tcW w:type="dxa" w:w="79"/>
            <w:shd w:val="clear" w:color="auto" w:fill="1B7F8C"/>
            <w:tcMar>
              <w:top w:w="0" w:type="dxa"/>
              <w:bottom w:w="0" w:type="dxa"/>
              <w:left w:w="0" w:type="dxa"/>
              <w:right w:w="0" w:type="dxa"/>
            </w:tcMar>
          </w:tcPr>
          <w:p>
            <w:pPr>
              <w:spacing w:after="0"/>
            </w:pPr>
          </w:p>
        </w:tc>
        <w:tc>
          <w:tcPr>
            <w:tcW w:type="dxa" w:w="10125"/>
            <w:tcMar>
              <w:top w:w="30" w:type="dxa"/>
              <w:bottom w:w="30" w:type="dxa"/>
              <w:left w:w="110" w:type="dxa"/>
              <w:right w:w="0" w:type="dxa"/>
            </w:tcMar>
          </w:tcPr>
          <w:p>
            <w:pPr>
              <w:spacing w:after="0"/>
            </w:pPr>
            <w:r>
              <w:rPr>
                <w:b/>
                <w:i w:val="0"/>
                <w:color w:val="1B7F8C"/>
                <w:sz w:val="19"/>
              </w:rPr>
              <w:t xml:space="preserve">1  </w:t>
            </w:r>
            <w:r>
              <w:rPr>
                <w:b/>
                <w:i w:val="0"/>
                <w:color w:val="1F3A5F"/>
                <w:sz w:val="19"/>
              </w:rPr>
              <w:t>Model details</w:t>
            </w:r>
          </w:p>
        </w:tc>
      </w:tr>
    </w:tbl>
    <w:p>
      <w:pPr>
        <w:spacing w:after="0" w:line="40" w:lineRule="exact"/>
      </w:pPr>
    </w:p>
    <w:tbl>
      <w:tblPr>
        <w:tblW w:type="auto" w:w="0"/>
        <w:tblLayout w:type="fixed"/>
        <w:tblLook w:firstColumn="1" w:firstRow="1" w:lastColumn="0" w:lastRow="0" w:noHBand="0" w:noVBand="1" w:val="04A0"/>
        <w:tblLayout w:type="fixed"/>
        <w:tblBorders>
          <w:top w:val="single" w:sz="4" w:space="0" w:color="C9D6E3"/>
          <w:left w:val="single" w:sz="4" w:space="0" w:color="C9D6E3"/>
          <w:bottom w:val="single" w:sz="4" w:space="0" w:color="C9D6E3"/>
          <w:right w:val="single" w:sz="4" w:space="0" w:color="C9D6E3"/>
          <w:insideH w:val="single" w:sz="4" w:space="0" w:color="C9D6E3"/>
          <w:insideV w:val="single" w:sz="4" w:space="0" w:color="C9D6E3"/>
        </w:tblBorders>
      </w:tblPr>
      <w:tblGrid>
        <w:gridCol w:w="1701"/>
        <w:gridCol w:w="8504"/>
      </w:tblGrid>
      <w:tr>
        <w:tc>
          <w:tcPr>
            <w:tcW w:type="dxa" w:w="1701"/>
            <w:tcMar>
              <w:top w:w="25" w:type="dxa"/>
              <w:bottom w:w="25" w:type="dxa"/>
              <w:left w:w="80" w:type="dxa"/>
              <w:right w:w="80" w:type="dxa"/>
            </w:tcMar>
            <w:vAlign w:val="center"/>
            <w:shd w:val="clear" w:color="auto" w:fill="1F3A5F"/>
          </w:tcPr>
          <w:p>
            <w:pPr>
              <w:spacing w:after="0"/>
            </w:pPr>
            <w:r>
              <w:rPr>
                <w:b/>
                <w:i w:val="0"/>
                <w:color w:val="FFFFFF"/>
                <w:sz w:val="15"/>
              </w:rPr>
              <w:t>Field</w:t>
            </w:r>
          </w:p>
        </w:tc>
        <w:tc>
          <w:tcPr>
            <w:tcW w:type="dxa" w:w="8504"/>
            <w:tcMar>
              <w:top w:w="25" w:type="dxa"/>
              <w:bottom w:w="25" w:type="dxa"/>
              <w:left w:w="80" w:type="dxa"/>
              <w:right w:w="80" w:type="dxa"/>
            </w:tcMar>
            <w:vAlign w:val="center"/>
            <w:shd w:val="clear" w:color="auto" w:fill="1F3A5F"/>
          </w:tcPr>
          <w:p>
            <w:pPr>
              <w:spacing w:after="0"/>
            </w:pPr>
            <w:r>
              <w:rPr>
                <w:b/>
                <w:i w:val="0"/>
                <w:color w:val="FFFFFF"/>
                <w:sz w:val="15"/>
              </w:rPr>
              <w:t>Description</w:t>
            </w:r>
          </w:p>
        </w:tc>
      </w:tr>
      <w:tr>
        <w:tc>
          <w:tcPr>
            <w:tcW w:type="dxa" w:w="1701"/>
            <w:tcMar>
              <w:top w:w="25" w:type="dxa"/>
              <w:bottom w:w="25" w:type="dxa"/>
              <w:left w:w="80" w:type="dxa"/>
              <w:right w:w="80" w:type="dxa"/>
            </w:tcMar>
            <w:vAlign w:val="center"/>
            <w:shd w:val="clear" w:color="auto" w:fill="EAF1F8"/>
          </w:tcPr>
          <w:p>
            <w:pPr>
              <w:spacing w:after="0"/>
            </w:pPr>
            <w:r>
              <w:rPr>
                <w:b/>
                <w:i w:val="0"/>
                <w:color w:val="1F3A5F"/>
                <w:sz w:val="15"/>
              </w:rPr>
              <w:t>Task</w:t>
            </w:r>
          </w:p>
        </w:tc>
        <w:tc>
          <w:tcPr>
            <w:tcW w:type="dxa" w:w="8504"/>
            <w:tcMar>
              <w:top w:w="25" w:type="dxa"/>
              <w:bottom w:w="25" w:type="dxa"/>
              <w:left w:w="80" w:type="dxa"/>
              <w:right w:w="80" w:type="dxa"/>
            </w:tcMar>
            <w:vAlign w:val="center"/>
          </w:tcPr>
          <w:p>
            <w:pPr>
              <w:spacing w:after="0"/>
            </w:pPr>
            <w:r>
              <w:rPr>
                <w:b w:val="0"/>
                <w:i w:val="0"/>
                <w:sz w:val="15"/>
              </w:rPr>
              <w:t>Single-label intent classification of English travel queries (22 intents seen in training, e.g. flight, airfare, airline, ground_service, abbreviation)</w:t>
            </w:r>
          </w:p>
        </w:tc>
      </w:tr>
      <w:tr>
        <w:tc>
          <w:tcPr>
            <w:tcW w:type="dxa" w:w="1701"/>
            <w:tcMar>
              <w:top w:w="25" w:type="dxa"/>
              <w:bottom w:w="25" w:type="dxa"/>
              <w:left w:w="80" w:type="dxa"/>
              <w:right w:w="80" w:type="dxa"/>
            </w:tcMar>
            <w:vAlign w:val="center"/>
            <w:shd w:val="clear" w:color="auto" w:fill="EAF1F8"/>
          </w:tcPr>
          <w:p>
            <w:pPr>
              <w:spacing w:after="0"/>
            </w:pPr>
            <w:r>
              <w:rPr>
                <w:b/>
                <w:i w:val="0"/>
                <w:color w:val="1F3A5F"/>
                <w:sz w:val="15"/>
              </w:rPr>
              <w:t>Model</w:t>
            </w:r>
          </w:p>
        </w:tc>
        <w:tc>
          <w:tcPr>
            <w:tcW w:type="dxa" w:w="8504"/>
            <w:tcMar>
              <w:top w:w="25" w:type="dxa"/>
              <w:bottom w:w="25" w:type="dxa"/>
              <w:left w:w="80" w:type="dxa"/>
              <w:right w:w="80" w:type="dxa"/>
            </w:tcMar>
            <w:vAlign w:val="center"/>
            <w:shd w:val="clear" w:color="auto" w:fill="F6F9FC"/>
          </w:tcPr>
          <w:p>
            <w:pPr>
              <w:spacing w:after="0"/>
            </w:pPr>
            <w:r>
              <w:rPr>
                <w:b w:val="0"/>
                <w:i w:val="0"/>
                <w:sz w:val="15"/>
              </w:rPr>
              <w:t>TF-IDF (word unigrams + bigrams, sublinear tf, 6,772 features) + Linear SVM (LinearSVC, class_weight = balanced, max_iter = 5000)</w:t>
            </w:r>
          </w:p>
        </w:tc>
      </w:tr>
      <w:tr>
        <w:tc>
          <w:tcPr>
            <w:tcW w:type="dxa" w:w="1701"/>
            <w:tcMar>
              <w:top w:w="25" w:type="dxa"/>
              <w:bottom w:w="25" w:type="dxa"/>
              <w:left w:w="80" w:type="dxa"/>
              <w:right w:w="80" w:type="dxa"/>
            </w:tcMar>
            <w:vAlign w:val="center"/>
            <w:shd w:val="clear" w:color="auto" w:fill="EAF1F8"/>
          </w:tcPr>
          <w:p>
            <w:pPr>
              <w:spacing w:after="0"/>
            </w:pPr>
            <w:r>
              <w:rPr>
                <w:b/>
                <w:i w:val="0"/>
                <w:color w:val="1F3A5F"/>
                <w:sz w:val="15"/>
              </w:rPr>
              <w:t>Model selection</w:t>
            </w:r>
          </w:p>
        </w:tc>
        <w:tc>
          <w:tcPr>
            <w:tcW w:type="dxa" w:w="8504"/>
            <w:tcMar>
              <w:top w:w="25" w:type="dxa"/>
              <w:bottom w:w="25" w:type="dxa"/>
              <w:left w:w="80" w:type="dxa"/>
              <w:right w:w="80" w:type="dxa"/>
            </w:tcMar>
            <w:vAlign w:val="center"/>
          </w:tcPr>
          <w:p>
            <w:pPr>
              <w:spacing w:after="0"/>
            </w:pPr>
            <w:r>
              <w:rPr>
                <w:b w:val="0"/>
                <w:i w:val="0"/>
                <w:sz w:val="15"/>
              </w:rPr>
              <w:t>Best of 3 (Logistic Regression, Linear SVM, Multinomial Naive Bayes) by 5-fold stratified CV Macro-F1 on training data only (Linear SVM 0.784 ± 0.033)</w:t>
            </w:r>
          </w:p>
        </w:tc>
      </w:tr>
      <w:tr>
        <w:tc>
          <w:tcPr>
            <w:tcW w:type="dxa" w:w="1701"/>
            <w:tcMar>
              <w:top w:w="25" w:type="dxa"/>
              <w:bottom w:w="25" w:type="dxa"/>
              <w:left w:w="80" w:type="dxa"/>
              <w:right w:w="80" w:type="dxa"/>
            </w:tcMar>
            <w:vAlign w:val="center"/>
            <w:shd w:val="clear" w:color="auto" w:fill="EAF1F8"/>
          </w:tcPr>
          <w:p>
            <w:pPr>
              <w:spacing w:after="0"/>
            </w:pPr>
            <w:r>
              <w:rPr>
                <w:b/>
                <w:i w:val="0"/>
                <w:color w:val="1F3A5F"/>
                <w:sz w:val="15"/>
              </w:rPr>
              <w:t>Training data</w:t>
            </w:r>
          </w:p>
        </w:tc>
        <w:tc>
          <w:tcPr>
            <w:tcW w:type="dxa" w:w="8504"/>
            <w:tcMar>
              <w:top w:w="25" w:type="dxa"/>
              <w:bottom w:w="25" w:type="dxa"/>
              <w:left w:w="80" w:type="dxa"/>
              <w:right w:w="80" w:type="dxa"/>
            </w:tcMar>
            <w:vAlign w:val="center"/>
            <w:shd w:val="clear" w:color="auto" w:fill="F6F9FC"/>
          </w:tcPr>
          <w:p>
            <w:pPr>
              <w:spacing w:after="0"/>
            </w:pPr>
            <w:r>
              <w:rPr>
                <w:b w:val="0"/>
                <w:i w:val="0"/>
                <w:sz w:val="15"/>
              </w:rPr>
              <w:t>ATIS (Airline Travel Information System) training file: 4,623 queries after removing repeats and train/test overlap (raw: 4,978); “flight” is 74.1%</w:t>
            </w:r>
          </w:p>
        </w:tc>
      </w:tr>
      <w:tr>
        <w:tc>
          <w:tcPr>
            <w:tcW w:type="dxa" w:w="1701"/>
            <w:tcMar>
              <w:top w:w="25" w:type="dxa"/>
              <w:bottom w:w="25" w:type="dxa"/>
              <w:left w:w="80" w:type="dxa"/>
              <w:right w:w="80" w:type="dxa"/>
            </w:tcMar>
            <w:vAlign w:val="center"/>
            <w:shd w:val="clear" w:color="auto" w:fill="EAF1F8"/>
          </w:tcPr>
          <w:p>
            <w:pPr>
              <w:spacing w:after="0"/>
            </w:pPr>
            <w:r>
              <w:rPr>
                <w:b/>
                <w:i w:val="0"/>
                <w:color w:val="1F3A5F"/>
                <w:sz w:val="15"/>
              </w:rPr>
              <w:t>Test data</w:t>
            </w:r>
          </w:p>
        </w:tc>
        <w:tc>
          <w:tcPr>
            <w:tcW w:type="dxa" w:w="8504"/>
            <w:tcMar>
              <w:top w:w="25" w:type="dxa"/>
              <w:bottom w:w="25" w:type="dxa"/>
              <w:left w:w="80" w:type="dxa"/>
              <w:right w:w="80" w:type="dxa"/>
            </w:tcMar>
            <w:vAlign w:val="center"/>
          </w:tcPr>
          <w:p>
            <w:pPr>
              <w:spacing w:after="0"/>
            </w:pPr>
            <w:r>
              <w:rPr>
                <w:b w:val="0"/>
                <w:i w:val="0"/>
                <w:sz w:val="15"/>
              </w:rPr>
              <w:t>ATIS test file: 850 held-out queries (raw: 893), 20 intents; evaluated once</w:t>
            </w:r>
          </w:p>
        </w:tc>
      </w:tr>
      <w:tr>
        <w:tc>
          <w:tcPr>
            <w:tcW w:type="dxa" w:w="1701"/>
            <w:tcMar>
              <w:top w:w="25" w:type="dxa"/>
              <w:bottom w:w="25" w:type="dxa"/>
              <w:left w:w="80" w:type="dxa"/>
              <w:right w:w="80" w:type="dxa"/>
            </w:tcMar>
            <w:vAlign w:val="center"/>
            <w:shd w:val="clear" w:color="auto" w:fill="EAF1F8"/>
          </w:tcPr>
          <w:p>
            <w:pPr>
              <w:spacing w:after="0"/>
            </w:pPr>
            <w:r>
              <w:rPr>
                <w:b/>
                <w:i w:val="0"/>
                <w:color w:val="1F3A5F"/>
                <w:sz w:val="15"/>
              </w:rPr>
              <w:t>Preprocessing</w:t>
            </w:r>
          </w:p>
        </w:tc>
        <w:tc>
          <w:tcPr>
            <w:tcW w:type="dxa" w:w="8504"/>
            <w:tcMar>
              <w:top w:w="25" w:type="dxa"/>
              <w:bottom w:w="25" w:type="dxa"/>
              <w:left w:w="80" w:type="dxa"/>
              <w:right w:w="80" w:type="dxa"/>
            </w:tcMar>
            <w:vAlign w:val="center"/>
            <w:shd w:val="clear" w:color="auto" w:fill="F6F9FC"/>
          </w:tcPr>
          <w:p>
            <w:pPr>
              <w:spacing w:after="0"/>
            </w:pPr>
            <w:r>
              <w:rPr>
                <w:b w:val="0"/>
                <w:i w:val="0"/>
                <w:sz w:val="15"/>
              </w:rPr>
              <w:t>Lower-casing, whitespace normalisation; repeated queries removed; conflict and overlap checks; stop words kept (“which”, “what” carry intent); no stemming</w:t>
            </w:r>
          </w:p>
        </w:tc>
      </w:tr>
      <w:tr>
        <w:tc>
          <w:tcPr>
            <w:tcW w:type="dxa" w:w="1701"/>
            <w:tcMar>
              <w:top w:w="25" w:type="dxa"/>
              <w:bottom w:w="25" w:type="dxa"/>
              <w:left w:w="80" w:type="dxa"/>
              <w:right w:w="80" w:type="dxa"/>
            </w:tcMar>
            <w:vAlign w:val="center"/>
            <w:shd w:val="clear" w:color="auto" w:fill="EAF1F8"/>
          </w:tcPr>
          <w:p>
            <w:pPr>
              <w:spacing w:after="0"/>
            </w:pPr>
            <w:r>
              <w:rPr>
                <w:b/>
                <w:i w:val="0"/>
                <w:color w:val="1F3A5F"/>
                <w:sz w:val="15"/>
              </w:rPr>
              <w:t>Libraries</w:t>
            </w:r>
          </w:p>
        </w:tc>
        <w:tc>
          <w:tcPr>
            <w:tcW w:type="dxa" w:w="8504"/>
            <w:tcMar>
              <w:top w:w="25" w:type="dxa"/>
              <w:bottom w:w="25" w:type="dxa"/>
              <w:left w:w="80" w:type="dxa"/>
              <w:right w:w="80" w:type="dxa"/>
            </w:tcMar>
            <w:vAlign w:val="center"/>
          </w:tcPr>
          <w:p>
            <w:pPr>
              <w:spacing w:after="0"/>
            </w:pPr>
            <w:r>
              <w:rPr>
                <w:b w:val="0"/>
                <w:i w:val="0"/>
                <w:sz w:val="15"/>
              </w:rPr>
              <w:t>Python 3.12.3, scikit-learn 1.8.0, pandas 3.0.2, NumPy 2.4.4; app: Streamlit, Plotly</w:t>
            </w:r>
          </w:p>
        </w:tc>
      </w:tr>
      <w:tr>
        <w:tc>
          <w:tcPr>
            <w:tcW w:type="dxa" w:w="1701"/>
            <w:tcMar>
              <w:top w:w="25" w:type="dxa"/>
              <w:bottom w:w="25" w:type="dxa"/>
              <w:left w:w="80" w:type="dxa"/>
              <w:right w:w="80" w:type="dxa"/>
            </w:tcMar>
            <w:vAlign w:val="center"/>
            <w:shd w:val="clear" w:color="auto" w:fill="EAF1F8"/>
          </w:tcPr>
          <w:p>
            <w:pPr>
              <w:spacing w:after="0"/>
            </w:pPr>
            <w:r>
              <w:rPr>
                <w:b/>
                <w:i w:val="0"/>
                <w:color w:val="1F3A5F"/>
                <w:sz w:val="15"/>
              </w:rPr>
              <w:t>Developed by</w:t>
            </w:r>
          </w:p>
        </w:tc>
        <w:tc>
          <w:tcPr>
            <w:tcW w:type="dxa" w:w="8504"/>
            <w:tcMar>
              <w:top w:w="25" w:type="dxa"/>
              <w:bottom w:w="25" w:type="dxa"/>
              <w:left w:w="80" w:type="dxa"/>
              <w:right w:w="80" w:type="dxa"/>
            </w:tcMar>
            <w:vAlign w:val="center"/>
            <w:shd w:val="clear" w:color="auto" w:fill="F6F9FC"/>
          </w:tcPr>
          <w:p>
            <w:pPr>
              <w:spacing w:after="0"/>
            </w:pPr>
            <w:r>
              <w:rPr>
                <w:b w:val="0"/>
                <w:i w:val="0"/>
                <w:sz w:val="15"/>
              </w:rPr>
              <w:t>NLP-34 team, SAII — NLP course, October 2026</w:t>
            </w:r>
          </w:p>
        </w:tc>
      </w:tr>
    </w:tbl>
    <w:p>
      <w:pPr>
        <w:spacing w:after="0" w:line="80" w:lineRule="exact"/>
      </w:pPr>
    </w:p>
    <w:tbl>
      <w:tblPr>
        <w:tblW w:type="auto" w:w="0"/>
        <w:tblLayout w:type="fixed"/>
        <w:tblLook w:firstColumn="1" w:firstRow="1" w:lastColumn="0" w:lastRow="0" w:noHBand="0" w:noVBand="1" w:val="04A0"/>
        <w:tblLayout w:type="fixed"/>
        <w:tblBorders>
          <w:top w:val="nil"/>
          <w:left w:val="nil"/>
          <w:bottom w:val="nil"/>
          <w:right w:val="nil"/>
          <w:insideH w:val="nil"/>
          <w:insideV w:val="nil"/>
        </w:tblBorders>
      </w:tblPr>
      <w:tblGrid>
        <w:gridCol w:w="79"/>
        <w:gridCol w:w="10125"/>
      </w:tblGrid>
      <w:tr>
        <w:tc>
          <w:tcPr>
            <w:tcW w:type="dxa" w:w="79"/>
            <w:shd w:val="clear" w:color="auto" w:fill="1B7F8C"/>
            <w:tcMar>
              <w:top w:w="0" w:type="dxa"/>
              <w:bottom w:w="0" w:type="dxa"/>
              <w:left w:w="0" w:type="dxa"/>
              <w:right w:w="0" w:type="dxa"/>
            </w:tcMar>
          </w:tcPr>
          <w:p>
            <w:pPr>
              <w:spacing w:after="0"/>
            </w:pPr>
          </w:p>
        </w:tc>
        <w:tc>
          <w:tcPr>
            <w:tcW w:type="dxa" w:w="10125"/>
            <w:tcMar>
              <w:top w:w="30" w:type="dxa"/>
              <w:bottom w:w="30" w:type="dxa"/>
              <w:left w:w="110" w:type="dxa"/>
              <w:right w:w="0" w:type="dxa"/>
            </w:tcMar>
          </w:tcPr>
          <w:p>
            <w:pPr>
              <w:spacing w:after="0"/>
            </w:pPr>
            <w:r>
              <w:rPr>
                <w:b/>
                <w:i w:val="0"/>
                <w:color w:val="1B7F8C"/>
                <w:sz w:val="19"/>
              </w:rPr>
              <w:t xml:space="preserve">2  </w:t>
            </w:r>
            <w:r>
              <w:rPr>
                <w:b/>
                <w:i w:val="0"/>
                <w:color w:val="1F3A5F"/>
                <w:sz w:val="19"/>
              </w:rPr>
              <w:t>Intended use</w:t>
            </w:r>
          </w:p>
        </w:tc>
      </w:tr>
    </w:tbl>
    <w:p>
      <w:pPr>
        <w:spacing w:after="0" w:line="40" w:lineRule="exact"/>
      </w:pPr>
    </w:p>
    <w:p>
      <w:pPr>
        <w:spacing w:after="24" w:before="0"/>
        <w:ind w:left="227" w:hanging="181"/>
      </w:pPr>
      <w:r>
        <w:rPr>
          <w:b w:val="0"/>
          <w:i w:val="0"/>
          <w:color w:val="1B7F8C"/>
          <w:sz w:val="14"/>
        </w:rPr>
        <w:t xml:space="preserve">▪ </w:t>
      </w:r>
      <w:r>
        <w:rPr>
          <w:b/>
          <w:i w:val="0"/>
          <w:color w:val="1F3A5F"/>
          <w:sz w:val="15"/>
        </w:rPr>
        <w:t xml:space="preserve">Intended: </w:t>
      </w:r>
      <w:r>
        <w:rPr>
          <w:b w:val="0"/>
          <w:i w:val="0"/>
          <w:sz w:val="15"/>
        </w:rPr>
        <w:t>routing short English travel questions (flights, fares, airlines, ground transport, airport and aircraft information) to the right service in a travel chatbot or help desk; classroom demonstration of a classical, explainable NLP pipeline.</w:t>
      </w:r>
    </w:p>
    <w:p>
      <w:pPr>
        <w:spacing w:after="24" w:before="0"/>
        <w:ind w:left="227" w:hanging="181"/>
      </w:pPr>
      <w:r>
        <w:rPr>
          <w:b w:val="0"/>
          <w:i w:val="0"/>
          <w:color w:val="1B7F8C"/>
          <w:sz w:val="14"/>
        </w:rPr>
        <w:t xml:space="preserve">▪ </w:t>
      </w:r>
      <w:r>
        <w:rPr>
          <w:b/>
          <w:i w:val="0"/>
          <w:color w:val="1F3A5F"/>
          <w:sz w:val="15"/>
        </w:rPr>
        <w:t xml:space="preserve">Out of scope: </w:t>
      </w:r>
      <w:r>
        <w:rPr>
          <w:b w:val="0"/>
          <w:i w:val="0"/>
          <w:sz w:val="15"/>
        </w:rPr>
        <w:t>bookings, refunds or other binding decisions without human confirmation; non-English or code-mixed queries (e.g. Hinglish); hotel, rail or car-rental questions; intents never seen in training; multi-turn conversations.</w:t>
      </w:r>
    </w:p>
    <w:p>
      <w:pPr>
        <w:spacing w:after="0" w:line="60" w:lineRule="exact"/>
      </w:pPr>
    </w:p>
    <w:tbl>
      <w:tblPr>
        <w:tblW w:type="auto" w:w="0"/>
        <w:tblLayout w:type="fixed"/>
        <w:tblLook w:firstColumn="1" w:firstRow="1" w:lastColumn="0" w:lastRow="0" w:noHBand="0" w:noVBand="1" w:val="04A0"/>
        <w:tblLayout w:type="fixed"/>
        <w:tblBorders>
          <w:top w:val="nil"/>
          <w:left w:val="nil"/>
          <w:bottom w:val="nil"/>
          <w:right w:val="nil"/>
          <w:insideH w:val="nil"/>
          <w:insideV w:val="nil"/>
        </w:tblBorders>
      </w:tblPr>
      <w:tblGrid>
        <w:gridCol w:w="79"/>
        <w:gridCol w:w="10125"/>
      </w:tblGrid>
      <w:tr>
        <w:tc>
          <w:tcPr>
            <w:tcW w:type="dxa" w:w="79"/>
            <w:shd w:val="clear" w:color="auto" w:fill="1B7F8C"/>
            <w:tcMar>
              <w:top w:w="0" w:type="dxa"/>
              <w:bottom w:w="0" w:type="dxa"/>
              <w:left w:w="0" w:type="dxa"/>
              <w:right w:w="0" w:type="dxa"/>
            </w:tcMar>
          </w:tcPr>
          <w:p>
            <w:pPr>
              <w:spacing w:after="0"/>
            </w:pPr>
          </w:p>
        </w:tc>
        <w:tc>
          <w:tcPr>
            <w:tcW w:type="dxa" w:w="10125"/>
            <w:tcMar>
              <w:top w:w="30" w:type="dxa"/>
              <w:bottom w:w="30" w:type="dxa"/>
              <w:left w:w="110" w:type="dxa"/>
              <w:right w:w="0" w:type="dxa"/>
            </w:tcMar>
          </w:tcPr>
          <w:p>
            <w:pPr>
              <w:spacing w:after="0"/>
            </w:pPr>
            <w:r>
              <w:rPr>
                <w:b/>
                <w:i w:val="0"/>
                <w:color w:val="1B7F8C"/>
                <w:sz w:val="19"/>
              </w:rPr>
              <w:t xml:space="preserve">3  </w:t>
            </w:r>
            <w:r>
              <w:rPr>
                <w:b/>
                <w:i w:val="0"/>
                <w:color w:val="1F3A5F"/>
                <w:sz w:val="19"/>
              </w:rPr>
              <w:t>Overall performance</w:t>
            </w:r>
          </w:p>
        </w:tc>
      </w:tr>
    </w:tbl>
    <w:p>
      <w:pPr>
        <w:spacing w:after="0" w:line="40" w:lineRule="exact"/>
      </w:pPr>
    </w:p>
    <w:p>
      <w:pPr>
        <w:spacing w:after="40" w:before="0"/>
      </w:pPr>
      <w:r>
        <w:rPr>
          <w:b w:val="0"/>
          <w:i w:val="0"/>
        </w:rPr>
        <w:t>The model beats the majority-class baseline by 23.3 points of accuracy, and adds most on the less frequent intents, where the baseline scores almost nothing.</w:t>
      </w:r>
    </w:p>
    <w:tbl>
      <w:tblPr>
        <w:tblW w:type="auto" w:w="0"/>
        <w:tblLayout w:type="fixed"/>
        <w:tblLook w:firstColumn="1" w:firstRow="1" w:lastColumn="0" w:lastRow="0" w:noHBand="0" w:noVBand="1" w:val="04A0"/>
        <w:tblLayout w:type="fixed"/>
        <w:tblBorders>
          <w:top w:val="single" w:sz="4" w:space="0" w:color="C9D6E3"/>
          <w:left w:val="single" w:sz="4" w:space="0" w:color="C9D6E3"/>
          <w:bottom w:val="single" w:sz="4" w:space="0" w:color="C9D6E3"/>
          <w:right w:val="single" w:sz="4" w:space="0" w:color="C9D6E3"/>
          <w:insideH w:val="single" w:sz="4" w:space="0" w:color="C9D6E3"/>
          <w:insideV w:val="single" w:sz="4" w:space="0" w:color="C9D6E3"/>
        </w:tblBorders>
      </w:tblPr>
      <w:tblGrid>
        <w:gridCol w:w="3742"/>
        <w:gridCol w:w="1191"/>
        <w:gridCol w:w="1474"/>
        <w:gridCol w:w="1304"/>
        <w:gridCol w:w="1191"/>
        <w:gridCol w:w="1304"/>
      </w:tblGrid>
      <w:tr>
        <w:tc>
          <w:tcPr>
            <w:tcW w:type="dxa" w:w="3742"/>
            <w:tcMar>
              <w:top w:w="25" w:type="dxa"/>
              <w:bottom w:w="25" w:type="dxa"/>
              <w:left w:w="80" w:type="dxa"/>
              <w:right w:w="80" w:type="dxa"/>
            </w:tcMar>
            <w:vAlign w:val="center"/>
            <w:shd w:val="clear" w:color="auto" w:fill="1F3A5F"/>
          </w:tcPr>
          <w:p>
            <w:pPr>
              <w:spacing w:after="0"/>
            </w:pPr>
            <w:r>
              <w:rPr>
                <w:b/>
                <w:i w:val="0"/>
                <w:color w:val="FFFFFF"/>
                <w:sz w:val="15"/>
              </w:rPr>
              <w:t>Model</w:t>
            </w:r>
          </w:p>
        </w:tc>
        <w:tc>
          <w:tcPr>
            <w:tcW w:type="dxa" w:w="1191"/>
            <w:tcMar>
              <w:top w:w="25" w:type="dxa"/>
              <w:bottom w:w="25" w:type="dxa"/>
              <w:left w:w="80" w:type="dxa"/>
              <w:right w:w="80" w:type="dxa"/>
            </w:tcMar>
            <w:vAlign w:val="center"/>
            <w:shd w:val="clear" w:color="auto" w:fill="1F3A5F"/>
          </w:tcPr>
          <w:p>
            <w:pPr>
              <w:spacing w:after="0"/>
              <w:jc w:val="center"/>
            </w:pPr>
            <w:r>
              <w:rPr>
                <w:b/>
                <w:i w:val="0"/>
                <w:color w:val="FFFFFF"/>
                <w:sz w:val="15"/>
              </w:rPr>
              <w:t>Accuracy</w:t>
            </w:r>
          </w:p>
        </w:tc>
        <w:tc>
          <w:tcPr>
            <w:tcW w:type="dxa" w:w="1474"/>
            <w:tcMar>
              <w:top w:w="25" w:type="dxa"/>
              <w:bottom w:w="25" w:type="dxa"/>
              <w:left w:w="80" w:type="dxa"/>
              <w:right w:w="80" w:type="dxa"/>
            </w:tcMar>
            <w:vAlign w:val="center"/>
            <w:shd w:val="clear" w:color="auto" w:fill="1F3A5F"/>
          </w:tcPr>
          <w:p>
            <w:pPr>
              <w:spacing w:after="0"/>
              <w:jc w:val="center"/>
            </w:pPr>
            <w:r>
              <w:rPr>
                <w:b/>
                <w:i w:val="0"/>
                <w:color w:val="FFFFFF"/>
                <w:sz w:val="15"/>
              </w:rPr>
              <w:t>Precision (macro)</w:t>
            </w:r>
          </w:p>
        </w:tc>
        <w:tc>
          <w:tcPr>
            <w:tcW w:type="dxa" w:w="1304"/>
            <w:tcMar>
              <w:top w:w="25" w:type="dxa"/>
              <w:bottom w:w="25" w:type="dxa"/>
              <w:left w:w="80" w:type="dxa"/>
              <w:right w:w="80" w:type="dxa"/>
            </w:tcMar>
            <w:vAlign w:val="center"/>
            <w:shd w:val="clear" w:color="auto" w:fill="1F3A5F"/>
          </w:tcPr>
          <w:p>
            <w:pPr>
              <w:spacing w:after="0"/>
              <w:jc w:val="center"/>
            </w:pPr>
            <w:r>
              <w:rPr>
                <w:b/>
                <w:i w:val="0"/>
                <w:color w:val="FFFFFF"/>
                <w:sz w:val="15"/>
              </w:rPr>
              <w:t>Recall (macro)</w:t>
            </w:r>
          </w:p>
        </w:tc>
        <w:tc>
          <w:tcPr>
            <w:tcW w:type="dxa" w:w="1191"/>
            <w:tcMar>
              <w:top w:w="25" w:type="dxa"/>
              <w:bottom w:w="25" w:type="dxa"/>
              <w:left w:w="80" w:type="dxa"/>
              <w:right w:w="80" w:type="dxa"/>
            </w:tcMar>
            <w:vAlign w:val="center"/>
            <w:shd w:val="clear" w:color="auto" w:fill="1F3A5F"/>
          </w:tcPr>
          <w:p>
            <w:pPr>
              <w:spacing w:after="0"/>
              <w:jc w:val="center"/>
            </w:pPr>
            <w:r>
              <w:rPr>
                <w:b/>
                <w:i w:val="0"/>
                <w:color w:val="FFFFFF"/>
                <w:sz w:val="15"/>
              </w:rPr>
              <w:t>Macro-F1</w:t>
            </w:r>
          </w:p>
        </w:tc>
        <w:tc>
          <w:tcPr>
            <w:tcW w:type="dxa" w:w="1304"/>
            <w:tcMar>
              <w:top w:w="25" w:type="dxa"/>
              <w:bottom w:w="25" w:type="dxa"/>
              <w:left w:w="80" w:type="dxa"/>
              <w:right w:w="80" w:type="dxa"/>
            </w:tcMar>
            <w:vAlign w:val="center"/>
            <w:shd w:val="clear" w:color="auto" w:fill="1F3A5F"/>
          </w:tcPr>
          <w:p>
            <w:pPr>
              <w:spacing w:after="0"/>
              <w:jc w:val="center"/>
            </w:pPr>
            <w:r>
              <w:rPr>
                <w:b/>
                <w:i w:val="0"/>
                <w:color w:val="FFFFFF"/>
                <w:sz w:val="15"/>
              </w:rPr>
              <w:t>Weighted-F1</w:t>
            </w:r>
          </w:p>
        </w:tc>
      </w:tr>
      <w:tr>
        <w:tc>
          <w:tcPr>
            <w:tcW w:type="dxa" w:w="3742"/>
            <w:tcMar>
              <w:top w:w="25" w:type="dxa"/>
              <w:bottom w:w="25" w:type="dxa"/>
              <w:left w:w="80" w:type="dxa"/>
              <w:right w:w="80" w:type="dxa"/>
            </w:tcMar>
            <w:vAlign w:val="center"/>
          </w:tcPr>
          <w:p>
            <w:pPr>
              <w:spacing w:after="0"/>
            </w:pPr>
            <w:r>
              <w:rPr>
                <w:b w:val="0"/>
                <w:i w:val="0"/>
                <w:sz w:val="15"/>
              </w:rPr>
              <w:t>Majority-class baseline</w:t>
            </w:r>
          </w:p>
        </w:tc>
        <w:tc>
          <w:tcPr>
            <w:tcW w:type="dxa" w:w="1191"/>
            <w:tcMar>
              <w:top w:w="25" w:type="dxa"/>
              <w:bottom w:w="25" w:type="dxa"/>
              <w:left w:w="80" w:type="dxa"/>
              <w:right w:w="80" w:type="dxa"/>
            </w:tcMar>
            <w:vAlign w:val="center"/>
          </w:tcPr>
          <w:p>
            <w:pPr>
              <w:spacing w:after="0"/>
              <w:jc w:val="center"/>
            </w:pPr>
            <w:r>
              <w:rPr>
                <w:b w:val="0"/>
                <w:i w:val="0"/>
                <w:sz w:val="15"/>
              </w:rPr>
              <w:t>72.1%</w:t>
            </w:r>
          </w:p>
        </w:tc>
        <w:tc>
          <w:tcPr>
            <w:tcW w:type="dxa" w:w="1474"/>
            <w:tcMar>
              <w:top w:w="25" w:type="dxa"/>
              <w:bottom w:w="25" w:type="dxa"/>
              <w:left w:w="80" w:type="dxa"/>
              <w:right w:w="80" w:type="dxa"/>
            </w:tcMar>
            <w:vAlign w:val="center"/>
          </w:tcPr>
          <w:p>
            <w:pPr>
              <w:spacing w:after="0"/>
              <w:jc w:val="center"/>
            </w:pPr>
            <w:r>
              <w:rPr>
                <w:b w:val="0"/>
                <w:i w:val="0"/>
                <w:sz w:val="15"/>
              </w:rPr>
              <w:t>—</w:t>
            </w:r>
          </w:p>
        </w:tc>
        <w:tc>
          <w:tcPr>
            <w:tcW w:type="dxa" w:w="1304"/>
            <w:tcMar>
              <w:top w:w="25" w:type="dxa"/>
              <w:bottom w:w="25" w:type="dxa"/>
              <w:left w:w="80" w:type="dxa"/>
              <w:right w:w="80" w:type="dxa"/>
            </w:tcMar>
            <w:vAlign w:val="center"/>
          </w:tcPr>
          <w:p>
            <w:pPr>
              <w:spacing w:after="0"/>
              <w:jc w:val="center"/>
            </w:pPr>
            <w:r>
              <w:rPr>
                <w:b w:val="0"/>
                <w:i w:val="0"/>
                <w:sz w:val="15"/>
              </w:rPr>
              <w:t>—</w:t>
            </w:r>
          </w:p>
        </w:tc>
        <w:tc>
          <w:tcPr>
            <w:tcW w:type="dxa" w:w="1191"/>
            <w:tcMar>
              <w:top w:w="25" w:type="dxa"/>
              <w:bottom w:w="25" w:type="dxa"/>
              <w:left w:w="80" w:type="dxa"/>
              <w:right w:w="80" w:type="dxa"/>
            </w:tcMar>
            <w:vAlign w:val="center"/>
          </w:tcPr>
          <w:p>
            <w:pPr>
              <w:spacing w:after="0"/>
              <w:jc w:val="center"/>
            </w:pPr>
            <w:r>
              <w:rPr>
                <w:b w:val="0"/>
                <w:i w:val="0"/>
                <w:sz w:val="15"/>
              </w:rPr>
              <w:t>0.042</w:t>
            </w:r>
          </w:p>
        </w:tc>
        <w:tc>
          <w:tcPr>
            <w:tcW w:type="dxa" w:w="1304"/>
            <w:tcMar>
              <w:top w:w="25" w:type="dxa"/>
              <w:bottom w:w="25" w:type="dxa"/>
              <w:left w:w="80" w:type="dxa"/>
              <w:right w:w="80" w:type="dxa"/>
            </w:tcMar>
            <w:vAlign w:val="center"/>
          </w:tcPr>
          <w:p>
            <w:pPr>
              <w:spacing w:after="0"/>
              <w:jc w:val="center"/>
            </w:pPr>
            <w:r>
              <w:rPr>
                <w:b w:val="0"/>
                <w:i w:val="0"/>
                <w:sz w:val="15"/>
              </w:rPr>
              <w:t>—</w:t>
            </w:r>
          </w:p>
        </w:tc>
      </w:tr>
      <w:tr>
        <w:tc>
          <w:tcPr>
            <w:tcW w:type="dxa" w:w="3742"/>
            <w:tcMar>
              <w:top w:w="25" w:type="dxa"/>
              <w:bottom w:w="25" w:type="dxa"/>
              <w:left w:w="80" w:type="dxa"/>
              <w:right w:w="80" w:type="dxa"/>
            </w:tcMar>
            <w:vAlign w:val="center"/>
            <w:shd w:val="clear" w:color="auto" w:fill="FFF4DC"/>
          </w:tcPr>
          <w:p>
            <w:pPr>
              <w:spacing w:after="0"/>
            </w:pPr>
            <w:r>
              <w:rPr>
                <w:b/>
                <w:i w:val="0"/>
                <w:sz w:val="15"/>
              </w:rPr>
              <w:t>TravelIntent-SVM v1 (TF-IDF + Linear SVM)</w:t>
            </w:r>
          </w:p>
        </w:tc>
        <w:tc>
          <w:tcPr>
            <w:tcW w:type="dxa" w:w="1191"/>
            <w:tcMar>
              <w:top w:w="25" w:type="dxa"/>
              <w:bottom w:w="25" w:type="dxa"/>
              <w:left w:w="80" w:type="dxa"/>
              <w:right w:w="80" w:type="dxa"/>
            </w:tcMar>
            <w:vAlign w:val="center"/>
            <w:shd w:val="clear" w:color="auto" w:fill="FFF4DC"/>
          </w:tcPr>
          <w:p>
            <w:pPr>
              <w:spacing w:after="0"/>
              <w:jc w:val="center"/>
            </w:pPr>
            <w:r>
              <w:rPr>
                <w:b/>
                <w:i w:val="0"/>
                <w:sz w:val="15"/>
              </w:rPr>
              <w:t>95.4%</w:t>
            </w:r>
          </w:p>
        </w:tc>
        <w:tc>
          <w:tcPr>
            <w:tcW w:type="dxa" w:w="1474"/>
            <w:tcMar>
              <w:top w:w="25" w:type="dxa"/>
              <w:bottom w:w="25" w:type="dxa"/>
              <w:left w:w="80" w:type="dxa"/>
              <w:right w:w="80" w:type="dxa"/>
            </w:tcMar>
            <w:vAlign w:val="center"/>
            <w:shd w:val="clear" w:color="auto" w:fill="FFF4DC"/>
          </w:tcPr>
          <w:p>
            <w:pPr>
              <w:spacing w:after="0"/>
              <w:jc w:val="center"/>
            </w:pPr>
            <w:r>
              <w:rPr>
                <w:b/>
                <w:i w:val="0"/>
                <w:sz w:val="15"/>
              </w:rPr>
              <w:t>0.726</w:t>
            </w:r>
          </w:p>
        </w:tc>
        <w:tc>
          <w:tcPr>
            <w:tcW w:type="dxa" w:w="1304"/>
            <w:tcMar>
              <w:top w:w="25" w:type="dxa"/>
              <w:bottom w:w="25" w:type="dxa"/>
              <w:left w:w="80" w:type="dxa"/>
              <w:right w:w="80" w:type="dxa"/>
            </w:tcMar>
            <w:vAlign w:val="center"/>
            <w:shd w:val="clear" w:color="auto" w:fill="FFF4DC"/>
          </w:tcPr>
          <w:p>
            <w:pPr>
              <w:spacing w:after="0"/>
              <w:jc w:val="center"/>
            </w:pPr>
            <w:r>
              <w:rPr>
                <w:b/>
                <w:i w:val="0"/>
                <w:sz w:val="15"/>
              </w:rPr>
              <w:t>0.684</w:t>
            </w:r>
          </w:p>
        </w:tc>
        <w:tc>
          <w:tcPr>
            <w:tcW w:type="dxa" w:w="1191"/>
            <w:tcMar>
              <w:top w:w="25" w:type="dxa"/>
              <w:bottom w:w="25" w:type="dxa"/>
              <w:left w:w="80" w:type="dxa"/>
              <w:right w:w="80" w:type="dxa"/>
            </w:tcMar>
            <w:vAlign w:val="center"/>
            <w:shd w:val="clear" w:color="auto" w:fill="FFF4DC"/>
          </w:tcPr>
          <w:p>
            <w:pPr>
              <w:spacing w:after="0"/>
              <w:jc w:val="center"/>
            </w:pPr>
            <w:r>
              <w:rPr>
                <w:b/>
                <w:i w:val="0"/>
                <w:sz w:val="15"/>
              </w:rPr>
              <w:t>0.683</w:t>
            </w:r>
          </w:p>
        </w:tc>
        <w:tc>
          <w:tcPr>
            <w:tcW w:type="dxa" w:w="1304"/>
            <w:tcMar>
              <w:top w:w="25" w:type="dxa"/>
              <w:bottom w:w="25" w:type="dxa"/>
              <w:left w:w="80" w:type="dxa"/>
              <w:right w:w="80" w:type="dxa"/>
            </w:tcMar>
            <w:vAlign w:val="center"/>
            <w:shd w:val="clear" w:color="auto" w:fill="FFF4DC"/>
          </w:tcPr>
          <w:p>
            <w:pPr>
              <w:spacing w:after="0"/>
              <w:jc w:val="center"/>
            </w:pPr>
            <w:r>
              <w:rPr>
                <w:b/>
                <w:i w:val="0"/>
                <w:sz w:val="15"/>
              </w:rPr>
              <w:t>0.950</w:t>
            </w:r>
          </w:p>
        </w:tc>
      </w:tr>
    </w:tbl>
    <w:p>
      <w:pPr>
        <w:spacing w:after="0" w:line="80" w:lineRule="exact"/>
      </w:pPr>
    </w:p>
    <w:tbl>
      <w:tblPr>
        <w:tblW w:type="auto" w:w="0"/>
        <w:tblLayout w:type="fixed"/>
        <w:tblLook w:firstColumn="1" w:firstRow="1" w:lastColumn="0" w:lastRow="0" w:noHBand="0" w:noVBand="1" w:val="04A0"/>
        <w:tblLayout w:type="fixed"/>
        <w:tblBorders>
          <w:top w:val="nil"/>
          <w:left w:val="nil"/>
          <w:bottom w:val="nil"/>
          <w:right w:val="nil"/>
          <w:insideH w:val="nil"/>
          <w:insideV w:val="nil"/>
        </w:tblBorders>
      </w:tblPr>
      <w:tblGrid>
        <w:gridCol w:w="79"/>
        <w:gridCol w:w="10125"/>
      </w:tblGrid>
      <w:tr>
        <w:tc>
          <w:tcPr>
            <w:tcW w:type="dxa" w:w="79"/>
            <w:shd w:val="clear" w:color="auto" w:fill="1B7F8C"/>
            <w:tcMar>
              <w:top w:w="0" w:type="dxa"/>
              <w:bottom w:w="0" w:type="dxa"/>
              <w:left w:w="0" w:type="dxa"/>
              <w:right w:w="0" w:type="dxa"/>
            </w:tcMar>
          </w:tcPr>
          <w:p>
            <w:pPr>
              <w:spacing w:after="0"/>
            </w:pPr>
          </w:p>
        </w:tc>
        <w:tc>
          <w:tcPr>
            <w:tcW w:type="dxa" w:w="10125"/>
            <w:tcMar>
              <w:top w:w="30" w:type="dxa"/>
              <w:bottom w:w="30" w:type="dxa"/>
              <w:left w:w="110" w:type="dxa"/>
              <w:right w:w="0" w:type="dxa"/>
            </w:tcMar>
          </w:tcPr>
          <w:p>
            <w:pPr>
              <w:spacing w:after="0"/>
            </w:pPr>
            <w:r>
              <w:rPr>
                <w:b/>
                <w:i w:val="0"/>
                <w:color w:val="1B7F8C"/>
                <w:sz w:val="19"/>
              </w:rPr>
              <w:t xml:space="preserve">4  </w:t>
            </w:r>
            <w:r>
              <w:rPr>
                <w:b/>
                <w:i w:val="0"/>
                <w:color w:val="1F3A5F"/>
                <w:sz w:val="19"/>
              </w:rPr>
              <w:t>Performance across text subgroups</w:t>
            </w:r>
          </w:p>
        </w:tc>
      </w:tr>
    </w:tbl>
    <w:p>
      <w:pPr>
        <w:spacing w:after="0" w:line="40" w:lineRule="exact"/>
      </w:pPr>
    </w:p>
    <w:p>
      <w:pPr>
        <w:spacing w:after="40" w:before="0"/>
      </w:pPr>
      <w:r>
        <w:rPr>
          <w:b/>
          <w:i w:val="0"/>
          <w:color w:val="1F3A5F"/>
          <w:sz w:val="15"/>
        </w:rPr>
        <w:t xml:space="preserve">Key audit finding: </w:t>
      </w:r>
      <w:r>
        <w:rPr>
          <w:b w:val="0"/>
          <w:i w:val="0"/>
        </w:rPr>
        <w:t>on long queries (more than 11 words) Macro-F1 falls from 0.849 to 0.438 and accuracy drops 6.1 points versus short queries. Long queries often bundle two requests (flights and fares), which ATIS labels with combined intents that have very few training examples. Treat subgroup Macro-F1 as an indicator, not a precise estimate.</w:t>
      </w:r>
    </w:p>
    <w:tbl>
      <w:tblPr>
        <w:tblW w:type="auto" w:w="0"/>
        <w:tblLayout w:type="fixed"/>
        <w:tblLook w:firstColumn="1" w:firstRow="1" w:lastColumn="0" w:lastRow="0" w:noHBand="0" w:noVBand="1" w:val="04A0"/>
        <w:tblLayout w:type="fixed"/>
        <w:tblBorders>
          <w:top w:val="single" w:sz="4" w:space="0" w:color="C9D6E3"/>
          <w:left w:val="single" w:sz="4" w:space="0" w:color="C9D6E3"/>
          <w:bottom w:val="single" w:sz="4" w:space="0" w:color="C9D6E3"/>
          <w:right w:val="single" w:sz="4" w:space="0" w:color="C9D6E3"/>
          <w:insideH w:val="single" w:sz="4" w:space="0" w:color="C9D6E3"/>
          <w:insideV w:val="single" w:sz="4" w:space="0" w:color="C9D6E3"/>
        </w:tblBorders>
      </w:tblPr>
      <w:tblGrid>
        <w:gridCol w:w="2494"/>
        <w:gridCol w:w="4195"/>
        <w:gridCol w:w="1020"/>
        <w:gridCol w:w="1247"/>
        <w:gridCol w:w="1247"/>
      </w:tblGrid>
      <w:tr>
        <w:tc>
          <w:tcPr>
            <w:tcW w:type="dxa" w:w="2494"/>
            <w:tcMar>
              <w:top w:w="25" w:type="dxa"/>
              <w:bottom w:w="25" w:type="dxa"/>
              <w:left w:w="80" w:type="dxa"/>
              <w:right w:w="80" w:type="dxa"/>
            </w:tcMar>
            <w:vAlign w:val="center"/>
            <w:shd w:val="clear" w:color="auto" w:fill="1F3A5F"/>
          </w:tcPr>
          <w:p>
            <w:pPr>
              <w:spacing w:after="0"/>
            </w:pPr>
            <w:r>
              <w:rPr>
                <w:b/>
                <w:i w:val="0"/>
                <w:color w:val="FFFFFF"/>
                <w:sz w:val="15"/>
              </w:rPr>
              <w:t>Subgroup</w:t>
            </w:r>
          </w:p>
        </w:tc>
        <w:tc>
          <w:tcPr>
            <w:tcW w:type="dxa" w:w="4195"/>
            <w:tcMar>
              <w:top w:w="25" w:type="dxa"/>
              <w:bottom w:w="25" w:type="dxa"/>
              <w:left w:w="80" w:type="dxa"/>
              <w:right w:w="80" w:type="dxa"/>
            </w:tcMar>
            <w:vAlign w:val="center"/>
            <w:shd w:val="clear" w:color="auto" w:fill="1F3A5F"/>
          </w:tcPr>
          <w:p>
            <w:pPr>
              <w:spacing w:after="0"/>
            </w:pPr>
            <w:r>
              <w:rPr>
                <w:b/>
                <w:i w:val="0"/>
                <w:color w:val="FFFFFF"/>
                <w:sz w:val="15"/>
              </w:rPr>
              <w:t>How it was defined</w:t>
            </w:r>
          </w:p>
        </w:tc>
        <w:tc>
          <w:tcPr>
            <w:tcW w:type="dxa" w:w="1020"/>
            <w:tcMar>
              <w:top w:w="25" w:type="dxa"/>
              <w:bottom w:w="25" w:type="dxa"/>
              <w:left w:w="80" w:type="dxa"/>
              <w:right w:w="80" w:type="dxa"/>
            </w:tcMar>
            <w:vAlign w:val="center"/>
            <w:shd w:val="clear" w:color="auto" w:fill="1F3A5F"/>
          </w:tcPr>
          <w:p>
            <w:pPr>
              <w:spacing w:after="0"/>
              <w:jc w:val="center"/>
            </w:pPr>
            <w:r>
              <w:rPr>
                <w:b/>
                <w:i w:val="0"/>
                <w:color w:val="FFFFFF"/>
                <w:sz w:val="15"/>
              </w:rPr>
              <w:t>Test n</w:t>
            </w:r>
          </w:p>
        </w:tc>
        <w:tc>
          <w:tcPr>
            <w:tcW w:type="dxa" w:w="1247"/>
            <w:tcMar>
              <w:top w:w="25" w:type="dxa"/>
              <w:bottom w:w="25" w:type="dxa"/>
              <w:left w:w="80" w:type="dxa"/>
              <w:right w:w="80" w:type="dxa"/>
            </w:tcMar>
            <w:vAlign w:val="center"/>
            <w:shd w:val="clear" w:color="auto" w:fill="1F3A5F"/>
          </w:tcPr>
          <w:p>
            <w:pPr>
              <w:spacing w:after="0"/>
              <w:jc w:val="center"/>
            </w:pPr>
            <w:r>
              <w:rPr>
                <w:b/>
                <w:i w:val="0"/>
                <w:color w:val="FFFFFF"/>
                <w:sz w:val="15"/>
              </w:rPr>
              <w:t>Accuracy</w:t>
            </w:r>
          </w:p>
        </w:tc>
        <w:tc>
          <w:tcPr>
            <w:tcW w:type="dxa" w:w="1247"/>
            <w:tcMar>
              <w:top w:w="25" w:type="dxa"/>
              <w:bottom w:w="25" w:type="dxa"/>
              <w:left w:w="80" w:type="dxa"/>
              <w:right w:w="80" w:type="dxa"/>
            </w:tcMar>
            <w:vAlign w:val="center"/>
            <w:shd w:val="clear" w:color="auto" w:fill="1F3A5F"/>
          </w:tcPr>
          <w:p>
            <w:pPr>
              <w:spacing w:after="0"/>
              <w:jc w:val="center"/>
            </w:pPr>
            <w:r>
              <w:rPr>
                <w:b/>
                <w:i w:val="0"/>
                <w:color w:val="FFFFFF"/>
                <w:sz w:val="15"/>
              </w:rPr>
              <w:t>Macro-F1</w:t>
            </w:r>
          </w:p>
        </w:tc>
      </w:tr>
      <w:tr>
        <w:tc>
          <w:tcPr>
            <w:tcW w:type="dxa" w:w="2494"/>
            <w:tcMar>
              <w:top w:w="25" w:type="dxa"/>
              <w:bottom w:w="25" w:type="dxa"/>
              <w:left w:w="80" w:type="dxa"/>
              <w:right w:w="80" w:type="dxa"/>
            </w:tcMar>
            <w:vAlign w:val="center"/>
            <w:shd w:val="clear" w:color="auto" w:fill="EAF1F8"/>
          </w:tcPr>
          <w:p>
            <w:pPr>
              <w:spacing w:after="0"/>
            </w:pPr>
            <w:r>
              <w:rPr>
                <w:b/>
                <w:i w:val="0"/>
                <w:color w:val="1F3A5F"/>
                <w:sz w:val="15"/>
              </w:rPr>
              <w:t>Short queries</w:t>
            </w:r>
          </w:p>
        </w:tc>
        <w:tc>
          <w:tcPr>
            <w:tcW w:type="dxa" w:w="4195"/>
            <w:tcMar>
              <w:top w:w="25" w:type="dxa"/>
              <w:bottom w:w="25" w:type="dxa"/>
              <w:left w:w="80" w:type="dxa"/>
              <w:right w:w="80" w:type="dxa"/>
            </w:tcMar>
            <w:vAlign w:val="center"/>
          </w:tcPr>
          <w:p>
            <w:pPr>
              <w:spacing w:after="0"/>
            </w:pPr>
            <w:r>
              <w:rPr>
                <w:b w:val="0"/>
                <w:i w:val="0"/>
                <w:sz w:val="15"/>
              </w:rPr>
              <w:t>11 words or fewer (training median)</w:t>
            </w:r>
          </w:p>
        </w:tc>
        <w:tc>
          <w:tcPr>
            <w:tcW w:type="dxa" w:w="1020"/>
            <w:tcMar>
              <w:top w:w="25" w:type="dxa"/>
              <w:bottom w:w="25" w:type="dxa"/>
              <w:left w:w="80" w:type="dxa"/>
              <w:right w:w="80" w:type="dxa"/>
            </w:tcMar>
            <w:vAlign w:val="center"/>
          </w:tcPr>
          <w:p>
            <w:pPr>
              <w:spacing w:after="0"/>
              <w:jc w:val="center"/>
            </w:pPr>
            <w:r>
              <w:rPr>
                <w:b w:val="0"/>
                <w:i w:val="0"/>
                <w:sz w:val="15"/>
              </w:rPr>
              <w:t>560</w:t>
            </w:r>
          </w:p>
        </w:tc>
        <w:tc>
          <w:tcPr>
            <w:tcW w:type="dxa" w:w="1247"/>
            <w:tcMar>
              <w:top w:w="25" w:type="dxa"/>
              <w:bottom w:w="25" w:type="dxa"/>
              <w:left w:w="80" w:type="dxa"/>
              <w:right w:w="80" w:type="dxa"/>
            </w:tcMar>
            <w:vAlign w:val="center"/>
          </w:tcPr>
          <w:p>
            <w:pPr>
              <w:spacing w:after="0"/>
              <w:jc w:val="center"/>
            </w:pPr>
            <w:r>
              <w:rPr>
                <w:b w:val="0"/>
                <w:i w:val="0"/>
                <w:sz w:val="15"/>
              </w:rPr>
              <w:t>97.5%</w:t>
            </w:r>
          </w:p>
        </w:tc>
        <w:tc>
          <w:tcPr>
            <w:tcW w:type="dxa" w:w="1247"/>
            <w:tcMar>
              <w:top w:w="25" w:type="dxa"/>
              <w:bottom w:w="25" w:type="dxa"/>
              <w:left w:w="80" w:type="dxa"/>
              <w:right w:w="80" w:type="dxa"/>
            </w:tcMar>
            <w:vAlign w:val="center"/>
          </w:tcPr>
          <w:p>
            <w:pPr>
              <w:spacing w:after="0"/>
              <w:jc w:val="center"/>
            </w:pPr>
            <w:r>
              <w:rPr>
                <w:b w:val="0"/>
                <w:i w:val="0"/>
                <w:sz w:val="15"/>
              </w:rPr>
              <w:t>0.849</w:t>
            </w:r>
          </w:p>
        </w:tc>
      </w:tr>
      <w:tr>
        <w:tc>
          <w:tcPr>
            <w:tcW w:type="dxa" w:w="2494"/>
            <w:tcMar>
              <w:top w:w="25" w:type="dxa"/>
              <w:bottom w:w="25" w:type="dxa"/>
              <w:left w:w="80" w:type="dxa"/>
              <w:right w:w="80" w:type="dxa"/>
            </w:tcMar>
            <w:vAlign w:val="center"/>
            <w:shd w:val="clear" w:color="auto" w:fill="FFF4DC"/>
          </w:tcPr>
          <w:p>
            <w:pPr>
              <w:spacing w:after="0"/>
            </w:pPr>
            <w:r>
              <w:rPr>
                <w:b/>
                <w:i w:val="0"/>
                <w:color w:val="1F3A5F"/>
                <w:sz w:val="15"/>
              </w:rPr>
              <w:t>Long queries</w:t>
            </w:r>
          </w:p>
        </w:tc>
        <w:tc>
          <w:tcPr>
            <w:tcW w:type="dxa" w:w="4195"/>
            <w:tcMar>
              <w:top w:w="25" w:type="dxa"/>
              <w:bottom w:w="25" w:type="dxa"/>
              <w:left w:w="80" w:type="dxa"/>
              <w:right w:w="80" w:type="dxa"/>
            </w:tcMar>
            <w:vAlign w:val="center"/>
            <w:shd w:val="clear" w:color="auto" w:fill="FFF4DC"/>
          </w:tcPr>
          <w:p>
            <w:pPr>
              <w:spacing w:after="0"/>
            </w:pPr>
            <w:r>
              <w:rPr>
                <w:b/>
                <w:i w:val="0"/>
                <w:sz w:val="15"/>
              </w:rPr>
              <w:t>More than 11 words</w:t>
            </w:r>
          </w:p>
        </w:tc>
        <w:tc>
          <w:tcPr>
            <w:tcW w:type="dxa" w:w="1020"/>
            <w:tcMar>
              <w:top w:w="25" w:type="dxa"/>
              <w:bottom w:w="25" w:type="dxa"/>
              <w:left w:w="80" w:type="dxa"/>
              <w:right w:w="80" w:type="dxa"/>
            </w:tcMar>
            <w:vAlign w:val="center"/>
            <w:shd w:val="clear" w:color="auto" w:fill="FFF4DC"/>
          </w:tcPr>
          <w:p>
            <w:pPr>
              <w:spacing w:after="0"/>
              <w:jc w:val="center"/>
            </w:pPr>
            <w:r>
              <w:rPr>
                <w:b/>
                <w:i w:val="0"/>
                <w:sz w:val="15"/>
              </w:rPr>
              <w:t>290</w:t>
            </w:r>
          </w:p>
        </w:tc>
        <w:tc>
          <w:tcPr>
            <w:tcW w:type="dxa" w:w="1247"/>
            <w:tcMar>
              <w:top w:w="25" w:type="dxa"/>
              <w:bottom w:w="25" w:type="dxa"/>
              <w:left w:w="80" w:type="dxa"/>
              <w:right w:w="80" w:type="dxa"/>
            </w:tcMar>
            <w:vAlign w:val="center"/>
            <w:shd w:val="clear" w:color="auto" w:fill="FFF4DC"/>
          </w:tcPr>
          <w:p>
            <w:pPr>
              <w:spacing w:after="0"/>
              <w:jc w:val="center"/>
            </w:pPr>
            <w:r>
              <w:rPr>
                <w:b/>
                <w:i w:val="0"/>
                <w:sz w:val="15"/>
              </w:rPr>
              <w:t>91.4%</w:t>
            </w:r>
          </w:p>
        </w:tc>
        <w:tc>
          <w:tcPr>
            <w:tcW w:type="dxa" w:w="1247"/>
            <w:tcMar>
              <w:top w:w="25" w:type="dxa"/>
              <w:bottom w:w="25" w:type="dxa"/>
              <w:left w:w="80" w:type="dxa"/>
              <w:right w:w="80" w:type="dxa"/>
            </w:tcMar>
            <w:vAlign w:val="center"/>
            <w:shd w:val="clear" w:color="auto" w:fill="FFF4DC"/>
          </w:tcPr>
          <w:p>
            <w:pPr>
              <w:spacing w:after="0"/>
              <w:jc w:val="center"/>
            </w:pPr>
            <w:r>
              <w:rPr>
                <w:b/>
                <w:i w:val="0"/>
                <w:sz w:val="15"/>
              </w:rPr>
              <w:t>0.438</w:t>
            </w:r>
          </w:p>
        </w:tc>
      </w:tr>
      <w:tr>
        <w:tc>
          <w:tcPr>
            <w:tcW w:type="dxa" w:w="2494"/>
            <w:tcMar>
              <w:top w:w="25" w:type="dxa"/>
              <w:bottom w:w="25" w:type="dxa"/>
              <w:left w:w="80" w:type="dxa"/>
              <w:right w:w="80" w:type="dxa"/>
            </w:tcMar>
            <w:vAlign w:val="center"/>
            <w:shd w:val="clear" w:color="auto" w:fill="EAF1F8"/>
          </w:tcPr>
          <w:p>
            <w:pPr>
              <w:spacing w:after="0"/>
            </w:pPr>
            <w:r>
              <w:rPr>
                <w:b/>
                <w:i w:val="0"/>
                <w:color w:val="1F3A5F"/>
                <w:sz w:val="15"/>
              </w:rPr>
              <w:t>Questions</w:t>
            </w:r>
          </w:p>
        </w:tc>
        <w:tc>
          <w:tcPr>
            <w:tcW w:type="dxa" w:w="4195"/>
            <w:tcMar>
              <w:top w:w="25" w:type="dxa"/>
              <w:bottom w:w="25" w:type="dxa"/>
              <w:left w:w="80" w:type="dxa"/>
              <w:right w:w="80" w:type="dxa"/>
            </w:tcMar>
            <w:vAlign w:val="center"/>
          </w:tcPr>
          <w:p>
            <w:pPr>
              <w:spacing w:after="0"/>
            </w:pPr>
            <w:r>
              <w:rPr>
                <w:b w:val="0"/>
                <w:i w:val="0"/>
                <w:sz w:val="15"/>
              </w:rPr>
              <w:t>Starts with what, which, how, …</w:t>
            </w:r>
          </w:p>
        </w:tc>
        <w:tc>
          <w:tcPr>
            <w:tcW w:type="dxa" w:w="1020"/>
            <w:tcMar>
              <w:top w:w="25" w:type="dxa"/>
              <w:bottom w:w="25" w:type="dxa"/>
              <w:left w:w="80" w:type="dxa"/>
              <w:right w:w="80" w:type="dxa"/>
            </w:tcMar>
            <w:vAlign w:val="center"/>
          </w:tcPr>
          <w:p>
            <w:pPr>
              <w:spacing w:after="0"/>
              <w:jc w:val="center"/>
            </w:pPr>
            <w:r>
              <w:rPr>
                <w:b w:val="0"/>
                <w:i w:val="0"/>
                <w:sz w:val="15"/>
              </w:rPr>
              <w:t>255</w:t>
            </w:r>
          </w:p>
        </w:tc>
        <w:tc>
          <w:tcPr>
            <w:tcW w:type="dxa" w:w="1247"/>
            <w:tcMar>
              <w:top w:w="25" w:type="dxa"/>
              <w:bottom w:w="25" w:type="dxa"/>
              <w:left w:w="80" w:type="dxa"/>
              <w:right w:w="80" w:type="dxa"/>
            </w:tcMar>
            <w:vAlign w:val="center"/>
          </w:tcPr>
          <w:p>
            <w:pPr>
              <w:spacing w:after="0"/>
              <w:jc w:val="center"/>
            </w:pPr>
            <w:r>
              <w:rPr>
                <w:b w:val="0"/>
                <w:i w:val="0"/>
                <w:sz w:val="15"/>
              </w:rPr>
              <w:t>93.3%</w:t>
            </w:r>
          </w:p>
        </w:tc>
        <w:tc>
          <w:tcPr>
            <w:tcW w:type="dxa" w:w="1247"/>
            <w:tcMar>
              <w:top w:w="25" w:type="dxa"/>
              <w:bottom w:w="25" w:type="dxa"/>
              <w:left w:w="80" w:type="dxa"/>
              <w:right w:w="80" w:type="dxa"/>
            </w:tcMar>
            <w:vAlign w:val="center"/>
          </w:tcPr>
          <w:p>
            <w:pPr>
              <w:spacing w:after="0"/>
              <w:jc w:val="center"/>
            </w:pPr>
            <w:r>
              <w:rPr>
                <w:b w:val="0"/>
                <w:i w:val="0"/>
                <w:sz w:val="15"/>
              </w:rPr>
              <w:t>0.807</w:t>
            </w:r>
          </w:p>
        </w:tc>
      </w:tr>
      <w:tr>
        <w:tc>
          <w:tcPr>
            <w:tcW w:type="dxa" w:w="2494"/>
            <w:tcMar>
              <w:top w:w="25" w:type="dxa"/>
              <w:bottom w:w="25" w:type="dxa"/>
              <w:left w:w="80" w:type="dxa"/>
              <w:right w:w="80" w:type="dxa"/>
            </w:tcMar>
            <w:vAlign w:val="center"/>
            <w:shd w:val="clear" w:color="auto" w:fill="EAF1F8"/>
          </w:tcPr>
          <w:p>
            <w:pPr>
              <w:spacing w:after="0"/>
            </w:pPr>
            <w:r>
              <w:rPr>
                <w:b/>
                <w:i w:val="0"/>
                <w:color w:val="1F3A5F"/>
                <w:sz w:val="15"/>
              </w:rPr>
              <w:t>Request fragments</w:t>
            </w:r>
          </w:p>
        </w:tc>
        <w:tc>
          <w:tcPr>
            <w:tcW w:type="dxa" w:w="4195"/>
            <w:tcMar>
              <w:top w:w="25" w:type="dxa"/>
              <w:bottom w:w="25" w:type="dxa"/>
              <w:left w:w="80" w:type="dxa"/>
              <w:right w:w="80" w:type="dxa"/>
            </w:tcMar>
            <w:vAlign w:val="center"/>
            <w:shd w:val="clear" w:color="auto" w:fill="F6F9FC"/>
          </w:tcPr>
          <w:p>
            <w:pPr>
              <w:spacing w:after="0"/>
            </w:pPr>
            <w:r>
              <w:rPr>
                <w:b w:val="0"/>
                <w:i w:val="0"/>
                <w:sz w:val="15"/>
              </w:rPr>
              <w:t>Any other start (“show me…”)</w:t>
            </w:r>
          </w:p>
        </w:tc>
        <w:tc>
          <w:tcPr>
            <w:tcW w:type="dxa" w:w="1020"/>
            <w:tcMar>
              <w:top w:w="25" w:type="dxa"/>
              <w:bottom w:w="25" w:type="dxa"/>
              <w:left w:w="80" w:type="dxa"/>
              <w:right w:w="80" w:type="dxa"/>
            </w:tcMar>
            <w:vAlign w:val="center"/>
            <w:shd w:val="clear" w:color="auto" w:fill="F6F9FC"/>
          </w:tcPr>
          <w:p>
            <w:pPr>
              <w:spacing w:after="0"/>
              <w:jc w:val="center"/>
            </w:pPr>
            <w:r>
              <w:rPr>
                <w:b w:val="0"/>
                <w:i w:val="0"/>
                <w:sz w:val="15"/>
              </w:rPr>
              <w:t>595</w:t>
            </w:r>
          </w:p>
        </w:tc>
        <w:tc>
          <w:tcPr>
            <w:tcW w:type="dxa" w:w="1247"/>
            <w:tcMar>
              <w:top w:w="25" w:type="dxa"/>
              <w:bottom w:w="25" w:type="dxa"/>
              <w:left w:w="80" w:type="dxa"/>
              <w:right w:w="80" w:type="dxa"/>
            </w:tcMar>
            <w:vAlign w:val="center"/>
            <w:shd w:val="clear" w:color="auto" w:fill="F6F9FC"/>
          </w:tcPr>
          <w:p>
            <w:pPr>
              <w:spacing w:after="0"/>
              <w:jc w:val="center"/>
            </w:pPr>
            <w:r>
              <w:rPr>
                <w:b w:val="0"/>
                <w:i w:val="0"/>
                <w:sz w:val="15"/>
              </w:rPr>
              <w:t>96.3%</w:t>
            </w:r>
          </w:p>
        </w:tc>
        <w:tc>
          <w:tcPr>
            <w:tcW w:type="dxa" w:w="1247"/>
            <w:tcMar>
              <w:top w:w="25" w:type="dxa"/>
              <w:bottom w:w="25" w:type="dxa"/>
              <w:left w:w="80" w:type="dxa"/>
              <w:right w:w="80" w:type="dxa"/>
            </w:tcMar>
            <w:vAlign w:val="center"/>
            <w:shd w:val="clear" w:color="auto" w:fill="F6F9FC"/>
          </w:tcPr>
          <w:p>
            <w:pPr>
              <w:spacing w:after="0"/>
              <w:jc w:val="center"/>
            </w:pPr>
            <w:r>
              <w:rPr>
                <w:b w:val="0"/>
                <w:i w:val="0"/>
                <w:sz w:val="15"/>
              </w:rPr>
              <w:t>0.608</w:t>
            </w:r>
          </w:p>
        </w:tc>
      </w:tr>
      <w:tr>
        <w:tc>
          <w:tcPr>
            <w:tcW w:type="dxa" w:w="2494"/>
            <w:tcMar>
              <w:top w:w="25" w:type="dxa"/>
              <w:bottom w:w="25" w:type="dxa"/>
              <w:left w:w="80" w:type="dxa"/>
              <w:right w:w="80" w:type="dxa"/>
            </w:tcMar>
            <w:vAlign w:val="center"/>
            <w:shd w:val="clear" w:color="auto" w:fill="EAF1F8"/>
          </w:tcPr>
          <w:p>
            <w:pPr>
              <w:spacing w:after="0"/>
            </w:pPr>
            <w:r>
              <w:rPr>
                <w:b/>
                <w:i w:val="0"/>
                <w:color w:val="1F3A5F"/>
                <w:sz w:val="15"/>
              </w:rPr>
              <w:t>Near-duplicates of training</w:t>
            </w:r>
          </w:p>
        </w:tc>
        <w:tc>
          <w:tcPr>
            <w:tcW w:type="dxa" w:w="4195"/>
            <w:tcMar>
              <w:top w:w="25" w:type="dxa"/>
              <w:bottom w:w="25" w:type="dxa"/>
              <w:left w:w="80" w:type="dxa"/>
              <w:right w:w="80" w:type="dxa"/>
            </w:tcMar>
            <w:vAlign w:val="center"/>
          </w:tcPr>
          <w:p>
            <w:pPr>
              <w:spacing w:after="0"/>
            </w:pPr>
            <w:r>
              <w:rPr>
                <w:b w:val="0"/>
                <w:i w:val="0"/>
                <w:sz w:val="15"/>
              </w:rPr>
              <w:t>Test query very similar to a training query</w:t>
            </w:r>
          </w:p>
        </w:tc>
        <w:tc>
          <w:tcPr>
            <w:tcW w:type="dxa" w:w="1020"/>
            <w:tcMar>
              <w:top w:w="25" w:type="dxa"/>
              <w:bottom w:w="25" w:type="dxa"/>
              <w:left w:w="80" w:type="dxa"/>
              <w:right w:w="80" w:type="dxa"/>
            </w:tcMar>
            <w:vAlign w:val="center"/>
          </w:tcPr>
          <w:p>
            <w:pPr>
              <w:spacing w:after="0"/>
              <w:jc w:val="center"/>
            </w:pPr>
            <w:r>
              <w:rPr>
                <w:b w:val="0"/>
                <w:i w:val="0"/>
                <w:sz w:val="15"/>
              </w:rPr>
              <w:t>18</w:t>
            </w:r>
          </w:p>
        </w:tc>
        <w:tc>
          <w:tcPr>
            <w:tcW w:type="dxa" w:w="1247"/>
            <w:tcMar>
              <w:top w:w="25" w:type="dxa"/>
              <w:bottom w:w="25" w:type="dxa"/>
              <w:left w:w="80" w:type="dxa"/>
              <w:right w:w="80" w:type="dxa"/>
            </w:tcMar>
            <w:vAlign w:val="center"/>
          </w:tcPr>
          <w:p>
            <w:pPr>
              <w:spacing w:after="0"/>
              <w:jc w:val="center"/>
            </w:pPr>
            <w:r>
              <w:rPr>
                <w:b w:val="0"/>
                <w:i w:val="0"/>
                <w:sz w:val="15"/>
              </w:rPr>
              <w:t>100.0%</w:t>
            </w:r>
          </w:p>
        </w:tc>
        <w:tc>
          <w:tcPr>
            <w:tcW w:type="dxa" w:w="1247"/>
            <w:tcMar>
              <w:top w:w="25" w:type="dxa"/>
              <w:bottom w:w="25" w:type="dxa"/>
              <w:left w:w="80" w:type="dxa"/>
              <w:right w:w="80" w:type="dxa"/>
            </w:tcMar>
            <w:vAlign w:val="center"/>
          </w:tcPr>
          <w:p>
            <w:pPr>
              <w:spacing w:after="0"/>
              <w:jc w:val="center"/>
            </w:pPr>
            <w:r>
              <w:rPr>
                <w:b w:val="0"/>
                <w:i w:val="0"/>
                <w:sz w:val="15"/>
              </w:rPr>
              <w:t>—</w:t>
            </w:r>
          </w:p>
        </w:tc>
      </w:tr>
      <w:tr>
        <w:tc>
          <w:tcPr>
            <w:tcW w:type="dxa" w:w="2494"/>
            <w:tcMar>
              <w:top w:w="25" w:type="dxa"/>
              <w:bottom w:w="25" w:type="dxa"/>
              <w:left w:w="80" w:type="dxa"/>
              <w:right w:w="80" w:type="dxa"/>
            </w:tcMar>
            <w:vAlign w:val="center"/>
            <w:shd w:val="clear" w:color="auto" w:fill="EAF1F8"/>
          </w:tcPr>
          <w:p>
            <w:pPr>
              <w:spacing w:after="0"/>
            </w:pPr>
            <w:r>
              <w:rPr>
                <w:b/>
                <w:i w:val="0"/>
                <w:color w:val="1F3A5F"/>
                <w:sz w:val="15"/>
              </w:rPr>
              <w:t>All other test queries</w:t>
            </w:r>
          </w:p>
        </w:tc>
        <w:tc>
          <w:tcPr>
            <w:tcW w:type="dxa" w:w="4195"/>
            <w:tcMar>
              <w:top w:w="25" w:type="dxa"/>
              <w:bottom w:w="25" w:type="dxa"/>
              <w:left w:w="80" w:type="dxa"/>
              <w:right w:w="80" w:type="dxa"/>
            </w:tcMar>
            <w:vAlign w:val="center"/>
            <w:shd w:val="clear" w:color="auto" w:fill="F6F9FC"/>
          </w:tcPr>
          <w:p>
            <w:pPr>
              <w:spacing w:after="0"/>
            </w:pPr>
            <w:r>
              <w:rPr>
                <w:b w:val="0"/>
                <w:i w:val="0"/>
                <w:sz w:val="15"/>
              </w:rPr>
              <w:t>No near-duplicate in training</w:t>
            </w:r>
          </w:p>
        </w:tc>
        <w:tc>
          <w:tcPr>
            <w:tcW w:type="dxa" w:w="1020"/>
            <w:tcMar>
              <w:top w:w="25" w:type="dxa"/>
              <w:bottom w:w="25" w:type="dxa"/>
              <w:left w:w="80" w:type="dxa"/>
              <w:right w:w="80" w:type="dxa"/>
            </w:tcMar>
            <w:vAlign w:val="center"/>
            <w:shd w:val="clear" w:color="auto" w:fill="F6F9FC"/>
          </w:tcPr>
          <w:p>
            <w:pPr>
              <w:spacing w:after="0"/>
              <w:jc w:val="center"/>
            </w:pPr>
            <w:r>
              <w:rPr>
                <w:b w:val="0"/>
                <w:i w:val="0"/>
                <w:sz w:val="15"/>
              </w:rPr>
              <w:t>832</w:t>
            </w:r>
          </w:p>
        </w:tc>
        <w:tc>
          <w:tcPr>
            <w:tcW w:type="dxa" w:w="1247"/>
            <w:tcMar>
              <w:top w:w="25" w:type="dxa"/>
              <w:bottom w:w="25" w:type="dxa"/>
              <w:left w:w="80" w:type="dxa"/>
              <w:right w:w="80" w:type="dxa"/>
            </w:tcMar>
            <w:vAlign w:val="center"/>
            <w:shd w:val="clear" w:color="auto" w:fill="F6F9FC"/>
          </w:tcPr>
          <w:p>
            <w:pPr>
              <w:spacing w:after="0"/>
              <w:jc w:val="center"/>
            </w:pPr>
            <w:r>
              <w:rPr>
                <w:b w:val="0"/>
                <w:i w:val="0"/>
                <w:sz w:val="15"/>
              </w:rPr>
              <w:t>95.3%</w:t>
            </w:r>
          </w:p>
        </w:tc>
        <w:tc>
          <w:tcPr>
            <w:tcW w:type="dxa" w:w="1247"/>
            <w:tcMar>
              <w:top w:w="25" w:type="dxa"/>
              <w:bottom w:w="25" w:type="dxa"/>
              <w:left w:w="80" w:type="dxa"/>
              <w:right w:w="80" w:type="dxa"/>
            </w:tcMar>
            <w:vAlign w:val="center"/>
            <w:shd w:val="clear" w:color="auto" w:fill="F6F9FC"/>
          </w:tcPr>
          <w:p>
            <w:pPr>
              <w:spacing w:after="0"/>
              <w:jc w:val="center"/>
            </w:pPr>
            <w:r>
              <w:rPr>
                <w:b w:val="0"/>
                <w:i w:val="0"/>
                <w:sz w:val="15"/>
              </w:rPr>
              <w:t>—</w:t>
            </w:r>
          </w:p>
        </w:tc>
      </w:tr>
    </w:tbl>
    <w:p>
      <w:pPr>
        <w:spacing w:after="0" w:line="80" w:lineRule="exact"/>
      </w:pPr>
    </w:p>
    <w:tbl>
      <w:tblPr>
        <w:tblW w:type="auto" w:w="0"/>
        <w:tblLayout w:type="fixed"/>
        <w:tblLook w:firstColumn="1" w:firstRow="1" w:lastColumn="0" w:lastRow="0" w:noHBand="0" w:noVBand="1" w:val="04A0"/>
        <w:tblLayout w:type="fixed"/>
        <w:tblBorders>
          <w:top w:val="nil"/>
          <w:left w:val="nil"/>
          <w:bottom w:val="nil"/>
          <w:right w:val="nil"/>
          <w:insideH w:val="nil"/>
          <w:insideV w:val="nil"/>
        </w:tblBorders>
      </w:tblPr>
      <w:tblGrid>
        <w:gridCol w:w="79"/>
        <w:gridCol w:w="10125"/>
      </w:tblGrid>
      <w:tr>
        <w:tc>
          <w:tcPr>
            <w:tcW w:type="dxa" w:w="79"/>
            <w:shd w:val="clear" w:color="auto" w:fill="1B7F8C"/>
            <w:tcMar>
              <w:top w:w="0" w:type="dxa"/>
              <w:bottom w:w="0" w:type="dxa"/>
              <w:left w:w="0" w:type="dxa"/>
              <w:right w:w="0" w:type="dxa"/>
            </w:tcMar>
          </w:tcPr>
          <w:p>
            <w:pPr>
              <w:spacing w:after="0"/>
            </w:pPr>
          </w:p>
        </w:tc>
        <w:tc>
          <w:tcPr>
            <w:tcW w:type="dxa" w:w="10125"/>
            <w:tcMar>
              <w:top w:w="30" w:type="dxa"/>
              <w:bottom w:w="30" w:type="dxa"/>
              <w:left w:w="110" w:type="dxa"/>
              <w:right w:w="0" w:type="dxa"/>
            </w:tcMar>
          </w:tcPr>
          <w:p>
            <w:pPr>
              <w:spacing w:after="0"/>
            </w:pPr>
            <w:r>
              <w:rPr>
                <w:b/>
                <w:i w:val="0"/>
                <w:color w:val="1B7F8C"/>
                <w:sz w:val="19"/>
              </w:rPr>
              <w:t xml:space="preserve">5  </w:t>
            </w:r>
            <w:r>
              <w:rPr>
                <w:b/>
                <w:i w:val="0"/>
                <w:color w:val="1F3A5F"/>
                <w:sz w:val="19"/>
              </w:rPr>
              <w:t>Explainability check</w:t>
            </w:r>
          </w:p>
        </w:tc>
      </w:tr>
    </w:tbl>
    <w:p>
      <w:pPr>
        <w:spacing w:after="0" w:line="40" w:lineRule="exact"/>
      </w:pPr>
    </w:p>
    <w:p>
      <w:pPr>
        <w:spacing w:after="30" w:before="0"/>
      </w:pPr>
      <w:r>
        <w:rPr>
          <w:b/>
          <w:i w:val="0"/>
          <w:color w:val="1F3A5F"/>
          <w:sz w:val="15"/>
        </w:rPr>
        <w:t xml:space="preserve">Top features: </w:t>
      </w:r>
      <w:r>
        <w:rPr>
          <w:b w:val="0"/>
          <w:i w:val="0"/>
        </w:rPr>
        <w:t>the strongest Linear SVM n-grams are sensible intent cues (airfare: fares, fare, ticket; airline: airlines, what airlines; ground_service: ground transportation), so the model learned real signal.</w:t>
      </w:r>
    </w:p>
    <w:p>
      <w:pPr>
        <w:spacing w:after="30" w:before="0"/>
      </w:pPr>
      <w:r>
        <w:rPr>
          <w:b/>
          <w:i w:val="0"/>
          <w:color w:val="1F3A5F"/>
          <w:sz w:val="15"/>
        </w:rPr>
        <w:t xml:space="preserve">Word contributions: </w:t>
      </w:r>
      <w:r>
        <w:rPr>
          <w:b w:val="0"/>
          <w:i w:val="0"/>
        </w:rPr>
        <w:t>the classifier is linear, so each intent score is exactly the sum of (TF-IDF × weight) plus a class bias, an exact decomposition, unlike LIME. For “which different airlines go from las vegas to new york city” (true: airline, predicted: flight) the scores differ by only 0.0008; the words push towards airline (airlines −0.72, which −0.36) but the “flight” bias is 0.51 higher. The evidence was right; the preference for the dominant class tipped a near-tie. Most mistakes (32 of 39) have a low margin.</w:t>
      </w:r>
    </w:p>
    <w:p>
      <w:pPr>
        <w:spacing w:after="0" w:line="60" w:lineRule="exact"/>
      </w:pPr>
    </w:p>
    <w:tbl>
      <w:tblPr>
        <w:tblW w:type="auto" w:w="0"/>
        <w:tblLayout w:type="fixed"/>
        <w:tblLook w:firstColumn="1" w:firstRow="1" w:lastColumn="0" w:lastRow="0" w:noHBand="0" w:noVBand="1" w:val="04A0"/>
        <w:tblLayout w:type="fixed"/>
        <w:tblBorders>
          <w:top w:val="nil"/>
          <w:left w:val="nil"/>
          <w:bottom w:val="nil"/>
          <w:right w:val="nil"/>
          <w:insideH w:val="nil"/>
          <w:insideV w:val="nil"/>
        </w:tblBorders>
      </w:tblPr>
      <w:tblGrid>
        <w:gridCol w:w="79"/>
        <w:gridCol w:w="10125"/>
      </w:tblGrid>
      <w:tr>
        <w:tc>
          <w:tcPr>
            <w:tcW w:type="dxa" w:w="79"/>
            <w:shd w:val="clear" w:color="auto" w:fill="1B7F8C"/>
            <w:tcMar>
              <w:top w:w="0" w:type="dxa"/>
              <w:bottom w:w="0" w:type="dxa"/>
              <w:left w:w="0" w:type="dxa"/>
              <w:right w:w="0" w:type="dxa"/>
            </w:tcMar>
          </w:tcPr>
          <w:p>
            <w:pPr>
              <w:spacing w:after="0"/>
            </w:pPr>
          </w:p>
        </w:tc>
        <w:tc>
          <w:tcPr>
            <w:tcW w:type="dxa" w:w="10125"/>
            <w:tcMar>
              <w:top w:w="30" w:type="dxa"/>
              <w:bottom w:w="30" w:type="dxa"/>
              <w:left w:w="110" w:type="dxa"/>
              <w:right w:w="0" w:type="dxa"/>
            </w:tcMar>
          </w:tcPr>
          <w:p>
            <w:pPr>
              <w:spacing w:after="0"/>
            </w:pPr>
            <w:r>
              <w:rPr>
                <w:b/>
                <w:i w:val="0"/>
                <w:color w:val="1B7F8C"/>
                <w:sz w:val="19"/>
              </w:rPr>
              <w:t xml:space="preserve">6  </w:t>
            </w:r>
            <w:r>
              <w:rPr>
                <w:b/>
                <w:i w:val="0"/>
                <w:color w:val="1F3A5F"/>
                <w:sz w:val="19"/>
              </w:rPr>
              <w:t>Limitations and ethical considerations</w:t>
            </w:r>
          </w:p>
        </w:tc>
      </w:tr>
    </w:tbl>
    <w:p>
      <w:pPr>
        <w:spacing w:after="0" w:line="40" w:lineRule="exact"/>
      </w:pPr>
    </w:p>
    <w:p>
      <w:pPr>
        <w:spacing w:after="24" w:before="0"/>
        <w:ind w:left="227" w:hanging="181"/>
      </w:pPr>
      <w:r>
        <w:rPr>
          <w:b w:val="0"/>
          <w:i w:val="0"/>
          <w:color w:val="1B7F8C"/>
          <w:sz w:val="14"/>
        </w:rPr>
        <w:t xml:space="preserve">▪ </w:t>
      </w:r>
      <w:r>
        <w:rPr>
          <w:b/>
          <w:i w:val="0"/>
          <w:color w:val="1F3A5F"/>
          <w:sz w:val="15"/>
        </w:rPr>
        <w:t xml:space="preserve">Rare and unseen intents: </w:t>
      </w:r>
      <w:r>
        <w:rPr>
          <w:b w:val="0"/>
          <w:i w:val="0"/>
          <w:sz w:val="15"/>
        </w:rPr>
        <w:t>Macro-F1 (0.683) is far below accuracy because “flight” dominates. Four test intents never occur in training (day_name, airfare+flight, flight+airline, flight_no+airline) and can never be predicted; meal (6 training queries) has recall 0.333.</w:t>
      </w:r>
    </w:p>
    <w:p>
      <w:pPr>
        <w:spacing w:after="24" w:before="0"/>
        <w:ind w:left="227" w:hanging="181"/>
      </w:pPr>
      <w:r>
        <w:rPr>
          <w:b w:val="0"/>
          <w:i w:val="0"/>
          <w:color w:val="1B7F8C"/>
          <w:sz w:val="14"/>
        </w:rPr>
        <w:t xml:space="preserve">▪ </w:t>
      </w:r>
      <w:r>
        <w:rPr>
          <w:b/>
          <w:i w:val="0"/>
          <w:color w:val="1F3A5F"/>
          <w:sz w:val="15"/>
        </w:rPr>
        <w:t xml:space="preserve">Data bias: </w:t>
      </w:r>
      <w:r>
        <w:rPr>
          <w:b w:val="0"/>
          <w:i w:val="0"/>
          <w:sz w:val="15"/>
        </w:rPr>
        <w:t>ATIS is early-1990s US domestic air travel (US cities and airlines, spoken transcripts); Indian, international, informal or code-mixed queries are likely to be handled worse.</w:t>
      </w:r>
    </w:p>
    <w:p>
      <w:pPr>
        <w:spacing w:after="24" w:before="0"/>
        <w:ind w:left="227" w:hanging="181"/>
      </w:pPr>
      <w:r>
        <w:rPr>
          <w:b w:val="0"/>
          <w:i w:val="0"/>
          <w:color w:val="1B7F8C"/>
          <w:sz w:val="14"/>
        </w:rPr>
        <w:t xml:space="preserve">▪ </w:t>
      </w:r>
      <w:r>
        <w:rPr>
          <w:b/>
          <w:i w:val="0"/>
          <w:color w:val="1F3A5F"/>
          <w:sz w:val="15"/>
        </w:rPr>
        <w:t xml:space="preserve">No order, negation or context: </w:t>
      </w:r>
      <w:r>
        <w:rPr>
          <w:b w:val="0"/>
          <w:i w:val="0"/>
          <w:sz w:val="15"/>
        </w:rPr>
        <w:t>TF-IDF sees words and word pairs only, so “not via denver” ≈ “via denver”; typos reduce confidence (no character-level information).</w:t>
      </w:r>
    </w:p>
    <w:p>
      <w:pPr>
        <w:spacing w:after="24" w:before="0"/>
        <w:ind w:left="227" w:hanging="181"/>
      </w:pPr>
      <w:r>
        <w:rPr>
          <w:b w:val="0"/>
          <w:i w:val="0"/>
          <w:color w:val="1B7F8C"/>
          <w:sz w:val="14"/>
        </w:rPr>
        <w:t xml:space="preserve">▪ </w:t>
      </w:r>
      <w:r>
        <w:rPr>
          <w:b/>
          <w:i w:val="0"/>
          <w:color w:val="1F3A5F"/>
          <w:sz w:val="15"/>
        </w:rPr>
        <w:t xml:space="preserve">Small test set: </w:t>
      </w:r>
      <w:r>
        <w:rPr>
          <w:b w:val="0"/>
          <w:i w:val="0"/>
          <w:sz w:val="15"/>
        </w:rPr>
        <w:t>many intents have fewer than 5 test queries, so their scores are unreliable; 18 test queries closely match training queries (all correct), and accuracy on the rest is 95.3%.</w:t>
      </w:r>
    </w:p>
    <w:p>
      <w:pPr>
        <w:spacing w:after="24" w:before="0"/>
        <w:ind w:left="227" w:hanging="181"/>
      </w:pPr>
      <w:r>
        <w:rPr>
          <w:b w:val="0"/>
          <w:i w:val="0"/>
          <w:color w:val="1B7F8C"/>
          <w:sz w:val="14"/>
        </w:rPr>
        <w:t xml:space="preserve">▪ </w:t>
      </w:r>
      <w:r>
        <w:rPr>
          <w:b/>
          <w:i w:val="0"/>
          <w:color w:val="1F3A5F"/>
          <w:sz w:val="15"/>
        </w:rPr>
        <w:t xml:space="preserve">Privacy: </w:t>
      </w:r>
      <w:r>
        <w:rPr>
          <w:b w:val="0"/>
          <w:i w:val="0"/>
          <w:sz w:val="15"/>
        </w:rPr>
        <w:t>the dataset has no personal data, but a deployed system would handle names and itineraries and would need consent and data-retention rules.</w:t>
      </w:r>
    </w:p>
    <w:p>
      <w:pPr>
        <w:spacing w:after="0" w:line="60" w:lineRule="exact"/>
      </w:pPr>
    </w:p>
    <w:tbl>
      <w:tblPr>
        <w:tblW w:type="auto" w:w="0"/>
        <w:tblLayout w:type="fixed"/>
        <w:tblLook w:firstColumn="1" w:firstRow="1" w:lastColumn="0" w:lastRow="0" w:noHBand="0" w:noVBand="1" w:val="04A0"/>
        <w:tblLayout w:type="fixed"/>
        <w:tblBorders>
          <w:top w:val="nil"/>
          <w:left w:val="nil"/>
          <w:bottom w:val="nil"/>
          <w:right w:val="nil"/>
          <w:insideH w:val="nil"/>
          <w:insideV w:val="nil"/>
        </w:tblBorders>
      </w:tblPr>
      <w:tblGrid>
        <w:gridCol w:w="79"/>
        <w:gridCol w:w="10125"/>
      </w:tblGrid>
      <w:tr>
        <w:tc>
          <w:tcPr>
            <w:tcW w:type="dxa" w:w="79"/>
            <w:shd w:val="clear" w:color="auto" w:fill="1B7F8C"/>
            <w:tcMar>
              <w:top w:w="0" w:type="dxa"/>
              <w:bottom w:w="0" w:type="dxa"/>
              <w:left w:w="0" w:type="dxa"/>
              <w:right w:w="0" w:type="dxa"/>
            </w:tcMar>
          </w:tcPr>
          <w:p>
            <w:pPr>
              <w:spacing w:after="0"/>
            </w:pPr>
          </w:p>
        </w:tc>
        <w:tc>
          <w:tcPr>
            <w:tcW w:type="dxa" w:w="10125"/>
            <w:tcMar>
              <w:top w:w="30" w:type="dxa"/>
              <w:bottom w:w="30" w:type="dxa"/>
              <w:left w:w="110" w:type="dxa"/>
              <w:right w:w="0" w:type="dxa"/>
            </w:tcMar>
          </w:tcPr>
          <w:p>
            <w:pPr>
              <w:spacing w:after="0"/>
            </w:pPr>
            <w:r>
              <w:rPr>
                <w:b/>
                <w:i w:val="0"/>
                <w:color w:val="1B7F8C"/>
                <w:sz w:val="19"/>
              </w:rPr>
              <w:t xml:space="preserve">7  </w:t>
            </w:r>
            <w:r>
              <w:rPr>
                <w:b/>
                <w:i w:val="0"/>
                <w:color w:val="1F3A5F"/>
                <w:sz w:val="19"/>
              </w:rPr>
              <w:t>Recommendations</w:t>
            </w:r>
          </w:p>
        </w:tc>
      </w:tr>
    </w:tbl>
    <w:p>
      <w:pPr>
        <w:spacing w:after="0" w:line="40" w:lineRule="exact"/>
      </w:pPr>
    </w:p>
    <w:p>
      <w:pPr>
        <w:spacing w:after="24" w:before="0"/>
        <w:ind w:left="227" w:hanging="181"/>
      </w:pPr>
      <w:r>
        <w:rPr>
          <w:b w:val="0"/>
          <w:i w:val="0"/>
          <w:color w:val="1B7F8C"/>
          <w:sz w:val="14"/>
        </w:rPr>
        <w:t xml:space="preserve">▪ </w:t>
      </w:r>
      <w:r>
        <w:rPr>
          <w:b w:val="0"/>
          <w:i w:val="0"/>
          <w:sz w:val="15"/>
        </w:rPr>
        <w:t>Add examples for rare and combined intents (meal, quantity, ground_fare, flight+airfare) or move to multi-label classification; add an “unknown / other” intent.</w:t>
      </w:r>
    </w:p>
    <w:p>
      <w:pPr>
        <w:spacing w:after="24" w:before="0"/>
        <w:ind w:left="227" w:hanging="181"/>
      </w:pPr>
      <w:r>
        <w:rPr>
          <w:b w:val="0"/>
          <w:i w:val="0"/>
          <w:color w:val="1B7F8C"/>
          <w:sz w:val="14"/>
        </w:rPr>
        <w:t xml:space="preserve">▪ </w:t>
      </w:r>
      <w:r>
        <w:rPr>
          <w:b w:val="0"/>
          <w:i w:val="0"/>
          <w:sz w:val="15"/>
        </w:rPr>
        <w:t>Route low-confidence predictions to a person: flagging the 20% least-certain queries (margin below 1.12) leaves 99.0% accuracy on the rest.</w:t>
      </w:r>
    </w:p>
    <w:p>
      <w:pPr>
        <w:spacing w:after="24" w:before="0"/>
        <w:ind w:left="227" w:hanging="181"/>
      </w:pPr>
      <w:r>
        <w:rPr>
          <w:b w:val="0"/>
          <w:i w:val="0"/>
          <w:color w:val="1B7F8C"/>
          <w:sz w:val="14"/>
        </w:rPr>
        <w:t xml:space="preserve">▪ </w:t>
      </w:r>
      <w:r>
        <w:rPr>
          <w:b w:val="0"/>
          <w:i w:val="0"/>
          <w:sz w:val="15"/>
        </w:rPr>
        <w:t>Try a contextual model (fine-tuned DistilBERT or Sentence-BERT) and character n-grams for typos, then re-run the same subgroup audit.</w:t>
      </w:r>
    </w:p>
    <w:sectPr w:rsidR="00FC693F" w:rsidRPr="0006063C" w:rsidSect="00034616">
      <w:footerReference w:type="default" r:id="rId9"/>
      <w:pgSz w:w="11906" w:h="16838"/>
      <w:pgMar w:top="454" w:right="850" w:bottom="454" w:left="850" w:header="720" w:footer="19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A8AA0"/>
        <w:sz w:val="13"/>
      </w:rPr>
      <w:t>Travel Query Intent Classifier · Model Card · NLP-34 · SAII 2026-27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0" w:lineRule="auto"/>
    </w:pPr>
    <w:rPr>
      <w:rFonts w:ascii="Arial" w:hAnsi="Arial" w:eastAsia="Arial"/>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