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1"/>
        <w:tblW w:w="97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58"/>
        <w:gridCol w:w="3243"/>
        <w:gridCol w:w="4594"/>
      </w:tblGrid>
      <w:tr w:rsidR="003C7914" w:rsidRPr="003C7914" w14:paraId="3E767435" w14:textId="77777777" w:rsidTr="003C7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1DCE3E1A" w14:textId="77777777" w:rsidR="003C7914" w:rsidRPr="003C7914" w:rsidRDefault="003C7914" w:rsidP="003C7914">
            <w:pPr>
              <w:spacing w:before="480" w:after="480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Aspecto</w:t>
            </w:r>
          </w:p>
        </w:tc>
        <w:tc>
          <w:tcPr>
            <w:tcW w:w="0" w:type="auto"/>
            <w:hideMark/>
          </w:tcPr>
          <w:p w14:paraId="0C3129DD" w14:textId="77777777" w:rsidR="003C7914" w:rsidRPr="003C7914" w:rsidRDefault="003C7914" w:rsidP="003C7914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Conducta suicida en Occidente</w:t>
            </w:r>
          </w:p>
        </w:tc>
        <w:tc>
          <w:tcPr>
            <w:tcW w:w="0" w:type="auto"/>
            <w:hideMark/>
          </w:tcPr>
          <w:p w14:paraId="551FC286" w14:textId="77777777" w:rsidR="003C7914" w:rsidRPr="003C7914" w:rsidRDefault="003C7914" w:rsidP="003C7914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Conducta suicida en culturas étnicas</w:t>
            </w:r>
          </w:p>
        </w:tc>
      </w:tr>
      <w:tr w:rsidR="003C7914" w:rsidRPr="003C7914" w14:paraId="183063D9" w14:textId="77777777" w:rsidTr="003C7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472C4" w:themeFill="accent1"/>
            <w:hideMark/>
          </w:tcPr>
          <w:p w14:paraId="6154F3D0" w14:textId="77777777" w:rsidR="003C7914" w:rsidRPr="003C7914" w:rsidRDefault="003C7914" w:rsidP="003C7914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Causas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131A553F" w14:textId="77777777" w:rsidR="003C7914" w:rsidRPr="003C7914" w:rsidRDefault="003C7914" w:rsidP="003C7914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Factores individuales y psicológicos, como trastornos mentales, depresión, ansiedad, etc.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74450DD4" w14:textId="069DF516" w:rsidR="003C7914" w:rsidRPr="003C7914" w:rsidRDefault="003C7914" w:rsidP="003C7914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 xml:space="preserve">Factores sociales y estructurales, como el choque cultural, el conflicto armado, la desigualdad, la discriminación, la exclusión social, etc. </w:t>
            </w:r>
          </w:p>
        </w:tc>
      </w:tr>
      <w:tr w:rsidR="003C7914" w:rsidRPr="003C7914" w14:paraId="6BD810BB" w14:textId="77777777" w:rsidTr="003C7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shd w:val="clear" w:color="auto" w:fill="4472C4" w:themeFill="accent1"/>
            <w:hideMark/>
          </w:tcPr>
          <w:p w14:paraId="1373299E" w14:textId="77777777" w:rsidR="003C7914" w:rsidRPr="003C7914" w:rsidRDefault="003C7914" w:rsidP="003C7914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Percepción cultural</w:t>
            </w:r>
          </w:p>
        </w:tc>
        <w:tc>
          <w:tcPr>
            <w:tcW w:w="0" w:type="auto"/>
            <w:hideMark/>
          </w:tcPr>
          <w:p w14:paraId="44104533" w14:textId="77777777" w:rsidR="003C7914" w:rsidRPr="003C7914" w:rsidRDefault="003C7914" w:rsidP="003C7914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Considerada como un problema de salud mental y abordada desde una perspectiva médica y psicológica.</w:t>
            </w:r>
          </w:p>
        </w:tc>
        <w:tc>
          <w:tcPr>
            <w:tcW w:w="0" w:type="auto"/>
            <w:hideMark/>
          </w:tcPr>
          <w:p w14:paraId="3F3B9536" w14:textId="74CFFCDE" w:rsidR="003C7914" w:rsidRPr="003C7914" w:rsidRDefault="003C7914" w:rsidP="003C7914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 xml:space="preserve">Vinculada a procesos sociales y culturales, y vista como una manifestación de desequilibrio y desajuste en la comunidad y el territorio. </w:t>
            </w:r>
          </w:p>
        </w:tc>
      </w:tr>
      <w:tr w:rsidR="003C7914" w:rsidRPr="003C7914" w14:paraId="721B839E" w14:textId="77777777" w:rsidTr="003C7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472C4" w:themeFill="accent1"/>
            <w:hideMark/>
          </w:tcPr>
          <w:p w14:paraId="5B06C726" w14:textId="77777777" w:rsidR="003C7914" w:rsidRPr="003C7914" w:rsidRDefault="003C7914" w:rsidP="003C7914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Enfoque de intervención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2E12E854" w14:textId="77777777" w:rsidR="003C7914" w:rsidRPr="003C7914" w:rsidRDefault="003C7914" w:rsidP="003C7914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Enfoque clínico y terapéutico, centrado en el individuo y su salud mental.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2667AB18" w14:textId="0339B3F5" w:rsidR="003C7914" w:rsidRPr="003C7914" w:rsidRDefault="003C7914" w:rsidP="003C7914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 xml:space="preserve">Enfoque comunitario y colectivo, que busca abordar las causas sociales y estructurales que contribuyen a la conducta suicida. </w:t>
            </w:r>
          </w:p>
        </w:tc>
      </w:tr>
      <w:tr w:rsidR="003C7914" w:rsidRPr="003C7914" w14:paraId="70EA32CF" w14:textId="77777777" w:rsidTr="003C7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shd w:val="clear" w:color="auto" w:fill="4472C4" w:themeFill="accent1"/>
            <w:hideMark/>
          </w:tcPr>
          <w:p w14:paraId="249544AD" w14:textId="77777777" w:rsidR="003C7914" w:rsidRPr="003C7914" w:rsidRDefault="003C7914" w:rsidP="003C7914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Relación con el territorio y la comunidad</w:t>
            </w:r>
          </w:p>
        </w:tc>
        <w:tc>
          <w:tcPr>
            <w:tcW w:w="0" w:type="auto"/>
            <w:hideMark/>
          </w:tcPr>
          <w:p w14:paraId="0D78797E" w14:textId="77777777" w:rsidR="003C7914" w:rsidRPr="003C7914" w:rsidRDefault="003C7914" w:rsidP="003C7914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No necesariamente vinculada al territorio o la comunidad.</w:t>
            </w:r>
          </w:p>
        </w:tc>
        <w:tc>
          <w:tcPr>
            <w:tcW w:w="0" w:type="auto"/>
            <w:hideMark/>
          </w:tcPr>
          <w:p w14:paraId="61D985AD" w14:textId="1473D134" w:rsidR="003C7914" w:rsidRPr="003C7914" w:rsidRDefault="003C7914" w:rsidP="003C7914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Vinculada a la identidad cultural, el territorio ancestral y la comunidad.</w:t>
            </w:r>
          </w:p>
        </w:tc>
      </w:tr>
      <w:tr w:rsidR="003C7914" w:rsidRPr="003C7914" w14:paraId="2C6A00F7" w14:textId="77777777" w:rsidTr="003C7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472C4" w:themeFill="accent1"/>
            <w:hideMark/>
          </w:tcPr>
          <w:p w14:paraId="63AC1DCB" w14:textId="77777777" w:rsidR="003C7914" w:rsidRPr="003C7914" w:rsidRDefault="003C7914" w:rsidP="003C7914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Percepción de la vida y la muerte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5CFFD27B" w14:textId="77777777" w:rsidR="003C7914" w:rsidRPr="003C7914" w:rsidRDefault="003C7914" w:rsidP="003C7914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Enfoque occidental que valora la vida sobre la muerte y considera el suicidio como un acto trágico y evitable.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5D3A9B70" w14:textId="3658E1B6" w:rsidR="003C7914" w:rsidRPr="003C7914" w:rsidRDefault="003C7914" w:rsidP="003C7914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</w:pPr>
            <w:r w:rsidRPr="003C791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CO"/>
              </w:rPr>
              <w:t>Perspectivas indígenas que pueden tener concepciones diferentes sobre la vida y la muerte, y que pueden considerar el suicidio como una forma de comunicación o resistencia ante la opresión.</w:t>
            </w:r>
          </w:p>
        </w:tc>
      </w:tr>
    </w:tbl>
    <w:p w14:paraId="27DC23A4" w14:textId="2525B125" w:rsidR="00C453B5" w:rsidRPr="003C7914" w:rsidRDefault="00C453B5" w:rsidP="003C7914"/>
    <w:sectPr w:rsidR="00C453B5" w:rsidRPr="003C7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14"/>
    <w:rsid w:val="003C7914"/>
    <w:rsid w:val="005B465D"/>
    <w:rsid w:val="00A31F1A"/>
    <w:rsid w:val="00C4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2560"/>
  <w15:chartTrackingRefBased/>
  <w15:docId w15:val="{4335BC5F-CFD0-4EA1-961E-63A35063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3C79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3C79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3C7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3C79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3-nfasis1">
    <w:name w:val="List Table 3 Accent 1"/>
    <w:basedOn w:val="Tablanormal"/>
    <w:uiPriority w:val="48"/>
    <w:rsid w:val="003C79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2</cp:revision>
  <dcterms:created xsi:type="dcterms:W3CDTF">2023-10-01T20:22:00Z</dcterms:created>
  <dcterms:modified xsi:type="dcterms:W3CDTF">2023-10-01T20:30:00Z</dcterms:modified>
</cp:coreProperties>
</file>