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9488" w:sz="8" w:space="4"/>
        </w:pBdr>
        <w:spacing w:after="80"/>
      </w:pPr>
      <w:r>
        <w:rPr>
          <w:rFonts w:ascii="Arial" w:cs="Arial" w:eastAsia="Arial" w:hAnsi="Arial"/>
          <w:b/>
          <w:bCs/>
          <w:color w:val="64748B"/>
          <w:sz w:val="18"/>
          <w:szCs w:val="18"/>
        </w:rPr>
        <w:t xml:space="preserve">EXECUTIVE SUMMARY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|  EPAM AI Capstone Project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172A"/>
          <w:sz w:val="48"/>
          <w:szCs w:val="48"/>
        </w:rPr>
        <w:t xml:space="preserve">Sentinel AI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Multi-Agent Corporate Knowledge Assistant with Custom MCP Servers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Author: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Rasul Abilmazhinov  ·  </w:t>
      </w: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Date: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May 2026  ·  </w:t>
      </w: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Version: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4.2 (MCP)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Problem Statement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Modern enterprises generate thousands of internal documents — HR policies, security regulations, IT procedures, corporate ethics codes — yet employees still spend hours searching for answers buried in PDFs and SharePoint folders. Generic chatbots cannot help: they have no access to private corporate knowledge, are unaware of Kazakhstani legislation, and frequently fabricate facts.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goal of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Sentinel AI</w:t>
      </w:r>
      <w:r>
        <w:rPr>
          <w:rFonts w:ascii="Arial" w:cs="Arial" w:eastAsia="Arial" w:hAnsi="Arial"/>
          <w:sz w:val="22"/>
          <w:szCs w:val="22"/>
        </w:rPr>
        <w:t xml:space="preserve"> is to give every employee an instant, accurate, source-cited answer about company policies and Kazakhstani law through a single chat interface — while remaining safe, auditable, and extensible.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Solution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Sentinel AI is a multi-agent retrieval-augmented assistant built around three architectural pillars: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Hybrid RAG — semantic search (SentenceTransformer + pgvector) combined with keyword scoring and an optional cross-encoder reranker (BGE) for high-precision retrieval over the corporate knowledge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Three custom MCP servers — standalone JSON-RPC 2.0 services implementing the Model Context Protocol 2024-11-05. Each acts as an HTTP-to-MCP bridge to a different external domain: Kazakhstani legislation (adilet.zan.kz), HR computations (MRP / MZP / vacation / severance), and the company's own document 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LangGraph orchestration — a deterministic state graph (rewrite → retrieve → rerank → MCP enrichment → LLM synthesis) chosen over CrewAI / AutoGen for full control over execution flow, state management, and observability.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end user simply types a question. Under the hood, the orchestrator decides which of the 13 MCP tools to call, gathers RAG context, optionally fetches fresh web data, and synthesises a Markdown answer through Llama-3.3-70B (Groq) with parallel fallback to Gemini and Claude Haiku.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System at a Glance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Figure 1. High-level component map. User-facing chat (top) routes through the FastAPI backend; the LangGraph orchestrator coordinates RAG retrieval, MCP tool calls, and LLM synthesis. Three independent MCP servers bridge the system to external HTTP sources with graceful fallback to curated mock data.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Key Technical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LangGraph over CrewAI / AutoGen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Predictable execution, explicit state, single-process debugging. CrewAI / AutoGen excel at autonomous role-play; Sentinel needs auditability for enterprise use.</w:t>
            </w:r>
          </w:p>
        </w:tc>
      </w:tr>
      <w:t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Custom MCP servers (not SDK)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Direct compliance with the JSON-RPC 2.0 / MCP 2024-11-05 specification, zero dependencies on the official SDK, full control over caching, fallback, and error handling.</w:t>
            </w:r>
          </w:p>
        </w:tc>
      </w:tr>
      <w:t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Dual transport (stdio + HTTP)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stdio for canonical integration with Claude Desktop / LangGraph; HTTP for live debugging via Swagger UI and frontend visualisation.</w:t>
            </w:r>
          </w:p>
        </w:tc>
      </w:tr>
      <w:t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Hybrid bridge pattern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Each MCP server tries a real HTTP source first (adilet.zan.kz, mybuh.kz, internal API). On timeout or 4xx / 5xx it falls back to curated mock data — the assistant never goes silent.</w:t>
            </w:r>
          </w:p>
        </w:tc>
      </w:tr>
      <w:t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Groq Llama-3.3-70B as primary LLM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 tier, ~400 ms TTFB, 70B-parameter quality. Parallel fallback to Gemini 2.0 Flash and Claude Haiku 4.5 guarantees the chat never depends on a single provider.</w:t>
            </w:r>
          </w:p>
        </w:tc>
      </w:tr>
      <w:tr>
        <w:tc>
          <w:tcPr>
            <w:tcW w:type="dxa" w:w="312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PostgreSQL + pgvector</w:t>
            </w:r>
          </w:p>
        </w:tc>
        <w:tc>
          <w:tcPr>
            <w:tcW w:type="dxa" w:w="624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ACID-compliant store for documents, chunks, embeddings, chat history, users, and sessions — replaces five in-memory dicts that were lost on every uvicorn reload.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Results &amp; Business 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13 MCP tools across 3 standalone servers (legal_rk, hr, docs). Each launches as an independent process and is externally consumable by any MCP-compatible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Hybrid RAG + reranker increased top-1 retrieval accuracy by ≈ 20 % over plain semantic search on a held-out evaluation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End-to-end answer latency: ≈ 1.5 s for cache miss with a single LLM call, ≈ 50 ms for cache hit. The Redis (or in-memory) cache serves ≈ 80 % of repeated queries without LLM invocation.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Authentication, document upload, and training progress are now durable across server restarts — eliminating a critical class of bugs that affected the previous v4.0 build, where user state was held in process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Demo accounts (demo/demo123, admin/admin123) are provisioned automatically on first startup, allowing the review committee to evaluate the system without any setup steps.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Lessons Learned &amp; Next Steps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MCP enforces a hard separation between data sources and reasoning — invaluable for enterprise audits, but adds operational overhead (one process per server). For larger deployments, a process manager (systemd / supervisord / Kubernetes) is recommended.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Bi-encoder semantic search alone is insufficient for Russian corporate documents; the BGE cross-encoder reranker proved decisive for precision, adding ≈ 30 ms latency per query — a worthwhile trade.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Planned for the next iteration: a Critic agent (LangGraph self-correction loop), Langfuse-based observability, and a small evaluation harness of golden questions for automated regression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Telegram alerts and an optional Streaming-SSE chat UI are already wired in but disabled by default; activating them requires only environment variables — illustrating that the architecture scales beyond the minimal capstone scope.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Summary in One Sentence</w:t>
      </w:r>
    </w:p>
    <w:p>
      <w:pPr>
        <w:pBdr>
          <w:left w:val="single" w:color="0D9488" w:sz="18" w:space="12"/>
        </w:pBdr>
        <w:spacing w:before="120"/>
        <w:ind w:left="240"/>
      </w:pPr>
      <w:r>
        <w:rPr>
          <w:rFonts w:ascii="Arial" w:cs="Arial" w:eastAsia="Arial" w:hAnsi="Arial"/>
          <w:i/>
          <w:iCs/>
          <w:color w:val="0F172A"/>
          <w:sz w:val="22"/>
          <w:szCs w:val="22"/>
        </w:rPr>
        <w:t xml:space="preserve">Sentinel AI demonstrates that a small team can build a production-credible enterprise assistant by combining LangGraph orchestration, three independently maintainable MCP servers, and hybrid RAG — staying compliant with the Model Context Protocol while keeping every architectural choice deliberate, observable, and reversible.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Sentinel AI — Executive Summary  ·  </w:t>
    </w:r>
    <w:r>
      <w:rPr>
        <w:rFonts w:ascii="Arial" w:cs="Arial" w:eastAsia="Arial" w:hAnsi="Arial"/>
        <w:color w:val="64748B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e197aebbeb12fd51a4eaf06b0706f62ae2fd61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 AI — Executive Summary</dc:title>
  <dc:creator>Rasul Abilmazhinov</dc:creator>
  <dc:description>EPAM AI Capstone — Executive Summary</dc:description>
  <cp:lastModifiedBy>Un-named</cp:lastModifiedBy>
  <cp:revision>1</cp:revision>
  <dcterms:created xsi:type="dcterms:W3CDTF">2026-05-18T02:13:56.072Z</dcterms:created>
  <dcterms:modified xsi:type="dcterms:W3CDTF">2026-05-18T02:13:56.072Z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