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896" w:rsidRDefault="00426484">
      <w:pPr>
        <w:jc w:val="center"/>
      </w:pPr>
      <w:r>
        <w:rPr>
          <w:b/>
          <w:sz w:val="42"/>
        </w:rPr>
        <w:t>ASSIGNMENT 3 REPORT</w:t>
      </w:r>
    </w:p>
    <w:p w:rsidR="002F5896" w:rsidRDefault="00426484">
      <w:pPr>
        <w:jc w:val="center"/>
      </w:pPr>
      <w:r>
        <w:rPr>
          <w:b/>
          <w:sz w:val="28"/>
        </w:rPr>
        <w:t>Adapter and Bridge Patterns</w:t>
      </w:r>
      <w:r>
        <w:rPr>
          <w:b/>
          <w:sz w:val="28"/>
        </w:rPr>
        <w:br/>
        <w:t>University Greenhouse Plant Reporter</w:t>
      </w:r>
    </w:p>
    <w:p w:rsidR="002F5896" w:rsidRPr="00C321FB" w:rsidRDefault="00426484" w:rsidP="00C321FB">
      <w:bookmarkStart w:id="0" w:name="_GoBack"/>
      <w:bookmarkEnd w:id="0"/>
      <w:r>
        <w:t>Student</w:t>
      </w:r>
      <w:r w:rsidR="00C321FB">
        <w:t xml:space="preserve">: </w:t>
      </w:r>
      <w:proofErr w:type="spellStart"/>
      <w:r w:rsidR="00C321FB">
        <w:t>Tazhgulov</w:t>
      </w:r>
      <w:proofErr w:type="spellEnd"/>
      <w:r w:rsidR="00C321FB">
        <w:t xml:space="preserve"> </w:t>
      </w:r>
      <w:proofErr w:type="spellStart"/>
      <w:r w:rsidR="00C321FB">
        <w:t>Rasul</w:t>
      </w:r>
      <w:proofErr w:type="spellEnd"/>
    </w:p>
    <w:p w:rsidR="002F5896" w:rsidRDefault="00426484">
      <w:pPr>
        <w:spacing w:before="100" w:after="60"/>
      </w:pPr>
      <w:r>
        <w:rPr>
          <w:b/>
          <w:sz w:val="25"/>
        </w:rPr>
        <w:t>1. Problem and design</w:t>
      </w:r>
    </w:p>
    <w:p w:rsidR="002F5896" w:rsidRDefault="00426484">
      <w:r>
        <w:t xml:space="preserve">The system creates condition reports for plants in a university greenhouse. The report style and the data </w:t>
      </w:r>
      <w:r>
        <w:t>source are two independent dimensions. The project has Quick and Detailed reports, and Local, Remote, and Legacy data sources.</w:t>
      </w:r>
    </w:p>
    <w:p w:rsidR="002F5896" w:rsidRDefault="00426484">
      <w:pPr>
        <w:spacing w:before="100" w:after="60"/>
      </w:pPr>
      <w:r>
        <w:rPr>
          <w:b/>
          <w:sz w:val="25"/>
        </w:rPr>
        <w:t>2. Pattern structure</w:t>
      </w:r>
    </w:p>
    <w:tbl>
      <w:tblPr>
        <w:tblStyle w:val="aff0"/>
        <w:tblW w:w="0" w:type="auto"/>
        <w:jc w:val="center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F5896">
        <w:trPr>
          <w:jc w:val="center"/>
        </w:trPr>
        <w:tc>
          <w:tcPr>
            <w:tcW w:w="3456" w:type="dxa"/>
            <w:vAlign w:val="center"/>
          </w:tcPr>
          <w:p w:rsidR="002F5896" w:rsidRDefault="00426484">
            <w:r>
              <w:rPr>
                <w:b/>
              </w:rPr>
              <w:t>Role</w:t>
            </w:r>
          </w:p>
        </w:tc>
        <w:tc>
          <w:tcPr>
            <w:tcW w:w="3456" w:type="dxa"/>
            <w:vAlign w:val="center"/>
          </w:tcPr>
          <w:p w:rsidR="002F5896" w:rsidRDefault="00426484">
            <w:r>
              <w:rPr>
                <w:b/>
              </w:rPr>
              <w:t>Class</w:t>
            </w:r>
          </w:p>
        </w:tc>
        <w:tc>
          <w:tcPr>
            <w:tcW w:w="3456" w:type="dxa"/>
            <w:vAlign w:val="center"/>
          </w:tcPr>
          <w:p w:rsidR="002F5896" w:rsidRDefault="00426484">
            <w:r>
              <w:rPr>
                <w:b/>
              </w:rPr>
              <w:t>Purpose</w:t>
            </w:r>
          </w:p>
        </w:tc>
      </w:tr>
      <w:tr w:rsidR="002F5896">
        <w:trPr>
          <w:jc w:val="center"/>
        </w:trPr>
        <w:tc>
          <w:tcPr>
            <w:tcW w:w="3456" w:type="dxa"/>
            <w:vAlign w:val="center"/>
          </w:tcPr>
          <w:p w:rsidR="002F5896" w:rsidRDefault="00426484">
            <w:pPr>
              <w:spacing w:after="0"/>
            </w:pPr>
            <w:r>
              <w:rPr>
                <w:sz w:val="18"/>
              </w:rPr>
              <w:t>Abstraction</w:t>
            </w:r>
          </w:p>
        </w:tc>
        <w:tc>
          <w:tcPr>
            <w:tcW w:w="3456" w:type="dxa"/>
            <w:vAlign w:val="center"/>
          </w:tcPr>
          <w:p w:rsidR="002F5896" w:rsidRDefault="00426484">
            <w:pPr>
              <w:spacing w:after="0"/>
            </w:pPr>
            <w:r>
              <w:rPr>
                <w:sz w:val="18"/>
              </w:rPr>
              <w:t>PlantReport</w:t>
            </w:r>
          </w:p>
        </w:tc>
        <w:tc>
          <w:tcPr>
            <w:tcW w:w="3456" w:type="dxa"/>
            <w:vAlign w:val="center"/>
          </w:tcPr>
          <w:p w:rsidR="002F5896" w:rsidRDefault="00426484">
            <w:pPr>
              <w:spacing w:after="0"/>
            </w:pPr>
            <w:r>
              <w:rPr>
                <w:sz w:val="18"/>
              </w:rPr>
              <w:t>Uses only PlantDataSource</w:t>
            </w:r>
          </w:p>
        </w:tc>
      </w:tr>
      <w:tr w:rsidR="002F5896">
        <w:trPr>
          <w:jc w:val="center"/>
        </w:trPr>
        <w:tc>
          <w:tcPr>
            <w:tcW w:w="3456" w:type="dxa"/>
            <w:vAlign w:val="center"/>
          </w:tcPr>
          <w:p w:rsidR="002F5896" w:rsidRDefault="00426484">
            <w:pPr>
              <w:spacing w:after="0"/>
            </w:pPr>
            <w:r>
              <w:rPr>
                <w:sz w:val="18"/>
              </w:rPr>
              <w:t>Refined Abstractions</w:t>
            </w:r>
          </w:p>
        </w:tc>
        <w:tc>
          <w:tcPr>
            <w:tcW w:w="3456" w:type="dxa"/>
            <w:vAlign w:val="center"/>
          </w:tcPr>
          <w:p w:rsidR="002F5896" w:rsidRDefault="00426484">
            <w:pPr>
              <w:spacing w:after="0"/>
            </w:pPr>
            <w:r>
              <w:rPr>
                <w:sz w:val="18"/>
              </w:rPr>
              <w:t>QuickPlantReport</w:t>
            </w:r>
            <w:r>
              <w:rPr>
                <w:sz w:val="18"/>
              </w:rPr>
              <w:t>, DetailedPlantReport</w:t>
            </w:r>
          </w:p>
        </w:tc>
        <w:tc>
          <w:tcPr>
            <w:tcW w:w="3456" w:type="dxa"/>
            <w:vAlign w:val="center"/>
          </w:tcPr>
          <w:p w:rsidR="002F5896" w:rsidRDefault="00426484">
            <w:pPr>
              <w:spacing w:after="0"/>
            </w:pPr>
            <w:r>
              <w:rPr>
                <w:sz w:val="18"/>
              </w:rPr>
              <w:t>Two report variants</w:t>
            </w:r>
          </w:p>
        </w:tc>
      </w:tr>
      <w:tr w:rsidR="002F5896">
        <w:trPr>
          <w:jc w:val="center"/>
        </w:trPr>
        <w:tc>
          <w:tcPr>
            <w:tcW w:w="3456" w:type="dxa"/>
            <w:vAlign w:val="center"/>
          </w:tcPr>
          <w:p w:rsidR="002F5896" w:rsidRDefault="00426484">
            <w:pPr>
              <w:spacing w:after="0"/>
            </w:pPr>
            <w:r>
              <w:rPr>
                <w:sz w:val="18"/>
              </w:rPr>
              <w:t>Implementor</w:t>
            </w:r>
          </w:p>
        </w:tc>
        <w:tc>
          <w:tcPr>
            <w:tcW w:w="3456" w:type="dxa"/>
            <w:vAlign w:val="center"/>
          </w:tcPr>
          <w:p w:rsidR="002F5896" w:rsidRDefault="00426484">
            <w:pPr>
              <w:spacing w:after="0"/>
            </w:pPr>
            <w:r>
              <w:rPr>
                <w:sz w:val="18"/>
              </w:rPr>
              <w:t>PlantDataSource</w:t>
            </w:r>
          </w:p>
        </w:tc>
        <w:tc>
          <w:tcPr>
            <w:tcW w:w="3456" w:type="dxa"/>
            <w:vAlign w:val="center"/>
          </w:tcPr>
          <w:p w:rsidR="002F5896" w:rsidRDefault="00426484">
            <w:pPr>
              <w:spacing w:after="0"/>
            </w:pPr>
            <w:r>
              <w:rPr>
                <w:sz w:val="18"/>
              </w:rPr>
              <w:t>Common data-source contract</w:t>
            </w:r>
          </w:p>
        </w:tc>
      </w:tr>
      <w:tr w:rsidR="002F5896">
        <w:trPr>
          <w:jc w:val="center"/>
        </w:trPr>
        <w:tc>
          <w:tcPr>
            <w:tcW w:w="3456" w:type="dxa"/>
            <w:vAlign w:val="center"/>
          </w:tcPr>
          <w:p w:rsidR="002F5896" w:rsidRDefault="00426484">
            <w:pPr>
              <w:spacing w:after="0"/>
            </w:pPr>
            <w:r>
              <w:rPr>
                <w:sz w:val="18"/>
              </w:rPr>
              <w:t>Implementations</w:t>
            </w:r>
          </w:p>
        </w:tc>
        <w:tc>
          <w:tcPr>
            <w:tcW w:w="3456" w:type="dxa"/>
            <w:vAlign w:val="center"/>
          </w:tcPr>
          <w:p w:rsidR="002F5896" w:rsidRDefault="00426484">
            <w:pPr>
              <w:spacing w:after="0"/>
            </w:pPr>
            <w:r>
              <w:rPr>
                <w:sz w:val="18"/>
              </w:rPr>
              <w:t>Local, Remote, Legacy Adapter</w:t>
            </w:r>
          </w:p>
        </w:tc>
        <w:tc>
          <w:tcPr>
            <w:tcW w:w="3456" w:type="dxa"/>
            <w:vAlign w:val="center"/>
          </w:tcPr>
          <w:p w:rsidR="002F5896" w:rsidRDefault="00426484">
            <w:pPr>
              <w:spacing w:after="0"/>
            </w:pPr>
            <w:r>
              <w:rPr>
                <w:sz w:val="18"/>
              </w:rPr>
              <w:t>Three interchangeable sources</w:t>
            </w:r>
          </w:p>
        </w:tc>
      </w:tr>
      <w:tr w:rsidR="002F5896">
        <w:trPr>
          <w:jc w:val="center"/>
        </w:trPr>
        <w:tc>
          <w:tcPr>
            <w:tcW w:w="3456" w:type="dxa"/>
            <w:vAlign w:val="center"/>
          </w:tcPr>
          <w:p w:rsidR="002F5896" w:rsidRDefault="00426484">
            <w:pPr>
              <w:spacing w:after="0"/>
            </w:pPr>
            <w:r>
              <w:rPr>
                <w:sz w:val="18"/>
              </w:rPr>
              <w:t>Adaptee</w:t>
            </w:r>
          </w:p>
        </w:tc>
        <w:tc>
          <w:tcPr>
            <w:tcW w:w="3456" w:type="dxa"/>
            <w:vAlign w:val="center"/>
          </w:tcPr>
          <w:p w:rsidR="002F5896" w:rsidRDefault="00426484">
            <w:pPr>
              <w:spacing w:after="0"/>
            </w:pPr>
            <w:r>
              <w:rPr>
                <w:sz w:val="18"/>
              </w:rPr>
              <w:t>LegacyBotanySensor</w:t>
            </w:r>
          </w:p>
        </w:tc>
        <w:tc>
          <w:tcPr>
            <w:tcW w:w="3456" w:type="dxa"/>
            <w:vAlign w:val="center"/>
          </w:tcPr>
          <w:p w:rsidR="002F5896" w:rsidRDefault="00426484">
            <w:pPr>
              <w:spacing w:after="0"/>
            </w:pPr>
            <w:r>
              <w:rPr>
                <w:sz w:val="18"/>
              </w:rPr>
              <w:t>Old incompatible sensor API</w:t>
            </w:r>
          </w:p>
        </w:tc>
      </w:tr>
    </w:tbl>
    <w:p w:rsidR="002F5896" w:rsidRDefault="00426484">
      <w:pPr>
        <w:spacing w:before="100" w:after="60"/>
      </w:pPr>
      <w:r>
        <w:rPr>
          <w:b/>
          <w:sz w:val="25"/>
        </w:rPr>
        <w:t xml:space="preserve">3. Why Bridge and </w:t>
      </w:r>
      <w:r>
        <w:rPr>
          <w:b/>
          <w:sz w:val="25"/>
        </w:rPr>
        <w:t>Adapter are both needed</w:t>
      </w:r>
    </w:p>
    <w:p w:rsidR="002F5896" w:rsidRDefault="00426484">
      <w:r>
        <w:t>Bridge prevents a combination hierarchy such as QuickLocalReport, QuickRemoteReport, DetailedLocalReport, and DetailedRemoteReport. PlantReport stores a PlantDataSource reference, so report types and source types can vary independen</w:t>
      </w:r>
      <w:r>
        <w:t>tly.</w:t>
      </w:r>
    </w:p>
    <w:p w:rsidR="002F5896" w:rsidRDefault="00426484">
      <w:r>
        <w:t>Adapter solves a different problem. LegacyBotanySensor cannot be used directly as a PlantDataSource: it uses poll(int metricMask, char[] plantCode), returns one packed int, and reports failures with negative integer codes. LegacyBotanySensorAdapter co</w:t>
      </w:r>
      <w:r>
        <w:t>nverts the request, decodes the result into PlantReading, and translates all legacy failures into PlantDataException. The legacy class is not modified.</w:t>
      </w:r>
    </w:p>
    <w:p w:rsidR="002F5896" w:rsidRDefault="00426484">
      <w:pPr>
        <w:spacing w:before="100" w:after="60"/>
      </w:pPr>
      <w:r>
        <w:rPr>
          <w:b/>
          <w:sz w:val="25"/>
        </w:rPr>
        <w:t>4. Required complexity module: Dynamic implementor selection</w:t>
      </w:r>
    </w:p>
    <w:p w:rsidR="002F5896" w:rsidRDefault="00426484">
      <w:r>
        <w:t>The data-source name comes from runtime inp</w:t>
      </w:r>
      <w:r>
        <w:t>ut. SourceSelector selects the matching PlantDataSource. Java ServiceLoader discovers the installed implementations, so the client does not hard-code a concrete source choice in a switch or source-specific branch.</w:t>
      </w:r>
    </w:p>
    <w:p w:rsidR="002F5896" w:rsidRDefault="00426484">
      <w:r>
        <w:br w:type="page"/>
      </w:r>
    </w:p>
    <w:p w:rsidR="002F5896" w:rsidRDefault="00426484">
      <w:pPr>
        <w:jc w:val="center"/>
      </w:pPr>
      <w:r>
        <w:rPr>
          <w:b/>
          <w:sz w:val="28"/>
        </w:rPr>
        <w:lastRenderedPageBreak/>
        <w:t>5. UML Class Diagram</w:t>
      </w:r>
    </w:p>
    <w:p w:rsidR="002F5896" w:rsidRDefault="00426484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6309360" cy="4471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896" w:rsidRDefault="00426484">
      <w:pPr>
        <w:spacing w:before="100" w:after="60"/>
      </w:pPr>
      <w:r>
        <w:rPr>
          <w:b/>
          <w:sz w:val="25"/>
        </w:rPr>
        <w:t>6. Open/Closed Pr</w:t>
      </w:r>
      <w:r>
        <w:rPr>
          <w:b/>
          <w:sz w:val="25"/>
        </w:rPr>
        <w:t>inciple and tests</w:t>
      </w:r>
    </w:p>
    <w:p w:rsidR="002F5896" w:rsidRDefault="00426484">
      <w:r>
        <w:t>A new report variant can extend PlantReport without changing source classes. A new source can implement PlantDataSource and be registered in the service configuration without changing existing report classes or SourceSelector. JUnit 5 tes</w:t>
      </w:r>
      <w:r>
        <w:t>ts use handwritten stubs: both refined abstractions are checked for delegation, and the Adapter is checked for argument conversion, packed-result decoding, and failure translation.</w:t>
      </w:r>
    </w:p>
    <w:p w:rsidR="002F5896" w:rsidRDefault="00426484">
      <w:pPr>
        <w:spacing w:before="100" w:after="60"/>
      </w:pPr>
      <w:r>
        <w:rPr>
          <w:b/>
          <w:sz w:val="25"/>
        </w:rPr>
        <w:t>7. Limitation</w:t>
      </w:r>
    </w:p>
    <w:p w:rsidR="002F5896" w:rsidRDefault="00426484">
      <w:r>
        <w:t xml:space="preserve">The legacy packed integer format is intentionally simple and </w:t>
      </w:r>
      <w:r>
        <w:t>assumes bounded metric values. A production sensor protocol would need stronger validation and version handling.</w:t>
      </w:r>
    </w:p>
    <w:sectPr w:rsidR="002F5896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6484" w:rsidRDefault="00426484">
      <w:pPr>
        <w:spacing w:after="0" w:line="240" w:lineRule="auto"/>
      </w:pPr>
      <w:r>
        <w:separator/>
      </w:r>
    </w:p>
  </w:endnote>
  <w:endnote w:type="continuationSeparator" w:id="0">
    <w:p w:rsidR="00426484" w:rsidRDefault="00426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896" w:rsidRDefault="00426484">
    <w:pPr>
      <w:pStyle w:val="a7"/>
      <w:jc w:val="center"/>
    </w:pPr>
    <w:r>
      <w:rPr>
        <w:sz w:val="16"/>
      </w:rPr>
      <w:t>Assignment 3 - Adapter + Bridge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6484" w:rsidRDefault="00426484">
      <w:pPr>
        <w:spacing w:after="0" w:line="240" w:lineRule="auto"/>
      </w:pPr>
      <w:r>
        <w:separator/>
      </w:r>
    </w:p>
  </w:footnote>
  <w:footnote w:type="continuationSeparator" w:id="0">
    <w:p w:rsidR="00426484" w:rsidRDefault="004264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5896"/>
    <w:rsid w:val="00326F90"/>
    <w:rsid w:val="00426484"/>
    <w:rsid w:val="00AA1D8D"/>
    <w:rsid w:val="00B47730"/>
    <w:rsid w:val="00C321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8A51A"/>
  <w14:defaultImageDpi w14:val="300"/>
  <w15:docId w15:val="{5CB7BCBA-2123-4663-85D5-9B9745102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FAB5B6-A5B1-4258-9388-A702D3A34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2026-09-28T09:45:00Z</dcterms:modified>
  <cp:category/>
</cp:coreProperties>
</file>