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C6677" w14:textId="77777777" w:rsidR="009557B0" w:rsidRDefault="00000000">
      <w:pPr>
        <w:pStyle w:val="Title"/>
        <w:spacing w:after="40"/>
        <w:jc w:val="center"/>
      </w:pPr>
      <w:r>
        <w:t>CALIBRATION CERTIFICATE</w:t>
      </w:r>
    </w:p>
    <w:p w14:paraId="3903BA5F" w14:textId="77777777" w:rsidR="009557B0" w:rsidRDefault="00000000">
      <w:pPr>
        <w:spacing w:after="240" w:line="240" w:lineRule="auto"/>
        <w:jc w:val="center"/>
        <w:rPr>
          <w:rFonts w:hint="eastAsia"/>
        </w:rPr>
      </w:pPr>
      <w:r>
        <w:rPr>
          <w:b/>
          <w:color w:val="444444"/>
          <w:sz w:val="26"/>
        </w:rPr>
        <w:t>PT100 Temperature Datalogger System</w:t>
      </w:r>
    </w:p>
    <w:tbl>
      <w:tblPr>
        <w:tblStyle w:val="TableGrid"/>
        <w:tblW w:w="0" w:type="auto"/>
        <w:jc w:val="center"/>
        <w:tblLayout w:type="fixed"/>
        <w:tblLook w:val="04A0" w:firstRow="1" w:lastRow="0" w:firstColumn="1" w:lastColumn="0" w:noHBand="0" w:noVBand="1"/>
      </w:tblPr>
      <w:tblGrid>
        <w:gridCol w:w="1944"/>
        <w:gridCol w:w="3096"/>
        <w:gridCol w:w="2232"/>
        <w:gridCol w:w="2808"/>
      </w:tblGrid>
      <w:tr w:rsidR="009557B0" w14:paraId="4A85CE09" w14:textId="77777777" w:rsidTr="00365BE4">
        <w:trPr>
          <w:jc w:val="center"/>
        </w:trPr>
        <w:tc>
          <w:tcPr>
            <w:tcW w:w="1944" w:type="dxa"/>
            <w:shd w:val="clear" w:color="auto" w:fill="B4D1DE"/>
            <w:tcMar>
              <w:top w:w="90" w:type="dxa"/>
              <w:left w:w="110" w:type="dxa"/>
              <w:bottom w:w="90" w:type="dxa"/>
              <w:right w:w="110" w:type="dxa"/>
            </w:tcMar>
            <w:vAlign w:val="center"/>
          </w:tcPr>
          <w:p w14:paraId="5F11B1DD" w14:textId="77777777" w:rsidR="009557B0" w:rsidRDefault="00000000">
            <w:pPr>
              <w:rPr>
                <w:rFonts w:hint="eastAsia"/>
              </w:rPr>
            </w:pPr>
            <w:r>
              <w:rPr>
                <w:b/>
                <w:sz w:val="19"/>
              </w:rPr>
              <w:t>Certificate No.</w:t>
            </w:r>
          </w:p>
        </w:tc>
        <w:tc>
          <w:tcPr>
            <w:tcW w:w="3096" w:type="dxa"/>
            <w:tcMar>
              <w:top w:w="90" w:type="dxa"/>
              <w:left w:w="110" w:type="dxa"/>
              <w:bottom w:w="90" w:type="dxa"/>
              <w:right w:w="110" w:type="dxa"/>
            </w:tcMar>
            <w:vAlign w:val="center"/>
          </w:tcPr>
          <w:p w14:paraId="44E165F1" w14:textId="77777777" w:rsidR="009557B0" w:rsidRDefault="00000000">
            <w:pPr>
              <w:rPr>
                <w:rFonts w:hint="eastAsia"/>
              </w:rPr>
            </w:pPr>
            <w:r>
              <w:rPr>
                <w:sz w:val="19"/>
              </w:rPr>
              <w:t>[to be assigned]</w:t>
            </w:r>
          </w:p>
        </w:tc>
        <w:tc>
          <w:tcPr>
            <w:tcW w:w="2232" w:type="dxa"/>
            <w:shd w:val="clear" w:color="auto" w:fill="B4D1DE"/>
            <w:tcMar>
              <w:top w:w="90" w:type="dxa"/>
              <w:left w:w="110" w:type="dxa"/>
              <w:bottom w:w="90" w:type="dxa"/>
              <w:right w:w="110" w:type="dxa"/>
            </w:tcMar>
            <w:vAlign w:val="center"/>
          </w:tcPr>
          <w:p w14:paraId="1610B5A8" w14:textId="77777777" w:rsidR="009557B0" w:rsidRDefault="00000000">
            <w:pPr>
              <w:rPr>
                <w:rFonts w:hint="eastAsia"/>
              </w:rPr>
            </w:pPr>
            <w:r>
              <w:rPr>
                <w:b/>
                <w:sz w:val="19"/>
              </w:rPr>
              <w:t>Date of Calibration</w:t>
            </w:r>
          </w:p>
        </w:tc>
        <w:tc>
          <w:tcPr>
            <w:tcW w:w="2808" w:type="dxa"/>
            <w:tcMar>
              <w:top w:w="90" w:type="dxa"/>
              <w:left w:w="110" w:type="dxa"/>
              <w:bottom w:w="90" w:type="dxa"/>
              <w:right w:w="110" w:type="dxa"/>
            </w:tcMar>
            <w:vAlign w:val="center"/>
          </w:tcPr>
          <w:p w14:paraId="1A159F1D" w14:textId="77777777" w:rsidR="009557B0" w:rsidRDefault="00000000">
            <w:pPr>
              <w:rPr>
                <w:rFonts w:hint="eastAsia"/>
              </w:rPr>
            </w:pPr>
            <w:r>
              <w:rPr>
                <w:sz w:val="19"/>
              </w:rPr>
              <w:t>2026-04-15</w:t>
            </w:r>
          </w:p>
        </w:tc>
      </w:tr>
      <w:tr w:rsidR="009557B0" w14:paraId="691B6925" w14:textId="77777777" w:rsidTr="00365BE4">
        <w:trPr>
          <w:jc w:val="center"/>
        </w:trPr>
        <w:tc>
          <w:tcPr>
            <w:tcW w:w="1944" w:type="dxa"/>
            <w:shd w:val="clear" w:color="auto" w:fill="B4D1DE"/>
            <w:tcMar>
              <w:top w:w="90" w:type="dxa"/>
              <w:left w:w="110" w:type="dxa"/>
              <w:bottom w:w="90" w:type="dxa"/>
              <w:right w:w="110" w:type="dxa"/>
            </w:tcMar>
            <w:vAlign w:val="center"/>
          </w:tcPr>
          <w:p w14:paraId="0A3E1972" w14:textId="77777777" w:rsidR="009557B0" w:rsidRDefault="00000000">
            <w:pPr>
              <w:rPr>
                <w:rFonts w:hint="eastAsia"/>
              </w:rPr>
            </w:pPr>
            <w:r>
              <w:rPr>
                <w:b/>
                <w:sz w:val="19"/>
              </w:rPr>
              <w:t>Asset ID</w:t>
            </w:r>
          </w:p>
        </w:tc>
        <w:tc>
          <w:tcPr>
            <w:tcW w:w="3096" w:type="dxa"/>
            <w:tcMar>
              <w:top w:w="90" w:type="dxa"/>
              <w:left w:w="110" w:type="dxa"/>
              <w:bottom w:w="90" w:type="dxa"/>
              <w:right w:w="110" w:type="dxa"/>
            </w:tcMar>
            <w:vAlign w:val="center"/>
          </w:tcPr>
          <w:p w14:paraId="0B62ECA7" w14:textId="77777777" w:rsidR="009557B0" w:rsidRDefault="00000000">
            <w:pPr>
              <w:rPr>
                <w:rFonts w:hint="eastAsia"/>
              </w:rPr>
            </w:pPr>
            <w:r>
              <w:rPr>
                <w:sz w:val="19"/>
              </w:rPr>
              <w:t>[to be assigned]</w:t>
            </w:r>
          </w:p>
        </w:tc>
        <w:tc>
          <w:tcPr>
            <w:tcW w:w="2232" w:type="dxa"/>
            <w:shd w:val="clear" w:color="auto" w:fill="B4D1DE"/>
            <w:tcMar>
              <w:top w:w="90" w:type="dxa"/>
              <w:left w:w="110" w:type="dxa"/>
              <w:bottom w:w="90" w:type="dxa"/>
              <w:right w:w="110" w:type="dxa"/>
            </w:tcMar>
            <w:vAlign w:val="center"/>
          </w:tcPr>
          <w:p w14:paraId="6D1D8C05" w14:textId="77777777" w:rsidR="009557B0" w:rsidRDefault="00000000">
            <w:pPr>
              <w:rPr>
                <w:rFonts w:hint="eastAsia"/>
              </w:rPr>
            </w:pPr>
            <w:r>
              <w:rPr>
                <w:b/>
                <w:sz w:val="19"/>
              </w:rPr>
              <w:t>Calibration Due Date</w:t>
            </w:r>
          </w:p>
        </w:tc>
        <w:tc>
          <w:tcPr>
            <w:tcW w:w="2808" w:type="dxa"/>
            <w:tcMar>
              <w:top w:w="90" w:type="dxa"/>
              <w:left w:w="110" w:type="dxa"/>
              <w:bottom w:w="90" w:type="dxa"/>
              <w:right w:w="110" w:type="dxa"/>
            </w:tcMar>
            <w:vAlign w:val="center"/>
          </w:tcPr>
          <w:p w14:paraId="2191955A" w14:textId="77777777" w:rsidR="009557B0" w:rsidRDefault="00000000">
            <w:pPr>
              <w:rPr>
                <w:rFonts w:hint="eastAsia"/>
              </w:rPr>
            </w:pPr>
            <w:r>
              <w:rPr>
                <w:sz w:val="19"/>
              </w:rPr>
              <w:t>2027-04-15</w:t>
            </w:r>
          </w:p>
        </w:tc>
      </w:tr>
      <w:tr w:rsidR="009557B0" w14:paraId="12FE0CCE" w14:textId="77777777" w:rsidTr="00365BE4">
        <w:trPr>
          <w:jc w:val="center"/>
        </w:trPr>
        <w:tc>
          <w:tcPr>
            <w:tcW w:w="1944" w:type="dxa"/>
            <w:shd w:val="clear" w:color="auto" w:fill="B4D1DE"/>
            <w:tcMar>
              <w:top w:w="90" w:type="dxa"/>
              <w:left w:w="110" w:type="dxa"/>
              <w:bottom w:w="90" w:type="dxa"/>
              <w:right w:w="110" w:type="dxa"/>
            </w:tcMar>
            <w:vAlign w:val="center"/>
          </w:tcPr>
          <w:p w14:paraId="5B9DAD45" w14:textId="77777777" w:rsidR="009557B0" w:rsidRDefault="00000000">
            <w:pPr>
              <w:rPr>
                <w:rFonts w:hint="eastAsia"/>
              </w:rPr>
            </w:pPr>
            <w:r>
              <w:rPr>
                <w:b/>
                <w:sz w:val="19"/>
              </w:rPr>
              <w:t>Alternate Unique ID</w:t>
            </w:r>
          </w:p>
        </w:tc>
        <w:tc>
          <w:tcPr>
            <w:tcW w:w="3096" w:type="dxa"/>
            <w:tcMar>
              <w:top w:w="90" w:type="dxa"/>
              <w:left w:w="110" w:type="dxa"/>
              <w:bottom w:w="90" w:type="dxa"/>
              <w:right w:w="110" w:type="dxa"/>
            </w:tcMar>
            <w:vAlign w:val="center"/>
          </w:tcPr>
          <w:p w14:paraId="4B0D216F" w14:textId="77777777" w:rsidR="009557B0" w:rsidRDefault="00000000">
            <w:pPr>
              <w:rPr>
                <w:rFonts w:hint="eastAsia"/>
              </w:rPr>
            </w:pPr>
            <w:r>
              <w:rPr>
                <w:sz w:val="19"/>
              </w:rPr>
              <w:t>MAC 98:A3:16:12:57:B0</w:t>
            </w:r>
          </w:p>
        </w:tc>
        <w:tc>
          <w:tcPr>
            <w:tcW w:w="2232" w:type="dxa"/>
            <w:shd w:val="clear" w:color="auto" w:fill="B4D1DE"/>
            <w:tcMar>
              <w:top w:w="90" w:type="dxa"/>
              <w:left w:w="110" w:type="dxa"/>
              <w:bottom w:w="90" w:type="dxa"/>
              <w:right w:w="110" w:type="dxa"/>
            </w:tcMar>
            <w:vAlign w:val="center"/>
          </w:tcPr>
          <w:p w14:paraId="51C87258" w14:textId="77777777" w:rsidR="009557B0" w:rsidRDefault="00000000">
            <w:pPr>
              <w:rPr>
                <w:rFonts w:hint="eastAsia"/>
              </w:rPr>
            </w:pPr>
            <w:r>
              <w:rPr>
                <w:b/>
                <w:sz w:val="19"/>
              </w:rPr>
              <w:t>Reference Indicator</w:t>
            </w:r>
          </w:p>
        </w:tc>
        <w:tc>
          <w:tcPr>
            <w:tcW w:w="2808" w:type="dxa"/>
            <w:tcMar>
              <w:top w:w="90" w:type="dxa"/>
              <w:left w:w="110" w:type="dxa"/>
              <w:bottom w:w="90" w:type="dxa"/>
              <w:right w:w="110" w:type="dxa"/>
            </w:tcMar>
            <w:vAlign w:val="center"/>
          </w:tcPr>
          <w:p w14:paraId="11D77DB4" w14:textId="77777777" w:rsidR="009557B0" w:rsidRDefault="00000000">
            <w:pPr>
              <w:rPr>
                <w:rFonts w:hint="eastAsia"/>
              </w:rPr>
            </w:pPr>
            <w:r>
              <w:rPr>
                <w:sz w:val="19"/>
              </w:rPr>
              <w:t>Fluke 51 II N1052</w:t>
            </w:r>
          </w:p>
        </w:tc>
      </w:tr>
      <w:tr w:rsidR="009557B0" w14:paraId="0D339BDA" w14:textId="77777777" w:rsidTr="00365BE4">
        <w:trPr>
          <w:jc w:val="center"/>
        </w:trPr>
        <w:tc>
          <w:tcPr>
            <w:tcW w:w="1944" w:type="dxa"/>
            <w:shd w:val="clear" w:color="auto" w:fill="B4D1DE"/>
            <w:tcMar>
              <w:top w:w="90" w:type="dxa"/>
              <w:left w:w="110" w:type="dxa"/>
              <w:bottom w:w="90" w:type="dxa"/>
              <w:right w:w="110" w:type="dxa"/>
            </w:tcMar>
            <w:vAlign w:val="center"/>
          </w:tcPr>
          <w:p w14:paraId="373DE6F8" w14:textId="77777777" w:rsidR="009557B0" w:rsidRDefault="00000000">
            <w:pPr>
              <w:rPr>
                <w:rFonts w:hint="eastAsia"/>
              </w:rPr>
            </w:pPr>
            <w:r>
              <w:rPr>
                <w:b/>
                <w:sz w:val="19"/>
              </w:rPr>
              <w:t>Reference Probe</w:t>
            </w:r>
          </w:p>
        </w:tc>
        <w:tc>
          <w:tcPr>
            <w:tcW w:w="3096" w:type="dxa"/>
            <w:tcMar>
              <w:top w:w="90" w:type="dxa"/>
              <w:left w:w="110" w:type="dxa"/>
              <w:bottom w:w="90" w:type="dxa"/>
              <w:right w:w="110" w:type="dxa"/>
            </w:tcMar>
            <w:vAlign w:val="center"/>
          </w:tcPr>
          <w:p w14:paraId="5CD29168" w14:textId="77777777" w:rsidR="009557B0" w:rsidRDefault="00000000">
            <w:pPr>
              <w:rPr>
                <w:rFonts w:hint="eastAsia"/>
              </w:rPr>
            </w:pPr>
            <w:r>
              <w:rPr>
                <w:sz w:val="19"/>
              </w:rPr>
              <w:t>Wahl TC801P Type K</w:t>
            </w:r>
          </w:p>
        </w:tc>
        <w:tc>
          <w:tcPr>
            <w:tcW w:w="2232" w:type="dxa"/>
            <w:shd w:val="clear" w:color="auto" w:fill="B4D1DE"/>
            <w:tcMar>
              <w:top w:w="90" w:type="dxa"/>
              <w:left w:w="110" w:type="dxa"/>
              <w:bottom w:w="90" w:type="dxa"/>
              <w:right w:w="110" w:type="dxa"/>
            </w:tcMar>
            <w:vAlign w:val="center"/>
          </w:tcPr>
          <w:p w14:paraId="15213067" w14:textId="77777777" w:rsidR="009557B0" w:rsidRDefault="00000000">
            <w:pPr>
              <w:rPr>
                <w:rFonts w:hint="eastAsia"/>
              </w:rPr>
            </w:pPr>
            <w:r>
              <w:rPr>
                <w:b/>
                <w:sz w:val="19"/>
              </w:rPr>
              <w:t>Transfer Block</w:t>
            </w:r>
          </w:p>
        </w:tc>
        <w:tc>
          <w:tcPr>
            <w:tcW w:w="2808" w:type="dxa"/>
            <w:tcMar>
              <w:top w:w="90" w:type="dxa"/>
              <w:left w:w="110" w:type="dxa"/>
              <w:bottom w:w="90" w:type="dxa"/>
              <w:right w:w="110" w:type="dxa"/>
            </w:tcMar>
            <w:vAlign w:val="center"/>
          </w:tcPr>
          <w:p w14:paraId="354AAF4B" w14:textId="77777777" w:rsidR="009557B0" w:rsidRDefault="00000000">
            <w:pPr>
              <w:rPr>
                <w:rFonts w:hint="eastAsia"/>
              </w:rPr>
            </w:pPr>
            <w:r>
              <w:rPr>
                <w:sz w:val="19"/>
              </w:rPr>
              <w:t>Epicor 1126212</w:t>
            </w:r>
          </w:p>
        </w:tc>
      </w:tr>
    </w:tbl>
    <w:p w14:paraId="0FEEB83D" w14:textId="77777777" w:rsidR="009557B0" w:rsidRDefault="009557B0">
      <w:pPr>
        <w:rPr>
          <w:rFonts w:hint="eastAsia"/>
        </w:rPr>
      </w:pPr>
    </w:p>
    <w:p w14:paraId="541EBEEC" w14:textId="77777777" w:rsidR="009557B0" w:rsidRDefault="00000000">
      <w:pPr>
        <w:pStyle w:val="Heading1"/>
        <w:spacing w:before="200" w:after="80" w:line="264" w:lineRule="auto"/>
      </w:pPr>
      <w:r>
        <w:t>1. Instrument Identification</w:t>
      </w:r>
    </w:p>
    <w:p w14:paraId="3A8F3781" w14:textId="77777777" w:rsidR="009557B0" w:rsidRDefault="00000000">
      <w:pPr>
        <w:spacing w:after="40" w:line="259" w:lineRule="auto"/>
        <w:ind w:left="216"/>
        <w:rPr>
          <w:rFonts w:hint="eastAsia"/>
        </w:rPr>
      </w:pPr>
      <w:r>
        <w:rPr>
          <w:b/>
        </w:rPr>
        <w:t xml:space="preserve">Instrument Under Test (IUT): </w:t>
      </w:r>
      <w:r>
        <w:t>PT100 temperature datalogger system</w:t>
      </w:r>
    </w:p>
    <w:p w14:paraId="23512C8D" w14:textId="77777777" w:rsidR="009557B0" w:rsidRDefault="00000000">
      <w:pPr>
        <w:spacing w:after="40" w:line="259" w:lineRule="auto"/>
        <w:ind w:left="216"/>
        <w:rPr>
          <w:rFonts w:hint="eastAsia"/>
        </w:rPr>
      </w:pPr>
      <w:r>
        <w:rPr>
          <w:b/>
        </w:rPr>
        <w:t xml:space="preserve">Sensor: </w:t>
      </w:r>
      <w:r>
        <w:t>Omega PR-21D-3-100 platinum resistance thermometer</w:t>
      </w:r>
    </w:p>
    <w:p w14:paraId="7C26EB25" w14:textId="77777777" w:rsidR="009557B0" w:rsidRDefault="00000000">
      <w:pPr>
        <w:spacing w:after="40" w:line="259" w:lineRule="auto"/>
        <w:ind w:left="216"/>
        <w:rPr>
          <w:rFonts w:hint="eastAsia"/>
        </w:rPr>
      </w:pPr>
      <w:r>
        <w:rPr>
          <w:b/>
        </w:rPr>
        <w:t xml:space="preserve">Sensor Configuration: </w:t>
      </w:r>
      <w:r>
        <w:t>4-wire RTD</w:t>
      </w:r>
    </w:p>
    <w:p w14:paraId="7C17E70B" w14:textId="77777777" w:rsidR="009557B0" w:rsidRDefault="00000000">
      <w:pPr>
        <w:spacing w:after="40" w:line="259" w:lineRule="auto"/>
        <w:ind w:left="216"/>
        <w:rPr>
          <w:rFonts w:hint="eastAsia"/>
        </w:rPr>
      </w:pPr>
      <w:r>
        <w:rPr>
          <w:b/>
        </w:rPr>
        <w:t xml:space="preserve">Measurement Electronics: </w:t>
      </w:r>
      <w:r>
        <w:t>MAX31865 RTD interface, 430 ohm reference resistor</w:t>
      </w:r>
    </w:p>
    <w:p w14:paraId="3C0793E5" w14:textId="77777777" w:rsidR="009557B0" w:rsidRDefault="00000000">
      <w:pPr>
        <w:spacing w:after="40" w:line="259" w:lineRule="auto"/>
        <w:ind w:left="216"/>
        <w:rPr>
          <w:rFonts w:hint="eastAsia"/>
        </w:rPr>
      </w:pPr>
      <w:r>
        <w:rPr>
          <w:b/>
        </w:rPr>
        <w:t xml:space="preserve">Transfer Block Material: </w:t>
      </w:r>
      <w:r>
        <w:t>6061-T6 aluminum</w:t>
      </w:r>
    </w:p>
    <w:p w14:paraId="09C19E9F" w14:textId="77777777" w:rsidR="009557B0" w:rsidRDefault="00000000">
      <w:pPr>
        <w:spacing w:after="40" w:line="259" w:lineRule="auto"/>
        <w:ind w:left="216"/>
        <w:rPr>
          <w:rFonts w:hint="eastAsia"/>
        </w:rPr>
      </w:pPr>
      <w:r>
        <w:rPr>
          <w:b/>
        </w:rPr>
        <w:t xml:space="preserve">Reference Thermocouple Probe: </w:t>
      </w:r>
      <w:r>
        <w:t>Wahl TC801P Type K thermocouple probe, 1/8 in diameter, approximately 12 in long, standard thermocouple connector</w:t>
      </w:r>
    </w:p>
    <w:p w14:paraId="63EEF8D9" w14:textId="77777777" w:rsidR="009557B0" w:rsidRDefault="00000000">
      <w:pPr>
        <w:pStyle w:val="Heading1"/>
        <w:spacing w:before="200" w:after="80" w:line="264" w:lineRule="auto"/>
      </w:pPr>
      <w:r>
        <w:t>2. Statement of Calibration</w:t>
      </w:r>
    </w:p>
    <w:p w14:paraId="61CD9AC9" w14:textId="77777777" w:rsidR="009557B0" w:rsidRDefault="00000000">
      <w:pPr>
        <w:spacing w:after="80" w:line="269" w:lineRule="auto"/>
        <w:rPr>
          <w:rFonts w:hint="eastAsia"/>
        </w:rPr>
      </w:pPr>
      <w:r>
        <w:t>The IUT was calibrated as a complete corrected measurement system using a resistance-domain polynomial calibration derived from comparison against the reference thermometer system identified in this certificate.</w:t>
      </w:r>
    </w:p>
    <w:p w14:paraId="27B7F7D3" w14:textId="77777777" w:rsidR="009557B0" w:rsidRDefault="00000000">
      <w:pPr>
        <w:spacing w:after="80" w:line="269" w:lineRule="auto"/>
        <w:rPr>
          <w:rFonts w:hint="eastAsia"/>
        </w:rPr>
      </w:pPr>
      <w:r>
        <w:t>This certificate applies to the corrected PT100 probe-plus-readout system in service. The retained source record documents the calibration-point dataset used to generate and apply the active correction model, but does not include the internal polynomial coefficients. Accordingly, this certificate documents the calibration-point data, active correction method, and uncertainty statement for the corrected system rather than listing coefficient values.</w:t>
      </w:r>
    </w:p>
    <w:p w14:paraId="57AB1538" w14:textId="77777777" w:rsidR="009557B0" w:rsidRDefault="00000000">
      <w:pPr>
        <w:pStyle w:val="Heading1"/>
        <w:spacing w:before="200" w:after="80" w:line="264" w:lineRule="auto"/>
      </w:pPr>
      <w:r>
        <w:t>3. Calibration Method</w:t>
      </w:r>
    </w:p>
    <w:p w14:paraId="5959EEB1" w14:textId="77777777" w:rsidR="009557B0" w:rsidRDefault="00000000">
      <w:pPr>
        <w:spacing w:after="80" w:line="269" w:lineRule="auto"/>
        <w:rPr>
          <w:rFonts w:hint="eastAsia"/>
        </w:rPr>
      </w:pPr>
      <w:r>
        <w:t>Calibration was performed by transfer comparison in a Thermotron environmental chamber using the custom aluminum transfer block identified above. The reference Type K thermocouple probe and the IUT probe were inserted into adjacent transfer-block bores at nominally equal depth. Setpoints were allowed to stabilize prior to data capture.</w:t>
      </w:r>
    </w:p>
    <w:p w14:paraId="6A26E4F9" w14:textId="49F00A67" w:rsidR="0072607A" w:rsidRDefault="00000000">
      <w:pPr>
        <w:spacing w:after="80" w:line="269" w:lineRule="auto"/>
      </w:pPr>
      <w:r>
        <w:t>The transfer block was manufactured from 6061-T6 aluminum, which has typical thermal conductivity of approximately 167 W/</w:t>
      </w:r>
      <w:proofErr w:type="spellStart"/>
      <w:r>
        <w:t>m·K</w:t>
      </w:r>
      <w:proofErr w:type="spellEnd"/>
      <w:r>
        <w:t xml:space="preserve"> at 77 </w:t>
      </w:r>
      <w:r w:rsidR="004131CC">
        <w:t>°</w:t>
      </w:r>
      <w:r>
        <w:t>F. Dry-block calibration performance, however, depends not only on block material but also on axial and radial uniformity, probe fit, stem conduction, loading, and external influences.</w:t>
      </w:r>
    </w:p>
    <w:p w14:paraId="18CBF5C0" w14:textId="77777777" w:rsidR="0072607A" w:rsidRDefault="0072607A">
      <w:r>
        <w:br w:type="page"/>
      </w:r>
    </w:p>
    <w:p w14:paraId="712B1B24" w14:textId="77777777" w:rsidR="009557B0" w:rsidRDefault="00000000">
      <w:pPr>
        <w:pStyle w:val="Heading1"/>
        <w:spacing w:before="200" w:after="80" w:line="264" w:lineRule="auto"/>
      </w:pPr>
      <w:r>
        <w:lastRenderedPageBreak/>
        <w:t>4. Calibration Conditions and Capture Controls</w:t>
      </w:r>
    </w:p>
    <w:tbl>
      <w:tblPr>
        <w:tblStyle w:val="TableGrid"/>
        <w:tblW w:w="0" w:type="auto"/>
        <w:jc w:val="center"/>
        <w:tblLayout w:type="fixed"/>
        <w:tblLook w:val="04A0" w:firstRow="1" w:lastRow="0" w:firstColumn="1" w:lastColumn="0" w:noHBand="0" w:noVBand="1"/>
      </w:tblPr>
      <w:tblGrid>
        <w:gridCol w:w="3024"/>
        <w:gridCol w:w="5634"/>
      </w:tblGrid>
      <w:tr w:rsidR="009557B0" w14:paraId="411B1105" w14:textId="77777777" w:rsidTr="00365BE4">
        <w:trPr>
          <w:jc w:val="center"/>
        </w:trPr>
        <w:tc>
          <w:tcPr>
            <w:tcW w:w="3024" w:type="dxa"/>
            <w:shd w:val="clear" w:color="auto" w:fill="B4D1DE"/>
            <w:tcMar>
              <w:top w:w="80" w:type="dxa"/>
              <w:left w:w="100" w:type="dxa"/>
              <w:bottom w:w="80" w:type="dxa"/>
              <w:right w:w="100" w:type="dxa"/>
            </w:tcMar>
            <w:vAlign w:val="center"/>
          </w:tcPr>
          <w:p w14:paraId="1DBD297E" w14:textId="77777777" w:rsidR="009557B0" w:rsidRDefault="00000000">
            <w:pPr>
              <w:spacing w:line="252" w:lineRule="auto"/>
              <w:jc w:val="center"/>
              <w:rPr>
                <w:rFonts w:hint="eastAsia"/>
              </w:rPr>
            </w:pPr>
            <w:r>
              <w:rPr>
                <w:b/>
                <w:sz w:val="19"/>
              </w:rPr>
              <w:t>Calibration mode</w:t>
            </w:r>
          </w:p>
        </w:tc>
        <w:tc>
          <w:tcPr>
            <w:tcW w:w="5634" w:type="dxa"/>
            <w:shd w:val="clear" w:color="auto" w:fill="B4D1DE"/>
            <w:tcMar>
              <w:top w:w="80" w:type="dxa"/>
              <w:left w:w="100" w:type="dxa"/>
              <w:bottom w:w="80" w:type="dxa"/>
              <w:right w:w="100" w:type="dxa"/>
            </w:tcMar>
            <w:vAlign w:val="center"/>
          </w:tcPr>
          <w:p w14:paraId="7CED9286" w14:textId="77777777" w:rsidR="009557B0" w:rsidRDefault="00000000">
            <w:pPr>
              <w:spacing w:line="252" w:lineRule="auto"/>
              <w:jc w:val="center"/>
              <w:rPr>
                <w:rFonts w:hint="eastAsia"/>
              </w:rPr>
            </w:pPr>
            <w:r>
              <w:rPr>
                <w:b/>
                <w:sz w:val="19"/>
              </w:rPr>
              <w:t>Polynomial</w:t>
            </w:r>
          </w:p>
        </w:tc>
      </w:tr>
      <w:tr w:rsidR="009557B0" w14:paraId="52824448" w14:textId="77777777" w:rsidTr="00365BE4">
        <w:trPr>
          <w:jc w:val="center"/>
        </w:trPr>
        <w:tc>
          <w:tcPr>
            <w:tcW w:w="3024" w:type="dxa"/>
            <w:tcMar>
              <w:top w:w="80" w:type="dxa"/>
              <w:left w:w="100" w:type="dxa"/>
              <w:bottom w:w="80" w:type="dxa"/>
              <w:right w:w="100" w:type="dxa"/>
            </w:tcMar>
            <w:vAlign w:val="center"/>
          </w:tcPr>
          <w:p w14:paraId="4668CDD9" w14:textId="77777777" w:rsidR="009557B0" w:rsidRDefault="00000000">
            <w:pPr>
              <w:spacing w:line="252" w:lineRule="auto"/>
              <w:rPr>
                <w:rFonts w:hint="eastAsia"/>
              </w:rPr>
            </w:pPr>
            <w:r>
              <w:rPr>
                <w:b/>
                <w:sz w:val="19"/>
              </w:rPr>
              <w:t>Calibration domain</w:t>
            </w:r>
          </w:p>
        </w:tc>
        <w:tc>
          <w:tcPr>
            <w:tcW w:w="5634" w:type="dxa"/>
            <w:tcMar>
              <w:top w:w="80" w:type="dxa"/>
              <w:left w:w="100" w:type="dxa"/>
              <w:bottom w:w="80" w:type="dxa"/>
              <w:right w:w="100" w:type="dxa"/>
            </w:tcMar>
            <w:vAlign w:val="center"/>
          </w:tcPr>
          <w:p w14:paraId="3DADE04A" w14:textId="77777777" w:rsidR="009557B0" w:rsidRDefault="00000000">
            <w:pPr>
              <w:spacing w:line="252" w:lineRule="auto"/>
              <w:rPr>
                <w:rFonts w:hint="eastAsia"/>
              </w:rPr>
            </w:pPr>
            <w:r>
              <w:rPr>
                <w:sz w:val="19"/>
              </w:rPr>
              <w:t>Resistance (ohm)</w:t>
            </w:r>
          </w:p>
        </w:tc>
      </w:tr>
      <w:tr w:rsidR="009557B0" w14:paraId="52C8558E" w14:textId="77777777" w:rsidTr="00365BE4">
        <w:trPr>
          <w:jc w:val="center"/>
        </w:trPr>
        <w:tc>
          <w:tcPr>
            <w:tcW w:w="3024" w:type="dxa"/>
            <w:tcMar>
              <w:top w:w="80" w:type="dxa"/>
              <w:left w:w="100" w:type="dxa"/>
              <w:bottom w:w="80" w:type="dxa"/>
              <w:right w:w="100" w:type="dxa"/>
            </w:tcMar>
            <w:vAlign w:val="center"/>
          </w:tcPr>
          <w:p w14:paraId="6A827058" w14:textId="77777777" w:rsidR="009557B0" w:rsidRDefault="00000000">
            <w:pPr>
              <w:spacing w:line="252" w:lineRule="auto"/>
              <w:rPr>
                <w:rFonts w:hint="eastAsia"/>
              </w:rPr>
            </w:pPr>
            <w:r>
              <w:rPr>
                <w:b/>
                <w:sz w:val="19"/>
              </w:rPr>
              <w:t>Capture window</w:t>
            </w:r>
          </w:p>
        </w:tc>
        <w:tc>
          <w:tcPr>
            <w:tcW w:w="5634" w:type="dxa"/>
            <w:tcMar>
              <w:top w:w="80" w:type="dxa"/>
              <w:left w:w="100" w:type="dxa"/>
              <w:bottom w:w="80" w:type="dxa"/>
              <w:right w:w="100" w:type="dxa"/>
            </w:tcMar>
            <w:vAlign w:val="center"/>
          </w:tcPr>
          <w:p w14:paraId="291CD948" w14:textId="1B4BC00C" w:rsidR="009557B0" w:rsidRDefault="00000000">
            <w:pPr>
              <w:spacing w:line="252" w:lineRule="auto"/>
              <w:rPr>
                <w:rFonts w:hint="eastAsia"/>
              </w:rPr>
            </w:pPr>
            <w:r>
              <w:rPr>
                <w:sz w:val="19"/>
              </w:rPr>
              <w:t>60 s</w:t>
            </w:r>
            <w:r w:rsidR="0042286D">
              <w:rPr>
                <w:sz w:val="19"/>
              </w:rPr>
              <w:t>econds</w:t>
            </w:r>
          </w:p>
        </w:tc>
      </w:tr>
      <w:tr w:rsidR="009557B0" w14:paraId="28CBA0AD" w14:textId="77777777" w:rsidTr="00365BE4">
        <w:trPr>
          <w:jc w:val="center"/>
        </w:trPr>
        <w:tc>
          <w:tcPr>
            <w:tcW w:w="3024" w:type="dxa"/>
            <w:tcMar>
              <w:top w:w="80" w:type="dxa"/>
              <w:left w:w="100" w:type="dxa"/>
              <w:bottom w:w="80" w:type="dxa"/>
              <w:right w:w="100" w:type="dxa"/>
            </w:tcMar>
            <w:vAlign w:val="center"/>
          </w:tcPr>
          <w:p w14:paraId="6A86FD7A" w14:textId="77777777" w:rsidR="009557B0" w:rsidRDefault="00000000">
            <w:pPr>
              <w:spacing w:line="252" w:lineRule="auto"/>
              <w:rPr>
                <w:rFonts w:hint="eastAsia"/>
              </w:rPr>
            </w:pPr>
            <w:r>
              <w:rPr>
                <w:b/>
                <w:sz w:val="19"/>
              </w:rPr>
              <w:t>Drift limit</w:t>
            </w:r>
          </w:p>
        </w:tc>
        <w:tc>
          <w:tcPr>
            <w:tcW w:w="5634" w:type="dxa"/>
            <w:tcMar>
              <w:top w:w="80" w:type="dxa"/>
              <w:left w:w="100" w:type="dxa"/>
              <w:bottom w:w="80" w:type="dxa"/>
              <w:right w:w="100" w:type="dxa"/>
            </w:tcMar>
            <w:vAlign w:val="center"/>
          </w:tcPr>
          <w:p w14:paraId="57B729CE" w14:textId="69604BF6" w:rsidR="009557B0" w:rsidRDefault="00000000">
            <w:pPr>
              <w:spacing w:line="252" w:lineRule="auto"/>
              <w:rPr>
                <w:rFonts w:hint="eastAsia"/>
              </w:rPr>
            </w:pPr>
            <w:r>
              <w:rPr>
                <w:sz w:val="19"/>
              </w:rPr>
              <w:t xml:space="preserve">0.020 </w:t>
            </w:r>
            <w:r w:rsidR="00891EFB">
              <w:rPr>
                <w:sz w:val="19"/>
              </w:rPr>
              <w:t>°C</w:t>
            </w:r>
            <w:r>
              <w:rPr>
                <w:sz w:val="19"/>
              </w:rPr>
              <w:t>/min</w:t>
            </w:r>
          </w:p>
        </w:tc>
      </w:tr>
      <w:tr w:rsidR="009557B0" w14:paraId="19F10452" w14:textId="77777777" w:rsidTr="00365BE4">
        <w:trPr>
          <w:jc w:val="center"/>
        </w:trPr>
        <w:tc>
          <w:tcPr>
            <w:tcW w:w="3024" w:type="dxa"/>
            <w:tcMar>
              <w:top w:w="80" w:type="dxa"/>
              <w:left w:w="100" w:type="dxa"/>
              <w:bottom w:w="80" w:type="dxa"/>
              <w:right w:w="100" w:type="dxa"/>
            </w:tcMar>
            <w:vAlign w:val="center"/>
          </w:tcPr>
          <w:p w14:paraId="28424AB3" w14:textId="77777777" w:rsidR="009557B0" w:rsidRDefault="00000000">
            <w:pPr>
              <w:spacing w:line="252" w:lineRule="auto"/>
              <w:rPr>
                <w:rFonts w:hint="eastAsia"/>
              </w:rPr>
            </w:pPr>
            <w:r>
              <w:rPr>
                <w:b/>
                <w:sz w:val="19"/>
              </w:rPr>
              <w:t>Runtime correction path</w:t>
            </w:r>
          </w:p>
        </w:tc>
        <w:tc>
          <w:tcPr>
            <w:tcW w:w="5634" w:type="dxa"/>
            <w:tcMar>
              <w:top w:w="80" w:type="dxa"/>
              <w:left w:w="100" w:type="dxa"/>
              <w:bottom w:w="80" w:type="dxa"/>
              <w:right w:w="100" w:type="dxa"/>
            </w:tcMar>
            <w:vAlign w:val="center"/>
          </w:tcPr>
          <w:p w14:paraId="12386E6D" w14:textId="5E1D2F80" w:rsidR="009557B0" w:rsidRDefault="00000000">
            <w:pPr>
              <w:spacing w:line="252" w:lineRule="auto"/>
              <w:rPr>
                <w:rFonts w:hint="eastAsia"/>
              </w:rPr>
            </w:pPr>
            <w:r>
              <w:rPr>
                <w:sz w:val="19"/>
              </w:rPr>
              <w:t>Raw measured ohms &gt; corrected ohms &gt; corrected temperature</w:t>
            </w:r>
          </w:p>
        </w:tc>
      </w:tr>
    </w:tbl>
    <w:p w14:paraId="4E3F8485" w14:textId="77777777" w:rsidR="009557B0" w:rsidRDefault="00000000">
      <w:pPr>
        <w:spacing w:before="80" w:after="40" w:line="269" w:lineRule="auto"/>
      </w:pPr>
      <w:r>
        <w:t>For this certificate, residuals are defined as follows:</w:t>
      </w:r>
    </w:p>
    <w:p w14:paraId="4788CD7B" w14:textId="48A55735" w:rsidR="004131CC" w:rsidRPr="004131CC" w:rsidRDefault="004131CC">
      <w:pPr>
        <w:spacing w:before="80" w:after="40" w:line="269" w:lineRule="auto"/>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ref,i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raw,i</m:t>
              </m:r>
            </m:sub>
          </m:sSub>
        </m:oMath>
      </m:oMathPara>
    </w:p>
    <w:p w14:paraId="7AD193BF" w14:textId="799DAF5B" w:rsidR="004131CC" w:rsidRPr="004131CC" w:rsidRDefault="004131CC">
      <w:pPr>
        <w:spacing w:before="80" w:after="40" w:line="269" w:lineRule="auto"/>
      </w:pPr>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ideal</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raw,i</m:t>
              </m:r>
            </m:sub>
          </m:sSub>
        </m:oMath>
      </m:oMathPara>
    </w:p>
    <w:p w14:paraId="48901630" w14:textId="77777777" w:rsidR="009557B0" w:rsidRDefault="00000000">
      <w:pPr>
        <w:spacing w:after="80" w:line="269" w:lineRule="auto"/>
        <w:rPr>
          <w:rFonts w:hint="eastAsia"/>
        </w:rPr>
      </w:pPr>
      <w:r>
        <w:t>Positive residual temperature therefore indicates that the raw uncorrected IUT reading was lower than the reference temperature at that point.</w:t>
      </w:r>
    </w:p>
    <w:p w14:paraId="30B3BFB2" w14:textId="77777777" w:rsidR="009557B0" w:rsidRDefault="00000000">
      <w:pPr>
        <w:pStyle w:val="Heading1"/>
        <w:spacing w:before="200" w:after="80" w:line="264" w:lineRule="auto"/>
      </w:pPr>
      <w:r>
        <w:t>5. Calibration Data Used for the Active Correction Model</w:t>
      </w:r>
    </w:p>
    <w:tbl>
      <w:tblPr>
        <w:tblStyle w:val="TableGrid"/>
        <w:tblW w:w="9576" w:type="dxa"/>
        <w:jc w:val="center"/>
        <w:tblLayout w:type="fixed"/>
        <w:tblLook w:val="04A0" w:firstRow="1" w:lastRow="0" w:firstColumn="1" w:lastColumn="0" w:noHBand="0" w:noVBand="1"/>
      </w:tblPr>
      <w:tblGrid>
        <w:gridCol w:w="648"/>
        <w:gridCol w:w="1512"/>
        <w:gridCol w:w="1800"/>
        <w:gridCol w:w="1440"/>
        <w:gridCol w:w="1584"/>
        <w:gridCol w:w="1368"/>
        <w:gridCol w:w="1224"/>
      </w:tblGrid>
      <w:tr w:rsidR="00B95BD9" w14:paraId="77B18B54" w14:textId="77777777" w:rsidTr="00365BE4">
        <w:trPr>
          <w:jc w:val="center"/>
        </w:trPr>
        <w:tc>
          <w:tcPr>
            <w:tcW w:w="648" w:type="dxa"/>
            <w:shd w:val="clear" w:color="auto" w:fill="B4D1DE"/>
            <w:tcMar>
              <w:top w:w="80" w:type="dxa"/>
              <w:left w:w="100" w:type="dxa"/>
              <w:bottom w:w="80" w:type="dxa"/>
              <w:right w:w="100" w:type="dxa"/>
            </w:tcMar>
            <w:vAlign w:val="center"/>
          </w:tcPr>
          <w:p w14:paraId="7ACDDFFC" w14:textId="77777777" w:rsidR="00B95BD9" w:rsidRDefault="00B95BD9">
            <w:pPr>
              <w:spacing w:line="252" w:lineRule="auto"/>
              <w:jc w:val="center"/>
              <w:rPr>
                <w:rFonts w:hint="eastAsia"/>
              </w:rPr>
            </w:pPr>
            <w:r>
              <w:rPr>
                <w:b/>
                <w:sz w:val="17"/>
              </w:rPr>
              <w:t>Point</w:t>
            </w:r>
          </w:p>
        </w:tc>
        <w:tc>
          <w:tcPr>
            <w:tcW w:w="1512" w:type="dxa"/>
            <w:shd w:val="clear" w:color="auto" w:fill="B4D1DE"/>
            <w:tcMar>
              <w:top w:w="80" w:type="dxa"/>
              <w:left w:w="100" w:type="dxa"/>
              <w:bottom w:w="80" w:type="dxa"/>
              <w:right w:w="100" w:type="dxa"/>
            </w:tcMar>
            <w:vAlign w:val="center"/>
          </w:tcPr>
          <w:p w14:paraId="4716BBF6" w14:textId="277E92F6" w:rsidR="00B95BD9" w:rsidRDefault="00B95BD9">
            <w:pPr>
              <w:spacing w:line="252" w:lineRule="auto"/>
              <w:jc w:val="center"/>
              <w:rPr>
                <w:rFonts w:hint="eastAsia"/>
              </w:rPr>
            </w:pPr>
            <w:r>
              <w:rPr>
                <w:b/>
                <w:sz w:val="17"/>
              </w:rPr>
              <w:t>Ref. Temp. (</w:t>
            </w:r>
            <w:r w:rsidR="00891EFB">
              <w:rPr>
                <w:b/>
                <w:sz w:val="17"/>
              </w:rPr>
              <w:t>°C</w:t>
            </w:r>
            <w:r>
              <w:rPr>
                <w:b/>
                <w:sz w:val="17"/>
              </w:rPr>
              <w:t>)</w:t>
            </w:r>
          </w:p>
        </w:tc>
        <w:tc>
          <w:tcPr>
            <w:tcW w:w="1800" w:type="dxa"/>
            <w:shd w:val="clear" w:color="auto" w:fill="B4D1DE"/>
            <w:tcMar>
              <w:top w:w="80" w:type="dxa"/>
              <w:left w:w="100" w:type="dxa"/>
              <w:bottom w:w="80" w:type="dxa"/>
              <w:right w:w="100" w:type="dxa"/>
            </w:tcMar>
            <w:vAlign w:val="center"/>
          </w:tcPr>
          <w:p w14:paraId="7919A93C" w14:textId="3BF24889" w:rsidR="00B95BD9" w:rsidRDefault="00B95BD9">
            <w:pPr>
              <w:spacing w:line="252" w:lineRule="auto"/>
              <w:jc w:val="center"/>
              <w:rPr>
                <w:rFonts w:hint="eastAsia"/>
              </w:rPr>
            </w:pPr>
            <w:r>
              <w:rPr>
                <w:b/>
                <w:sz w:val="17"/>
              </w:rPr>
              <w:t>Captured Raw Avg. Temp. (</w:t>
            </w:r>
            <w:r w:rsidR="00891EFB">
              <w:rPr>
                <w:b/>
                <w:sz w:val="17"/>
              </w:rPr>
              <w:t>°C</w:t>
            </w:r>
            <w:r>
              <w:rPr>
                <w:b/>
                <w:sz w:val="17"/>
              </w:rPr>
              <w:t>)</w:t>
            </w:r>
          </w:p>
        </w:tc>
        <w:tc>
          <w:tcPr>
            <w:tcW w:w="1440" w:type="dxa"/>
            <w:shd w:val="clear" w:color="auto" w:fill="B4D1DE"/>
            <w:tcMar>
              <w:top w:w="80" w:type="dxa"/>
              <w:left w:w="100" w:type="dxa"/>
              <w:bottom w:w="80" w:type="dxa"/>
              <w:right w:w="100" w:type="dxa"/>
            </w:tcMar>
            <w:vAlign w:val="center"/>
          </w:tcPr>
          <w:p w14:paraId="54B6FC97" w14:textId="116F09F8" w:rsidR="00B95BD9" w:rsidRDefault="00B95BD9">
            <w:pPr>
              <w:spacing w:line="252" w:lineRule="auto"/>
              <w:jc w:val="center"/>
              <w:rPr>
                <w:rFonts w:hint="eastAsia"/>
              </w:rPr>
            </w:pPr>
            <w:r>
              <w:rPr>
                <w:b/>
                <w:sz w:val="17"/>
              </w:rPr>
              <w:t>Residual Temp. (</w:t>
            </w:r>
            <w:r w:rsidR="00891EFB">
              <w:rPr>
                <w:b/>
                <w:sz w:val="17"/>
              </w:rPr>
              <w:t>°C</w:t>
            </w:r>
            <w:r>
              <w:rPr>
                <w:b/>
                <w:sz w:val="17"/>
              </w:rPr>
              <w:t>)</w:t>
            </w:r>
          </w:p>
        </w:tc>
        <w:tc>
          <w:tcPr>
            <w:tcW w:w="1584" w:type="dxa"/>
            <w:shd w:val="clear" w:color="auto" w:fill="B4D1DE"/>
            <w:tcMar>
              <w:top w:w="80" w:type="dxa"/>
              <w:left w:w="100" w:type="dxa"/>
              <w:bottom w:w="80" w:type="dxa"/>
              <w:right w:w="100" w:type="dxa"/>
            </w:tcMar>
            <w:vAlign w:val="center"/>
          </w:tcPr>
          <w:p w14:paraId="5B49078D" w14:textId="4681AE73" w:rsidR="00B95BD9" w:rsidRDefault="00B95BD9">
            <w:pPr>
              <w:spacing w:line="252" w:lineRule="auto"/>
              <w:jc w:val="center"/>
              <w:rPr>
                <w:rFonts w:hint="eastAsia"/>
              </w:rPr>
            </w:pPr>
            <w:r>
              <w:rPr>
                <w:b/>
                <w:sz w:val="17"/>
              </w:rPr>
              <w:t>Raw Temp. Std. Dev. (</w:t>
            </w:r>
            <w:r w:rsidR="00891EFB">
              <w:rPr>
                <w:b/>
                <w:sz w:val="17"/>
              </w:rPr>
              <w:t>°C</w:t>
            </w:r>
            <w:r>
              <w:rPr>
                <w:b/>
                <w:sz w:val="17"/>
              </w:rPr>
              <w:t>)</w:t>
            </w:r>
          </w:p>
        </w:tc>
        <w:tc>
          <w:tcPr>
            <w:tcW w:w="1368" w:type="dxa"/>
            <w:shd w:val="clear" w:color="auto" w:fill="B4D1DE"/>
            <w:tcMar>
              <w:top w:w="80" w:type="dxa"/>
              <w:left w:w="100" w:type="dxa"/>
              <w:bottom w:w="80" w:type="dxa"/>
              <w:right w:w="100" w:type="dxa"/>
            </w:tcMar>
            <w:vAlign w:val="center"/>
          </w:tcPr>
          <w:p w14:paraId="513F0494" w14:textId="569D47E6" w:rsidR="00B95BD9" w:rsidRDefault="00B95BD9">
            <w:pPr>
              <w:spacing w:line="252" w:lineRule="auto"/>
              <w:jc w:val="center"/>
              <w:rPr>
                <w:rFonts w:hint="eastAsia"/>
              </w:rPr>
            </w:pPr>
            <w:r>
              <w:rPr>
                <w:b/>
                <w:sz w:val="17"/>
              </w:rPr>
              <w:t>Drift (</w:t>
            </w:r>
            <w:r w:rsidR="00891EFB">
              <w:rPr>
                <w:b/>
                <w:sz w:val="17"/>
              </w:rPr>
              <w:t>°C</w:t>
            </w:r>
            <w:r>
              <w:rPr>
                <w:b/>
                <w:sz w:val="17"/>
              </w:rPr>
              <w:t>/min)</w:t>
            </w:r>
          </w:p>
        </w:tc>
        <w:tc>
          <w:tcPr>
            <w:tcW w:w="1224" w:type="dxa"/>
            <w:shd w:val="clear" w:color="auto" w:fill="B4D1DE"/>
            <w:tcMar>
              <w:top w:w="80" w:type="dxa"/>
              <w:left w:w="100" w:type="dxa"/>
              <w:bottom w:w="80" w:type="dxa"/>
              <w:right w:w="100" w:type="dxa"/>
            </w:tcMar>
            <w:vAlign w:val="center"/>
          </w:tcPr>
          <w:p w14:paraId="799F84AB" w14:textId="1A201605" w:rsidR="00B95BD9" w:rsidRDefault="00B95BD9">
            <w:pPr>
              <w:spacing w:line="252" w:lineRule="auto"/>
              <w:jc w:val="center"/>
              <w:rPr>
                <w:rFonts w:hint="eastAsia"/>
              </w:rPr>
            </w:pPr>
            <w:r>
              <w:rPr>
                <w:b/>
                <w:sz w:val="17"/>
              </w:rPr>
              <w:t>Delta (</w:t>
            </w:r>
            <w:r w:rsidR="00891EFB">
              <w:rPr>
                <w:b/>
                <w:sz w:val="17"/>
              </w:rPr>
              <w:t>°C</w:t>
            </w:r>
            <w:r>
              <w:rPr>
                <w:b/>
                <w:sz w:val="17"/>
              </w:rPr>
              <w:t>)</w:t>
            </w:r>
          </w:p>
        </w:tc>
      </w:tr>
      <w:tr w:rsidR="00B95BD9" w14:paraId="220D71D2" w14:textId="77777777" w:rsidTr="00365BE4">
        <w:trPr>
          <w:jc w:val="center"/>
        </w:trPr>
        <w:tc>
          <w:tcPr>
            <w:tcW w:w="648" w:type="dxa"/>
            <w:tcMar>
              <w:top w:w="80" w:type="dxa"/>
              <w:left w:w="100" w:type="dxa"/>
              <w:bottom w:w="80" w:type="dxa"/>
              <w:right w:w="100" w:type="dxa"/>
            </w:tcMar>
            <w:vAlign w:val="center"/>
          </w:tcPr>
          <w:p w14:paraId="713B156A" w14:textId="77777777" w:rsidR="00B95BD9" w:rsidRDefault="00B95BD9">
            <w:pPr>
              <w:spacing w:line="252" w:lineRule="auto"/>
              <w:jc w:val="center"/>
              <w:rPr>
                <w:rFonts w:hint="eastAsia"/>
              </w:rPr>
            </w:pPr>
            <w:r>
              <w:rPr>
                <w:sz w:val="17"/>
              </w:rPr>
              <w:t>1</w:t>
            </w:r>
          </w:p>
        </w:tc>
        <w:tc>
          <w:tcPr>
            <w:tcW w:w="1512" w:type="dxa"/>
            <w:tcMar>
              <w:top w:w="80" w:type="dxa"/>
              <w:left w:w="100" w:type="dxa"/>
              <w:bottom w:w="80" w:type="dxa"/>
              <w:right w:w="100" w:type="dxa"/>
            </w:tcMar>
            <w:vAlign w:val="center"/>
          </w:tcPr>
          <w:p w14:paraId="02B1861D" w14:textId="77777777" w:rsidR="00B95BD9" w:rsidRDefault="00B95BD9">
            <w:pPr>
              <w:spacing w:line="252" w:lineRule="auto"/>
              <w:jc w:val="center"/>
              <w:rPr>
                <w:rFonts w:hint="eastAsia"/>
              </w:rPr>
            </w:pPr>
            <w:r>
              <w:rPr>
                <w:sz w:val="17"/>
              </w:rPr>
              <w:t>-48.900</w:t>
            </w:r>
          </w:p>
        </w:tc>
        <w:tc>
          <w:tcPr>
            <w:tcW w:w="1800" w:type="dxa"/>
            <w:tcMar>
              <w:top w:w="80" w:type="dxa"/>
              <w:left w:w="100" w:type="dxa"/>
              <w:bottom w:w="80" w:type="dxa"/>
              <w:right w:w="100" w:type="dxa"/>
            </w:tcMar>
            <w:vAlign w:val="center"/>
          </w:tcPr>
          <w:p w14:paraId="1D0C7126" w14:textId="77777777" w:rsidR="00B95BD9" w:rsidRDefault="00B95BD9">
            <w:pPr>
              <w:spacing w:line="252" w:lineRule="auto"/>
              <w:jc w:val="center"/>
              <w:rPr>
                <w:rFonts w:hint="eastAsia"/>
              </w:rPr>
            </w:pPr>
            <w:r>
              <w:rPr>
                <w:sz w:val="17"/>
              </w:rPr>
              <w:t>-49.455</w:t>
            </w:r>
          </w:p>
        </w:tc>
        <w:tc>
          <w:tcPr>
            <w:tcW w:w="1440" w:type="dxa"/>
            <w:tcMar>
              <w:top w:w="80" w:type="dxa"/>
              <w:left w:w="100" w:type="dxa"/>
              <w:bottom w:w="80" w:type="dxa"/>
              <w:right w:w="100" w:type="dxa"/>
            </w:tcMar>
            <w:vAlign w:val="center"/>
          </w:tcPr>
          <w:p w14:paraId="7BDBA475" w14:textId="77777777" w:rsidR="00B95BD9" w:rsidRDefault="00B95BD9">
            <w:pPr>
              <w:spacing w:line="252" w:lineRule="auto"/>
              <w:jc w:val="center"/>
              <w:rPr>
                <w:rFonts w:hint="eastAsia"/>
              </w:rPr>
            </w:pPr>
            <w:r>
              <w:rPr>
                <w:sz w:val="17"/>
              </w:rPr>
              <w:t>+0.555</w:t>
            </w:r>
          </w:p>
        </w:tc>
        <w:tc>
          <w:tcPr>
            <w:tcW w:w="1584" w:type="dxa"/>
            <w:tcMar>
              <w:top w:w="80" w:type="dxa"/>
              <w:left w:w="100" w:type="dxa"/>
              <w:bottom w:w="80" w:type="dxa"/>
              <w:right w:w="100" w:type="dxa"/>
            </w:tcMar>
            <w:vAlign w:val="center"/>
          </w:tcPr>
          <w:p w14:paraId="428996EF" w14:textId="77777777" w:rsidR="00B95BD9" w:rsidRDefault="00B95BD9">
            <w:pPr>
              <w:spacing w:line="252" w:lineRule="auto"/>
              <w:jc w:val="center"/>
              <w:rPr>
                <w:rFonts w:hint="eastAsia"/>
              </w:rPr>
            </w:pPr>
            <w:r>
              <w:rPr>
                <w:sz w:val="17"/>
              </w:rPr>
              <w:t>0.018</w:t>
            </w:r>
          </w:p>
        </w:tc>
        <w:tc>
          <w:tcPr>
            <w:tcW w:w="1368" w:type="dxa"/>
            <w:tcMar>
              <w:top w:w="80" w:type="dxa"/>
              <w:left w:w="100" w:type="dxa"/>
              <w:bottom w:w="80" w:type="dxa"/>
              <w:right w:w="100" w:type="dxa"/>
            </w:tcMar>
            <w:vAlign w:val="center"/>
          </w:tcPr>
          <w:p w14:paraId="716D2C93" w14:textId="77777777" w:rsidR="00B95BD9" w:rsidRDefault="00B95BD9">
            <w:pPr>
              <w:spacing w:line="252" w:lineRule="auto"/>
              <w:jc w:val="center"/>
              <w:rPr>
                <w:rFonts w:hint="eastAsia"/>
              </w:rPr>
            </w:pPr>
            <w:r>
              <w:rPr>
                <w:sz w:val="17"/>
              </w:rPr>
              <w:t>-0.018</w:t>
            </w:r>
          </w:p>
        </w:tc>
        <w:tc>
          <w:tcPr>
            <w:tcW w:w="1224" w:type="dxa"/>
            <w:tcMar>
              <w:top w:w="80" w:type="dxa"/>
              <w:left w:w="100" w:type="dxa"/>
              <w:bottom w:w="80" w:type="dxa"/>
              <w:right w:w="100" w:type="dxa"/>
            </w:tcMar>
            <w:vAlign w:val="center"/>
          </w:tcPr>
          <w:p w14:paraId="0453E88F" w14:textId="77777777" w:rsidR="00B95BD9" w:rsidRDefault="00B95BD9">
            <w:pPr>
              <w:spacing w:line="252" w:lineRule="auto"/>
              <w:jc w:val="center"/>
              <w:rPr>
                <w:rFonts w:hint="eastAsia"/>
              </w:rPr>
            </w:pPr>
            <w:r>
              <w:rPr>
                <w:sz w:val="17"/>
              </w:rPr>
              <w:t>-0.011</w:t>
            </w:r>
          </w:p>
        </w:tc>
      </w:tr>
      <w:tr w:rsidR="00B95BD9" w14:paraId="0AA69877" w14:textId="77777777" w:rsidTr="00365BE4">
        <w:trPr>
          <w:jc w:val="center"/>
        </w:trPr>
        <w:tc>
          <w:tcPr>
            <w:tcW w:w="648" w:type="dxa"/>
            <w:tcMar>
              <w:top w:w="80" w:type="dxa"/>
              <w:left w:w="100" w:type="dxa"/>
              <w:bottom w:w="80" w:type="dxa"/>
              <w:right w:w="100" w:type="dxa"/>
            </w:tcMar>
            <w:vAlign w:val="center"/>
          </w:tcPr>
          <w:p w14:paraId="78D43DC8" w14:textId="77777777" w:rsidR="00B95BD9" w:rsidRDefault="00B95BD9">
            <w:pPr>
              <w:spacing w:line="252" w:lineRule="auto"/>
              <w:jc w:val="center"/>
              <w:rPr>
                <w:rFonts w:hint="eastAsia"/>
              </w:rPr>
            </w:pPr>
            <w:r>
              <w:rPr>
                <w:sz w:val="17"/>
              </w:rPr>
              <w:t>2</w:t>
            </w:r>
          </w:p>
        </w:tc>
        <w:tc>
          <w:tcPr>
            <w:tcW w:w="1512" w:type="dxa"/>
            <w:tcMar>
              <w:top w:w="80" w:type="dxa"/>
              <w:left w:w="100" w:type="dxa"/>
              <w:bottom w:w="80" w:type="dxa"/>
              <w:right w:w="100" w:type="dxa"/>
            </w:tcMar>
            <w:vAlign w:val="center"/>
          </w:tcPr>
          <w:p w14:paraId="01532037" w14:textId="77777777" w:rsidR="00B95BD9" w:rsidRDefault="00B95BD9">
            <w:pPr>
              <w:spacing w:line="252" w:lineRule="auto"/>
              <w:jc w:val="center"/>
              <w:rPr>
                <w:rFonts w:hint="eastAsia"/>
              </w:rPr>
            </w:pPr>
            <w:r>
              <w:rPr>
                <w:sz w:val="17"/>
              </w:rPr>
              <w:t>-13.300</w:t>
            </w:r>
          </w:p>
        </w:tc>
        <w:tc>
          <w:tcPr>
            <w:tcW w:w="1800" w:type="dxa"/>
            <w:tcMar>
              <w:top w:w="80" w:type="dxa"/>
              <w:left w:w="100" w:type="dxa"/>
              <w:bottom w:w="80" w:type="dxa"/>
              <w:right w:w="100" w:type="dxa"/>
            </w:tcMar>
            <w:vAlign w:val="center"/>
          </w:tcPr>
          <w:p w14:paraId="553354E2" w14:textId="77777777" w:rsidR="00B95BD9" w:rsidRDefault="00B95BD9">
            <w:pPr>
              <w:spacing w:line="252" w:lineRule="auto"/>
              <w:jc w:val="center"/>
              <w:rPr>
                <w:rFonts w:hint="eastAsia"/>
              </w:rPr>
            </w:pPr>
            <w:r>
              <w:rPr>
                <w:sz w:val="17"/>
              </w:rPr>
              <w:t>-13.467</w:t>
            </w:r>
          </w:p>
        </w:tc>
        <w:tc>
          <w:tcPr>
            <w:tcW w:w="1440" w:type="dxa"/>
            <w:tcMar>
              <w:top w:w="80" w:type="dxa"/>
              <w:left w:w="100" w:type="dxa"/>
              <w:bottom w:w="80" w:type="dxa"/>
              <w:right w:w="100" w:type="dxa"/>
            </w:tcMar>
            <w:vAlign w:val="center"/>
          </w:tcPr>
          <w:p w14:paraId="6486F179" w14:textId="77777777" w:rsidR="00B95BD9" w:rsidRDefault="00B95BD9">
            <w:pPr>
              <w:spacing w:line="252" w:lineRule="auto"/>
              <w:jc w:val="center"/>
              <w:rPr>
                <w:rFonts w:hint="eastAsia"/>
              </w:rPr>
            </w:pPr>
            <w:r>
              <w:rPr>
                <w:sz w:val="17"/>
              </w:rPr>
              <w:t>+0.167</w:t>
            </w:r>
          </w:p>
        </w:tc>
        <w:tc>
          <w:tcPr>
            <w:tcW w:w="1584" w:type="dxa"/>
            <w:tcMar>
              <w:top w:w="80" w:type="dxa"/>
              <w:left w:w="100" w:type="dxa"/>
              <w:bottom w:w="80" w:type="dxa"/>
              <w:right w:w="100" w:type="dxa"/>
            </w:tcMar>
            <w:vAlign w:val="center"/>
          </w:tcPr>
          <w:p w14:paraId="70461576" w14:textId="77777777" w:rsidR="00B95BD9" w:rsidRDefault="00B95BD9">
            <w:pPr>
              <w:spacing w:line="252" w:lineRule="auto"/>
              <w:jc w:val="center"/>
              <w:rPr>
                <w:rFonts w:hint="eastAsia"/>
              </w:rPr>
            </w:pPr>
            <w:r>
              <w:rPr>
                <w:sz w:val="17"/>
              </w:rPr>
              <w:t>0.019</w:t>
            </w:r>
          </w:p>
        </w:tc>
        <w:tc>
          <w:tcPr>
            <w:tcW w:w="1368" w:type="dxa"/>
            <w:tcMar>
              <w:top w:w="80" w:type="dxa"/>
              <w:left w:w="100" w:type="dxa"/>
              <w:bottom w:w="80" w:type="dxa"/>
              <w:right w:w="100" w:type="dxa"/>
            </w:tcMar>
            <w:vAlign w:val="center"/>
          </w:tcPr>
          <w:p w14:paraId="11F8DCD3" w14:textId="77777777" w:rsidR="00B95BD9" w:rsidRDefault="00B95BD9">
            <w:pPr>
              <w:spacing w:line="252" w:lineRule="auto"/>
              <w:jc w:val="center"/>
              <w:rPr>
                <w:rFonts w:hint="eastAsia"/>
              </w:rPr>
            </w:pPr>
            <w:r>
              <w:rPr>
                <w:sz w:val="17"/>
              </w:rPr>
              <w:t>+0.007</w:t>
            </w:r>
          </w:p>
        </w:tc>
        <w:tc>
          <w:tcPr>
            <w:tcW w:w="1224" w:type="dxa"/>
            <w:tcMar>
              <w:top w:w="80" w:type="dxa"/>
              <w:left w:w="100" w:type="dxa"/>
              <w:bottom w:w="80" w:type="dxa"/>
              <w:right w:w="100" w:type="dxa"/>
            </w:tcMar>
            <w:vAlign w:val="center"/>
          </w:tcPr>
          <w:p w14:paraId="133C4819" w14:textId="77777777" w:rsidR="00B95BD9" w:rsidRDefault="00B95BD9">
            <w:pPr>
              <w:spacing w:line="252" w:lineRule="auto"/>
              <w:jc w:val="center"/>
              <w:rPr>
                <w:rFonts w:hint="eastAsia"/>
              </w:rPr>
            </w:pPr>
            <w:r>
              <w:rPr>
                <w:sz w:val="17"/>
              </w:rPr>
              <w:t>+0.006</w:t>
            </w:r>
          </w:p>
        </w:tc>
      </w:tr>
      <w:tr w:rsidR="00B95BD9" w14:paraId="0CB59FE5" w14:textId="77777777" w:rsidTr="00365BE4">
        <w:trPr>
          <w:jc w:val="center"/>
        </w:trPr>
        <w:tc>
          <w:tcPr>
            <w:tcW w:w="648" w:type="dxa"/>
            <w:tcMar>
              <w:top w:w="80" w:type="dxa"/>
              <w:left w:w="100" w:type="dxa"/>
              <w:bottom w:w="80" w:type="dxa"/>
              <w:right w:w="100" w:type="dxa"/>
            </w:tcMar>
            <w:vAlign w:val="center"/>
          </w:tcPr>
          <w:p w14:paraId="3433B53E" w14:textId="77777777" w:rsidR="00B95BD9" w:rsidRDefault="00B95BD9">
            <w:pPr>
              <w:spacing w:line="252" w:lineRule="auto"/>
              <w:jc w:val="center"/>
              <w:rPr>
                <w:rFonts w:hint="eastAsia"/>
              </w:rPr>
            </w:pPr>
            <w:r>
              <w:rPr>
                <w:sz w:val="17"/>
              </w:rPr>
              <w:t>3</w:t>
            </w:r>
          </w:p>
        </w:tc>
        <w:tc>
          <w:tcPr>
            <w:tcW w:w="1512" w:type="dxa"/>
            <w:tcMar>
              <w:top w:w="80" w:type="dxa"/>
              <w:left w:w="100" w:type="dxa"/>
              <w:bottom w:w="80" w:type="dxa"/>
              <w:right w:w="100" w:type="dxa"/>
            </w:tcMar>
            <w:vAlign w:val="center"/>
          </w:tcPr>
          <w:p w14:paraId="3EBCE537" w14:textId="77777777" w:rsidR="00B95BD9" w:rsidRDefault="00B95BD9">
            <w:pPr>
              <w:spacing w:line="252" w:lineRule="auto"/>
              <w:jc w:val="center"/>
              <w:rPr>
                <w:rFonts w:hint="eastAsia"/>
              </w:rPr>
            </w:pPr>
            <w:r>
              <w:rPr>
                <w:sz w:val="17"/>
              </w:rPr>
              <w:t>24.700</w:t>
            </w:r>
          </w:p>
        </w:tc>
        <w:tc>
          <w:tcPr>
            <w:tcW w:w="1800" w:type="dxa"/>
            <w:tcMar>
              <w:top w:w="80" w:type="dxa"/>
              <w:left w:w="100" w:type="dxa"/>
              <w:bottom w:w="80" w:type="dxa"/>
              <w:right w:w="100" w:type="dxa"/>
            </w:tcMar>
            <w:vAlign w:val="center"/>
          </w:tcPr>
          <w:p w14:paraId="2250781D" w14:textId="77777777" w:rsidR="00B95BD9" w:rsidRDefault="00B95BD9">
            <w:pPr>
              <w:spacing w:line="252" w:lineRule="auto"/>
              <w:jc w:val="center"/>
              <w:rPr>
                <w:rFonts w:hint="eastAsia"/>
              </w:rPr>
            </w:pPr>
            <w:r>
              <w:rPr>
                <w:sz w:val="17"/>
              </w:rPr>
              <w:t>24.718</w:t>
            </w:r>
          </w:p>
        </w:tc>
        <w:tc>
          <w:tcPr>
            <w:tcW w:w="1440" w:type="dxa"/>
            <w:tcMar>
              <w:top w:w="80" w:type="dxa"/>
              <w:left w:w="100" w:type="dxa"/>
              <w:bottom w:w="80" w:type="dxa"/>
              <w:right w:w="100" w:type="dxa"/>
            </w:tcMar>
            <w:vAlign w:val="center"/>
          </w:tcPr>
          <w:p w14:paraId="5DB52BC1" w14:textId="77777777" w:rsidR="00B95BD9" w:rsidRDefault="00B95BD9">
            <w:pPr>
              <w:spacing w:line="252" w:lineRule="auto"/>
              <w:jc w:val="center"/>
              <w:rPr>
                <w:rFonts w:hint="eastAsia"/>
              </w:rPr>
            </w:pPr>
            <w:r>
              <w:rPr>
                <w:sz w:val="17"/>
              </w:rPr>
              <w:t>-0.018</w:t>
            </w:r>
          </w:p>
        </w:tc>
        <w:tc>
          <w:tcPr>
            <w:tcW w:w="1584" w:type="dxa"/>
            <w:tcMar>
              <w:top w:w="80" w:type="dxa"/>
              <w:left w:w="100" w:type="dxa"/>
              <w:bottom w:w="80" w:type="dxa"/>
              <w:right w:w="100" w:type="dxa"/>
            </w:tcMar>
            <w:vAlign w:val="center"/>
          </w:tcPr>
          <w:p w14:paraId="1914CE39" w14:textId="77777777" w:rsidR="00B95BD9" w:rsidRDefault="00B95BD9">
            <w:pPr>
              <w:spacing w:line="252" w:lineRule="auto"/>
              <w:jc w:val="center"/>
              <w:rPr>
                <w:rFonts w:hint="eastAsia"/>
              </w:rPr>
            </w:pPr>
            <w:r>
              <w:rPr>
                <w:sz w:val="17"/>
              </w:rPr>
              <w:t>0.019</w:t>
            </w:r>
          </w:p>
        </w:tc>
        <w:tc>
          <w:tcPr>
            <w:tcW w:w="1368" w:type="dxa"/>
            <w:tcMar>
              <w:top w:w="80" w:type="dxa"/>
              <w:left w:w="100" w:type="dxa"/>
              <w:bottom w:w="80" w:type="dxa"/>
              <w:right w:w="100" w:type="dxa"/>
            </w:tcMar>
            <w:vAlign w:val="center"/>
          </w:tcPr>
          <w:p w14:paraId="5C5EF339" w14:textId="77777777" w:rsidR="00B95BD9" w:rsidRDefault="00B95BD9">
            <w:pPr>
              <w:spacing w:line="252" w:lineRule="auto"/>
              <w:jc w:val="center"/>
              <w:rPr>
                <w:rFonts w:hint="eastAsia"/>
              </w:rPr>
            </w:pPr>
            <w:r>
              <w:rPr>
                <w:sz w:val="17"/>
              </w:rPr>
              <w:t>-0.003</w:t>
            </w:r>
          </w:p>
        </w:tc>
        <w:tc>
          <w:tcPr>
            <w:tcW w:w="1224" w:type="dxa"/>
            <w:tcMar>
              <w:top w:w="80" w:type="dxa"/>
              <w:left w:w="100" w:type="dxa"/>
              <w:bottom w:w="80" w:type="dxa"/>
              <w:right w:w="100" w:type="dxa"/>
            </w:tcMar>
            <w:vAlign w:val="center"/>
          </w:tcPr>
          <w:p w14:paraId="41A5B24A" w14:textId="77777777" w:rsidR="00B95BD9" w:rsidRDefault="00B95BD9">
            <w:pPr>
              <w:spacing w:line="252" w:lineRule="auto"/>
              <w:jc w:val="center"/>
              <w:rPr>
                <w:rFonts w:hint="eastAsia"/>
              </w:rPr>
            </w:pPr>
            <w:r>
              <w:rPr>
                <w:sz w:val="17"/>
              </w:rPr>
              <w:t>-0.003</w:t>
            </w:r>
          </w:p>
        </w:tc>
      </w:tr>
      <w:tr w:rsidR="00B95BD9" w14:paraId="08959F78" w14:textId="77777777" w:rsidTr="00365BE4">
        <w:trPr>
          <w:jc w:val="center"/>
        </w:trPr>
        <w:tc>
          <w:tcPr>
            <w:tcW w:w="648" w:type="dxa"/>
            <w:tcMar>
              <w:top w:w="80" w:type="dxa"/>
              <w:left w:w="100" w:type="dxa"/>
              <w:bottom w:w="80" w:type="dxa"/>
              <w:right w:w="100" w:type="dxa"/>
            </w:tcMar>
            <w:vAlign w:val="center"/>
          </w:tcPr>
          <w:p w14:paraId="2EC3D3F5" w14:textId="77777777" w:rsidR="00B95BD9" w:rsidRDefault="00B95BD9">
            <w:pPr>
              <w:spacing w:line="252" w:lineRule="auto"/>
              <w:jc w:val="center"/>
              <w:rPr>
                <w:rFonts w:hint="eastAsia"/>
              </w:rPr>
            </w:pPr>
            <w:r>
              <w:rPr>
                <w:sz w:val="17"/>
              </w:rPr>
              <w:t>4</w:t>
            </w:r>
          </w:p>
        </w:tc>
        <w:tc>
          <w:tcPr>
            <w:tcW w:w="1512" w:type="dxa"/>
            <w:tcMar>
              <w:top w:w="80" w:type="dxa"/>
              <w:left w:w="100" w:type="dxa"/>
              <w:bottom w:w="80" w:type="dxa"/>
              <w:right w:w="100" w:type="dxa"/>
            </w:tcMar>
            <w:vAlign w:val="center"/>
          </w:tcPr>
          <w:p w14:paraId="29A72796" w14:textId="77777777" w:rsidR="00B95BD9" w:rsidRDefault="00B95BD9">
            <w:pPr>
              <w:spacing w:line="252" w:lineRule="auto"/>
              <w:jc w:val="center"/>
              <w:rPr>
                <w:rFonts w:hint="eastAsia"/>
              </w:rPr>
            </w:pPr>
            <w:r>
              <w:rPr>
                <w:sz w:val="17"/>
              </w:rPr>
              <w:t>81.600</w:t>
            </w:r>
          </w:p>
        </w:tc>
        <w:tc>
          <w:tcPr>
            <w:tcW w:w="1800" w:type="dxa"/>
            <w:tcMar>
              <w:top w:w="80" w:type="dxa"/>
              <w:left w:w="100" w:type="dxa"/>
              <w:bottom w:w="80" w:type="dxa"/>
              <w:right w:w="100" w:type="dxa"/>
            </w:tcMar>
            <w:vAlign w:val="center"/>
          </w:tcPr>
          <w:p w14:paraId="66D21B31" w14:textId="77777777" w:rsidR="00B95BD9" w:rsidRDefault="00B95BD9">
            <w:pPr>
              <w:spacing w:line="252" w:lineRule="auto"/>
              <w:jc w:val="center"/>
              <w:rPr>
                <w:rFonts w:hint="eastAsia"/>
              </w:rPr>
            </w:pPr>
            <w:r>
              <w:rPr>
                <w:sz w:val="17"/>
              </w:rPr>
              <w:t>81.742</w:t>
            </w:r>
          </w:p>
        </w:tc>
        <w:tc>
          <w:tcPr>
            <w:tcW w:w="1440" w:type="dxa"/>
            <w:tcMar>
              <w:top w:w="80" w:type="dxa"/>
              <w:left w:w="100" w:type="dxa"/>
              <w:bottom w:w="80" w:type="dxa"/>
              <w:right w:w="100" w:type="dxa"/>
            </w:tcMar>
            <w:vAlign w:val="center"/>
          </w:tcPr>
          <w:p w14:paraId="71FA3EF7" w14:textId="77777777" w:rsidR="00B95BD9" w:rsidRDefault="00B95BD9">
            <w:pPr>
              <w:spacing w:line="252" w:lineRule="auto"/>
              <w:jc w:val="center"/>
              <w:rPr>
                <w:rFonts w:hint="eastAsia"/>
              </w:rPr>
            </w:pPr>
            <w:r>
              <w:rPr>
                <w:sz w:val="17"/>
              </w:rPr>
              <w:t>-0.142</w:t>
            </w:r>
          </w:p>
        </w:tc>
        <w:tc>
          <w:tcPr>
            <w:tcW w:w="1584" w:type="dxa"/>
            <w:tcMar>
              <w:top w:w="80" w:type="dxa"/>
              <w:left w:w="100" w:type="dxa"/>
              <w:bottom w:w="80" w:type="dxa"/>
              <w:right w:w="100" w:type="dxa"/>
            </w:tcMar>
            <w:vAlign w:val="center"/>
          </w:tcPr>
          <w:p w14:paraId="69281AE5" w14:textId="77777777" w:rsidR="00B95BD9" w:rsidRDefault="00B95BD9">
            <w:pPr>
              <w:spacing w:line="252" w:lineRule="auto"/>
              <w:jc w:val="center"/>
              <w:rPr>
                <w:rFonts w:hint="eastAsia"/>
              </w:rPr>
            </w:pPr>
            <w:r>
              <w:rPr>
                <w:sz w:val="17"/>
              </w:rPr>
              <w:t>0.017</w:t>
            </w:r>
          </w:p>
        </w:tc>
        <w:tc>
          <w:tcPr>
            <w:tcW w:w="1368" w:type="dxa"/>
            <w:tcMar>
              <w:top w:w="80" w:type="dxa"/>
              <w:left w:w="100" w:type="dxa"/>
              <w:bottom w:w="80" w:type="dxa"/>
              <w:right w:w="100" w:type="dxa"/>
            </w:tcMar>
            <w:vAlign w:val="center"/>
          </w:tcPr>
          <w:p w14:paraId="10F2C308" w14:textId="77777777" w:rsidR="00B95BD9" w:rsidRDefault="00B95BD9">
            <w:pPr>
              <w:spacing w:line="252" w:lineRule="auto"/>
              <w:jc w:val="center"/>
              <w:rPr>
                <w:rFonts w:hint="eastAsia"/>
              </w:rPr>
            </w:pPr>
            <w:r>
              <w:rPr>
                <w:sz w:val="17"/>
              </w:rPr>
              <w:t>+0.002</w:t>
            </w:r>
          </w:p>
        </w:tc>
        <w:tc>
          <w:tcPr>
            <w:tcW w:w="1224" w:type="dxa"/>
            <w:tcMar>
              <w:top w:w="80" w:type="dxa"/>
              <w:left w:w="100" w:type="dxa"/>
              <w:bottom w:w="80" w:type="dxa"/>
              <w:right w:w="100" w:type="dxa"/>
            </w:tcMar>
            <w:vAlign w:val="center"/>
          </w:tcPr>
          <w:p w14:paraId="4C30D62F" w14:textId="77777777" w:rsidR="00B95BD9" w:rsidRDefault="00B95BD9">
            <w:pPr>
              <w:spacing w:line="252" w:lineRule="auto"/>
              <w:jc w:val="center"/>
              <w:rPr>
                <w:rFonts w:hint="eastAsia"/>
              </w:rPr>
            </w:pPr>
            <w:r>
              <w:rPr>
                <w:sz w:val="17"/>
              </w:rPr>
              <w:t>+0.002</w:t>
            </w:r>
          </w:p>
        </w:tc>
      </w:tr>
    </w:tbl>
    <w:p w14:paraId="6F1382A0" w14:textId="77777777" w:rsidR="009557B0" w:rsidRDefault="00000000">
      <w:pPr>
        <w:spacing w:before="80" w:after="60" w:line="264" w:lineRule="auto"/>
        <w:rPr>
          <w:rFonts w:hint="eastAsia"/>
        </w:rPr>
      </w:pPr>
      <w:r>
        <w:t>The retained source export records this calibration as valid, applied, time-valid, and due on 2027-04-15.</w:t>
      </w:r>
    </w:p>
    <w:p w14:paraId="5A8731A1" w14:textId="2C75F5A9" w:rsidR="009557B0" w:rsidRDefault="00000000">
      <w:pPr>
        <w:spacing w:after="80" w:line="269" w:lineRule="auto"/>
        <w:rPr>
          <w:rFonts w:hint="eastAsia"/>
        </w:rPr>
      </w:pPr>
      <w:r>
        <w:t xml:space="preserve">The largest raw temperature residual in the source dataset was +0.555 </w:t>
      </w:r>
      <w:r w:rsidR="00891EFB">
        <w:t>°C</w:t>
      </w:r>
      <w:r>
        <w:t xml:space="preserve"> at -48.900 </w:t>
      </w:r>
      <w:r w:rsidR="00891EFB">
        <w:t>°C</w:t>
      </w:r>
      <w:r>
        <w:t xml:space="preserve">, and the smallest was </w:t>
      </w:r>
      <w:r w:rsidR="0042286D">
        <w:t>-</w:t>
      </w:r>
      <w:r>
        <w:t xml:space="preserve">0.142 </w:t>
      </w:r>
      <w:r w:rsidR="00891EFB">
        <w:t>°C</w:t>
      </w:r>
      <w:r>
        <w:t xml:space="preserve"> at 81.600 </w:t>
      </w:r>
      <w:r w:rsidR="00891EFB">
        <w:t>°C</w:t>
      </w:r>
      <w:r>
        <w:t xml:space="preserve">. The raw captured point standard deviations remained between 0.017 and 0.019 </w:t>
      </w:r>
      <w:r w:rsidR="00891EFB">
        <w:t>°C</w:t>
      </w:r>
      <w:r>
        <w:t xml:space="preserve"> in temperature and between 0.006 and 0.007 ohm in resistance across the four calibration captures.</w:t>
      </w:r>
    </w:p>
    <w:p w14:paraId="6866A2A2" w14:textId="77777777" w:rsidR="009557B0" w:rsidRDefault="00000000">
      <w:pPr>
        <w:pStyle w:val="Heading1"/>
        <w:spacing w:before="200" w:after="80" w:line="264" w:lineRule="auto"/>
      </w:pPr>
      <w:r>
        <w:t>6. Supporting Verification of IUT Repeatability</w:t>
      </w:r>
    </w:p>
    <w:p w14:paraId="447A03D5" w14:textId="77777777" w:rsidR="009557B0" w:rsidRDefault="00000000">
      <w:pPr>
        <w:spacing w:after="80" w:line="269" w:lineRule="auto"/>
      </w:pPr>
      <w:r>
        <w:t>A separate PT100 repeatability study was performed in a slush ice bath and is included here only as supporting verification of short-term IUT stability, not as a direct contributor in the formal transfer-calibration uncertainty budget.</w:t>
      </w:r>
    </w:p>
    <w:tbl>
      <w:tblPr>
        <w:tblStyle w:val="TableGrid"/>
        <w:tblW w:w="0" w:type="auto"/>
        <w:jc w:val="center"/>
        <w:tblLook w:val="04A0" w:firstRow="1" w:lastRow="0" w:firstColumn="1" w:lastColumn="0" w:noHBand="0" w:noVBand="1"/>
      </w:tblPr>
      <w:tblGrid>
        <w:gridCol w:w="3348"/>
        <w:gridCol w:w="2160"/>
      </w:tblGrid>
      <w:tr w:rsidR="004131CC" w14:paraId="44B384CE" w14:textId="77777777" w:rsidTr="004131CC">
        <w:trPr>
          <w:jc w:val="center"/>
        </w:trPr>
        <w:tc>
          <w:tcPr>
            <w:tcW w:w="3348" w:type="dxa"/>
            <w:shd w:val="clear" w:color="auto" w:fill="B4D1DE"/>
          </w:tcPr>
          <w:p w14:paraId="0C6574D4" w14:textId="5746BF73" w:rsidR="004131CC" w:rsidRDefault="004131CC">
            <w:pPr>
              <w:spacing w:after="80" w:line="269" w:lineRule="auto"/>
              <w:rPr>
                <w:rFonts w:hint="eastAsia"/>
              </w:rPr>
            </w:pPr>
            <w:r>
              <w:t>Number of independent runs</w:t>
            </w:r>
          </w:p>
        </w:tc>
        <w:tc>
          <w:tcPr>
            <w:tcW w:w="2160" w:type="dxa"/>
          </w:tcPr>
          <w:p w14:paraId="2B3FABEE" w14:textId="3256A309" w:rsidR="004131CC" w:rsidRDefault="004131CC">
            <w:pPr>
              <w:spacing w:after="80" w:line="269" w:lineRule="auto"/>
              <w:rPr>
                <w:rFonts w:hint="eastAsia"/>
              </w:rPr>
            </w:pPr>
            <w:r>
              <w:t>5</w:t>
            </w:r>
          </w:p>
        </w:tc>
      </w:tr>
      <w:tr w:rsidR="004131CC" w14:paraId="7B671193" w14:textId="77777777" w:rsidTr="004131CC">
        <w:trPr>
          <w:jc w:val="center"/>
        </w:trPr>
        <w:tc>
          <w:tcPr>
            <w:tcW w:w="3348" w:type="dxa"/>
            <w:shd w:val="clear" w:color="auto" w:fill="B4D1DE"/>
          </w:tcPr>
          <w:p w14:paraId="35FAA748" w14:textId="562666E7" w:rsidR="004131CC" w:rsidRDefault="004131CC">
            <w:pPr>
              <w:spacing w:after="80" w:line="269" w:lineRule="auto"/>
              <w:rPr>
                <w:rFonts w:hint="eastAsia"/>
              </w:rPr>
            </w:pPr>
            <w:r>
              <w:t>Samples per run</w:t>
            </w:r>
          </w:p>
        </w:tc>
        <w:tc>
          <w:tcPr>
            <w:tcW w:w="2160" w:type="dxa"/>
          </w:tcPr>
          <w:p w14:paraId="6BF043D4" w14:textId="1FD8B782" w:rsidR="004131CC" w:rsidRDefault="004131CC">
            <w:pPr>
              <w:spacing w:after="80" w:line="269" w:lineRule="auto"/>
              <w:rPr>
                <w:rFonts w:hint="eastAsia"/>
              </w:rPr>
            </w:pPr>
            <w:r>
              <w:t>30</w:t>
            </w:r>
          </w:p>
        </w:tc>
      </w:tr>
      <w:tr w:rsidR="004131CC" w14:paraId="495955AA" w14:textId="77777777" w:rsidTr="004131CC">
        <w:trPr>
          <w:jc w:val="center"/>
        </w:trPr>
        <w:tc>
          <w:tcPr>
            <w:tcW w:w="3348" w:type="dxa"/>
            <w:shd w:val="clear" w:color="auto" w:fill="B4D1DE"/>
          </w:tcPr>
          <w:p w14:paraId="3C1A3475" w14:textId="378366FD" w:rsidR="004131CC" w:rsidRDefault="004131CC">
            <w:pPr>
              <w:spacing w:after="80" w:line="269" w:lineRule="auto"/>
              <w:rPr>
                <w:rFonts w:hint="eastAsia"/>
              </w:rPr>
            </w:pPr>
            <w:r>
              <w:t>Resistance range</w:t>
            </w:r>
          </w:p>
        </w:tc>
        <w:tc>
          <w:tcPr>
            <w:tcW w:w="2160" w:type="dxa"/>
          </w:tcPr>
          <w:p w14:paraId="545B3050" w14:textId="3E6240E5" w:rsidR="004131CC" w:rsidRDefault="004131CC">
            <w:pPr>
              <w:spacing w:after="80" w:line="269" w:lineRule="auto"/>
              <w:rPr>
                <w:rFonts w:hint="eastAsia"/>
              </w:rPr>
            </w:pPr>
            <w:r>
              <w:t>99.964-99.971 ohm</w:t>
            </w:r>
          </w:p>
        </w:tc>
      </w:tr>
      <w:tr w:rsidR="004131CC" w14:paraId="526ECE0F" w14:textId="77777777" w:rsidTr="004131CC">
        <w:trPr>
          <w:jc w:val="center"/>
        </w:trPr>
        <w:tc>
          <w:tcPr>
            <w:tcW w:w="3348" w:type="dxa"/>
            <w:shd w:val="clear" w:color="auto" w:fill="B4D1DE"/>
          </w:tcPr>
          <w:p w14:paraId="0338241E" w14:textId="0FFFAD8E" w:rsidR="004131CC" w:rsidRDefault="004131CC">
            <w:pPr>
              <w:spacing w:after="80" w:line="269" w:lineRule="auto"/>
              <w:rPr>
                <w:rFonts w:hint="eastAsia"/>
              </w:rPr>
            </w:pPr>
            <w:r>
              <w:t>Resistance spread</w:t>
            </w:r>
          </w:p>
        </w:tc>
        <w:tc>
          <w:tcPr>
            <w:tcW w:w="2160" w:type="dxa"/>
          </w:tcPr>
          <w:p w14:paraId="1BCE3FB5" w14:textId="2C358D57" w:rsidR="004131CC" w:rsidRDefault="004131CC">
            <w:pPr>
              <w:spacing w:after="80" w:line="269" w:lineRule="auto"/>
              <w:rPr>
                <w:rFonts w:hint="eastAsia"/>
              </w:rPr>
            </w:pPr>
            <w:r>
              <w:t>0.007 ohm</w:t>
            </w:r>
          </w:p>
        </w:tc>
      </w:tr>
      <w:tr w:rsidR="004131CC" w14:paraId="3E927FD1" w14:textId="77777777" w:rsidTr="004131CC">
        <w:trPr>
          <w:jc w:val="center"/>
        </w:trPr>
        <w:tc>
          <w:tcPr>
            <w:tcW w:w="3348" w:type="dxa"/>
            <w:shd w:val="clear" w:color="auto" w:fill="B4D1DE"/>
          </w:tcPr>
          <w:p w14:paraId="7FE3F4FB" w14:textId="513D8D16" w:rsidR="004131CC" w:rsidRDefault="004131CC">
            <w:pPr>
              <w:spacing w:after="80" w:line="269" w:lineRule="auto"/>
              <w:rPr>
                <w:rFonts w:hint="eastAsia"/>
              </w:rPr>
            </w:pPr>
            <w:r>
              <w:t>Temperature residual range</w:t>
            </w:r>
          </w:p>
        </w:tc>
        <w:tc>
          <w:tcPr>
            <w:tcW w:w="2160" w:type="dxa"/>
          </w:tcPr>
          <w:p w14:paraId="673A31B9" w14:textId="365BD2E2" w:rsidR="004131CC" w:rsidRDefault="004131CC">
            <w:pPr>
              <w:spacing w:after="80" w:line="269" w:lineRule="auto"/>
              <w:rPr>
                <w:rFonts w:hint="eastAsia"/>
              </w:rPr>
            </w:pPr>
            <w:r>
              <w:t>+0.074-0.092 °C</w:t>
            </w:r>
          </w:p>
        </w:tc>
      </w:tr>
      <w:tr w:rsidR="004131CC" w14:paraId="1A5B51CF" w14:textId="77777777" w:rsidTr="004131CC">
        <w:trPr>
          <w:jc w:val="center"/>
        </w:trPr>
        <w:tc>
          <w:tcPr>
            <w:tcW w:w="3348" w:type="dxa"/>
            <w:shd w:val="clear" w:color="auto" w:fill="B4D1DE"/>
          </w:tcPr>
          <w:p w14:paraId="153E4733" w14:textId="7ADE0444" w:rsidR="004131CC" w:rsidRDefault="004131CC">
            <w:pPr>
              <w:spacing w:after="80" w:line="269" w:lineRule="auto"/>
              <w:rPr>
                <w:rFonts w:hint="eastAsia"/>
              </w:rPr>
            </w:pPr>
            <w:r>
              <w:t>Temperature spread</w:t>
            </w:r>
          </w:p>
        </w:tc>
        <w:tc>
          <w:tcPr>
            <w:tcW w:w="2160" w:type="dxa"/>
          </w:tcPr>
          <w:p w14:paraId="113E33F1" w14:textId="1BC96C39" w:rsidR="004131CC" w:rsidRDefault="004131CC">
            <w:pPr>
              <w:spacing w:after="80" w:line="269" w:lineRule="auto"/>
              <w:rPr>
                <w:rFonts w:hint="eastAsia"/>
              </w:rPr>
            </w:pPr>
            <w:r>
              <w:t>0.018 °C</w:t>
            </w:r>
          </w:p>
        </w:tc>
      </w:tr>
      <w:tr w:rsidR="004131CC" w14:paraId="090775F4" w14:textId="77777777" w:rsidTr="004131CC">
        <w:trPr>
          <w:jc w:val="center"/>
        </w:trPr>
        <w:tc>
          <w:tcPr>
            <w:tcW w:w="3348" w:type="dxa"/>
            <w:shd w:val="clear" w:color="auto" w:fill="B4D1DE"/>
          </w:tcPr>
          <w:p w14:paraId="09BE152F" w14:textId="651340DB" w:rsidR="004131CC" w:rsidRDefault="004131CC">
            <w:pPr>
              <w:spacing w:after="80" w:line="269" w:lineRule="auto"/>
            </w:pPr>
            <w:r>
              <w:t>Per-run standard deviation</w:t>
            </w:r>
          </w:p>
        </w:tc>
        <w:tc>
          <w:tcPr>
            <w:tcW w:w="2160" w:type="dxa"/>
          </w:tcPr>
          <w:p w14:paraId="5C3F720E" w14:textId="454CD1B7" w:rsidR="004131CC" w:rsidRDefault="004131CC">
            <w:pPr>
              <w:spacing w:after="80" w:line="269" w:lineRule="auto"/>
            </w:pPr>
            <w:r>
              <w:t>0.005-0.007 °C</w:t>
            </w:r>
          </w:p>
        </w:tc>
      </w:tr>
      <w:tr w:rsidR="004131CC" w14:paraId="5B32BD0E" w14:textId="77777777" w:rsidTr="004131CC">
        <w:trPr>
          <w:jc w:val="center"/>
        </w:trPr>
        <w:tc>
          <w:tcPr>
            <w:tcW w:w="3348" w:type="dxa"/>
            <w:shd w:val="clear" w:color="auto" w:fill="B4D1DE"/>
          </w:tcPr>
          <w:p w14:paraId="44D2D807" w14:textId="2FDC865F" w:rsidR="004131CC" w:rsidRDefault="004131CC">
            <w:pPr>
              <w:spacing w:after="80" w:line="269" w:lineRule="auto"/>
            </w:pPr>
            <w:r>
              <w:t>Practical repeatability</w:t>
            </w:r>
          </w:p>
        </w:tc>
        <w:tc>
          <w:tcPr>
            <w:tcW w:w="2160" w:type="dxa"/>
          </w:tcPr>
          <w:p w14:paraId="67B6644D" w14:textId="5D749BDE" w:rsidR="004131CC" w:rsidRDefault="004131CC">
            <w:pPr>
              <w:spacing w:after="80" w:line="269" w:lineRule="auto"/>
            </w:pPr>
            <w:r>
              <w:t>±0.01°C to ±0.02°C</w:t>
            </w:r>
          </w:p>
        </w:tc>
      </w:tr>
    </w:tbl>
    <w:p w14:paraId="71C2E375" w14:textId="77777777" w:rsidR="004131CC" w:rsidRDefault="004131CC">
      <w:pPr>
        <w:spacing w:after="80" w:line="269" w:lineRule="auto"/>
        <w:rPr>
          <w:rFonts w:hint="eastAsia"/>
        </w:rPr>
      </w:pPr>
    </w:p>
    <w:p w14:paraId="5B421E78" w14:textId="77777777" w:rsidR="009557B0" w:rsidRDefault="00000000">
      <w:pPr>
        <w:spacing w:before="40" w:after="80" w:line="269" w:lineRule="auto"/>
        <w:rPr>
          <w:rFonts w:hint="eastAsia"/>
        </w:rPr>
      </w:pPr>
      <w:r>
        <w:lastRenderedPageBreak/>
        <w:t>These results support the conclusion that short-term PT100 measurement repeatability was small relative to the final reference-chain uncertainty stated in Section 8.</w:t>
      </w:r>
    </w:p>
    <w:p w14:paraId="1297D998" w14:textId="77777777" w:rsidR="009557B0" w:rsidRDefault="00000000">
      <w:pPr>
        <w:pStyle w:val="Heading1"/>
        <w:spacing w:before="200" w:after="80" w:line="264" w:lineRule="auto"/>
      </w:pPr>
      <w:r>
        <w:t>7. Supporting Verification of Transfer-Block Bore Performance</w:t>
      </w:r>
    </w:p>
    <w:p w14:paraId="66835EE7" w14:textId="79AA28DB" w:rsidR="009557B0" w:rsidRDefault="00000000">
      <w:pPr>
        <w:spacing w:after="80" w:line="269" w:lineRule="auto"/>
        <w:rPr>
          <w:rFonts w:hint="eastAsia"/>
        </w:rPr>
      </w:pPr>
      <w:r>
        <w:t xml:space="preserve">A bore-bracketing study was performed at the </w:t>
      </w:r>
      <w:r w:rsidR="004131CC">
        <w:t>48.8°C (</w:t>
      </w:r>
      <w:r>
        <w:t xml:space="preserve">120 </w:t>
      </w:r>
      <w:r w:rsidR="004131CC">
        <w:t>°</w:t>
      </w:r>
      <w:r>
        <w:t>F</w:t>
      </w:r>
      <w:r w:rsidR="004131CC">
        <w:t>)</w:t>
      </w:r>
      <w:r>
        <w:t xml:space="preserve"> setpoint using A-B-A and B-A-B sequences, including a 180-degree block rotation.</w:t>
      </w:r>
    </w:p>
    <w:p w14:paraId="58DCB715" w14:textId="0499753C" w:rsidR="009557B0" w:rsidRDefault="00000000">
      <w:pPr>
        <w:spacing w:after="80" w:line="269" w:lineRule="auto"/>
        <w:rPr>
          <w:rFonts w:hint="eastAsia"/>
        </w:rPr>
      </w:pPr>
      <w:r>
        <w:t xml:space="preserve">When reduced to a common B-A basis, the observed combined mean bore difference was approximately +0.0074 </w:t>
      </w:r>
      <w:r w:rsidR="00891EFB">
        <w:t>°C</w:t>
      </w:r>
      <w:r>
        <w:t xml:space="preserve">, with combined RMS variation of approximately 0.025 </w:t>
      </w:r>
      <w:r w:rsidR="00891EFB">
        <w:t>°C</w:t>
      </w:r>
      <w:r>
        <w:t xml:space="preserve"> and maximum observed magnitude of approximately 0.049 </w:t>
      </w:r>
      <w:r w:rsidR="00891EFB">
        <w:t>°C</w:t>
      </w:r>
      <w:r>
        <w:t>.</w:t>
      </w:r>
    </w:p>
    <w:p w14:paraId="26688170" w14:textId="77777777" w:rsidR="009557B0" w:rsidRDefault="00000000">
      <w:pPr>
        <w:spacing w:after="80" w:line="269" w:lineRule="auto"/>
        <w:rPr>
          <w:rFonts w:hint="eastAsia"/>
        </w:rPr>
      </w:pPr>
      <w:r>
        <w:t>The sign did not reverse after block rotation, indicating a small bore-dependent effect rather than a dominant chamber-side asymmetry. These results support use of a small transfer-medium contribution relative to the reference thermocouple contribution.</w:t>
      </w:r>
    </w:p>
    <w:p w14:paraId="123A733E" w14:textId="77777777" w:rsidR="009557B0" w:rsidRDefault="00000000">
      <w:pPr>
        <w:pStyle w:val="Heading1"/>
        <w:spacing w:before="200" w:after="80" w:line="264" w:lineRule="auto"/>
      </w:pPr>
      <w:r>
        <w:t>8. Uncertainty Analysis</w:t>
      </w:r>
    </w:p>
    <w:p w14:paraId="6763C4EC" w14:textId="77777777" w:rsidR="009557B0" w:rsidRDefault="00000000">
      <w:pPr>
        <w:pStyle w:val="Heading2"/>
        <w:spacing w:before="120" w:after="80" w:line="264" w:lineRule="auto"/>
      </w:pPr>
      <w:r>
        <w:t>8.1 Reference Indicator Contribution</w:t>
      </w:r>
    </w:p>
    <w:p w14:paraId="798682CC" w14:textId="5FA33C00" w:rsidR="009557B0" w:rsidRDefault="00000000">
      <w:pPr>
        <w:spacing w:after="80" w:line="269" w:lineRule="auto"/>
      </w:pPr>
      <w:r>
        <w:t xml:space="preserve">The Fluke 51 II calibration certificate for Gage ID N1052 states uncertainty of 0.08 </w:t>
      </w:r>
      <w:r w:rsidR="00891EFB">
        <w:t>°</w:t>
      </w:r>
      <w:r>
        <w:t xml:space="preserve">C at 95% confidence level for Type K over the range -55 </w:t>
      </w:r>
      <w:r w:rsidR="00891EFB">
        <w:t>°C</w:t>
      </w:r>
      <w:r>
        <w:t xml:space="preserve"> to 1000 </w:t>
      </w:r>
      <w:r w:rsidR="00891EFB">
        <w:t>°C</w:t>
      </w:r>
      <w:r>
        <w:t xml:space="preserve"> and explicitly states that thermocouple error is not included. For the formal uncertainty budget, this was treated as approximately k = 2.</w:t>
      </w:r>
    </w:p>
    <w:p w14:paraId="3858A461" w14:textId="1A7E5471" w:rsidR="0058113C" w:rsidRDefault="0058113C">
      <w:pPr>
        <w:spacing w:after="80" w:line="269" w:lineRule="auto"/>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meter</m:t>
              </m:r>
            </m:sub>
          </m:sSub>
          <m:r>
            <w:rPr>
              <w:rFonts w:ascii="Cambria Math" w:hAnsi="Cambria Math"/>
            </w:rPr>
            <m:t>=</m:t>
          </m:r>
          <m:f>
            <m:fPr>
              <m:ctrlPr>
                <w:rPr>
                  <w:rFonts w:ascii="Cambria Math" w:hAnsi="Cambria Math"/>
                  <w:i/>
                </w:rPr>
              </m:ctrlPr>
            </m:fPr>
            <m:num>
              <m:r>
                <w:rPr>
                  <w:rFonts w:ascii="Cambria Math" w:hAnsi="Cambria Math"/>
                </w:rPr>
                <m:t>0.08</m:t>
              </m:r>
            </m:num>
            <m:den>
              <m:r>
                <w:rPr>
                  <w:rFonts w:ascii="Cambria Math" w:hAnsi="Cambria Math"/>
                </w:rPr>
                <m:t>2</m:t>
              </m:r>
            </m:den>
          </m:f>
          <m:r>
            <w:rPr>
              <w:rFonts w:ascii="Cambria Math" w:hAnsi="Cambria Math"/>
            </w:rPr>
            <m:t>=0.04°C</m:t>
          </m:r>
        </m:oMath>
      </m:oMathPara>
    </w:p>
    <w:p w14:paraId="28BBC466" w14:textId="77777777" w:rsidR="009557B0" w:rsidRDefault="00000000">
      <w:pPr>
        <w:pStyle w:val="Heading2"/>
        <w:spacing w:before="120" w:after="80" w:line="264" w:lineRule="auto"/>
      </w:pPr>
      <w:r>
        <w:t>8.2 Reference Thermocouple Contribution</w:t>
      </w:r>
    </w:p>
    <w:p w14:paraId="466A4C54" w14:textId="77777777" w:rsidR="009557B0" w:rsidRDefault="00000000">
      <w:pPr>
        <w:spacing w:after="80" w:line="269" w:lineRule="auto"/>
        <w:rPr>
          <w:rFonts w:hint="eastAsia"/>
        </w:rPr>
      </w:pPr>
      <w:r>
        <w:t>A current probe-specific calibration certificate was not available for the Wahl TC801P thermocouple probe used during calibration. The probe was therefore modeled conservatively as a standard commercial Type K thermocouple using the published standard limits of error.</w:t>
      </w:r>
    </w:p>
    <w:p w14:paraId="76FF1318" w14:textId="34231297" w:rsidR="009557B0" w:rsidRDefault="00000000">
      <w:pPr>
        <w:spacing w:after="80" w:line="269" w:lineRule="auto"/>
      </w:pPr>
      <w:r>
        <w:t xml:space="preserve">Across the temperature range used in this calibration, the </w:t>
      </w:r>
      <m:oMath>
        <m:r>
          <w:rPr>
            <w:rFonts w:ascii="Cambria Math" w:hAnsi="Cambria Math"/>
          </w:rPr>
          <m:t>±2.2°C</m:t>
        </m:r>
      </m:oMath>
      <w:r>
        <w:t xml:space="preserve"> term governs. To incorporate this value into a formal uncertainty budget, the class limit was treated as a rectangular Type B distribution.</w:t>
      </w:r>
    </w:p>
    <w:p w14:paraId="613164EC" w14:textId="1117E91A" w:rsidR="0058113C" w:rsidRDefault="0058113C">
      <w:pPr>
        <w:spacing w:after="80" w:line="269" w:lineRule="auto"/>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probe</m:t>
              </m:r>
            </m:sub>
          </m:sSub>
          <m:r>
            <w:rPr>
              <w:rFonts w:ascii="Cambria Math" w:hAnsi="Cambria Math"/>
            </w:rPr>
            <m:t>=</m:t>
          </m:r>
          <m:f>
            <m:fPr>
              <m:ctrlPr>
                <w:rPr>
                  <w:rFonts w:ascii="Cambria Math" w:hAnsi="Cambria Math"/>
                  <w:i/>
                </w:rPr>
              </m:ctrlPr>
            </m:fPr>
            <m:num>
              <m:r>
                <w:rPr>
                  <w:rFonts w:ascii="Cambria Math" w:hAnsi="Cambria Math"/>
                </w:rPr>
                <m:t>2.2</m:t>
              </m:r>
            </m:num>
            <m:den>
              <m:rad>
                <m:radPr>
                  <m:degHide m:val="1"/>
                  <m:ctrlPr>
                    <w:rPr>
                      <w:rFonts w:ascii="Cambria Math" w:hAnsi="Cambria Math"/>
                      <w:i/>
                    </w:rPr>
                  </m:ctrlPr>
                </m:radPr>
                <m:deg/>
                <m:e>
                  <m:r>
                    <w:rPr>
                      <w:rFonts w:ascii="Cambria Math" w:hAnsi="Cambria Math"/>
                    </w:rPr>
                    <m:t>3</m:t>
                  </m:r>
                </m:e>
              </m:rad>
            </m:den>
          </m:f>
          <m:r>
            <w:rPr>
              <w:rFonts w:ascii="Cambria Math" w:hAnsi="Cambria Math"/>
            </w:rPr>
            <m:t>=1.27°C</m:t>
          </m:r>
        </m:oMath>
      </m:oMathPara>
    </w:p>
    <w:p w14:paraId="53DAA97B" w14:textId="77777777" w:rsidR="009557B0" w:rsidRDefault="00000000">
      <w:pPr>
        <w:pStyle w:val="Heading2"/>
        <w:spacing w:before="120" w:after="80" w:line="264" w:lineRule="auto"/>
      </w:pPr>
      <w:r>
        <w:t>8.3 Transfer and Setup Contribution</w:t>
      </w:r>
    </w:p>
    <w:p w14:paraId="06A4C3A1" w14:textId="0CB330F4" w:rsidR="009557B0" w:rsidRDefault="00000000">
      <w:pPr>
        <w:spacing w:after="80" w:line="269" w:lineRule="auto"/>
      </w:pPr>
      <w:r>
        <w:t xml:space="preserve">The transfer and setup contribution was based on the measured bore study and the physical transfer arrangement. Standard uncertainties of 0.03 </w:t>
      </w:r>
      <w:r w:rsidR="00891EFB">
        <w:t>°C</w:t>
      </w:r>
      <w:r>
        <w:t xml:space="preserve"> each were assigned to radial bore difference/probe-spacing effect, insertion depth sensitivity, thermal coupling/fit variation, and block gradient/environmental coupling.</w:t>
      </w:r>
    </w:p>
    <w:p w14:paraId="4F590681" w14:textId="3CA39275" w:rsidR="0058113C" w:rsidRDefault="0058113C">
      <w:pPr>
        <w:spacing w:after="80" w:line="269" w:lineRule="auto"/>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transfer</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0.03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0.03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0.03</m:t>
                  </m:r>
                </m:e>
                <m:sup>
                  <m:r>
                    <w:rPr>
                      <w:rFonts w:ascii="Cambria Math" w:hAnsi="Cambria Math"/>
                    </w:rPr>
                    <m:t>2</m:t>
                  </m:r>
                </m:sup>
              </m:sSup>
            </m:e>
          </m:rad>
          <m:r>
            <w:rPr>
              <w:rFonts w:ascii="Cambria Math" w:hAnsi="Cambria Math"/>
            </w:rPr>
            <m:t>=0.06°C</m:t>
          </m:r>
        </m:oMath>
      </m:oMathPara>
    </w:p>
    <w:p w14:paraId="495ABED5" w14:textId="77777777" w:rsidR="009557B0" w:rsidRDefault="00000000">
      <w:pPr>
        <w:pStyle w:val="Heading2"/>
        <w:spacing w:before="120" w:after="80" w:line="264" w:lineRule="auto"/>
      </w:pPr>
      <w:r>
        <w:t>8.4 Combined Standard Uncertainty</w:t>
      </w:r>
    </w:p>
    <w:p w14:paraId="4A8A47F5" w14:textId="37D9A418" w:rsidR="0058113C" w:rsidRPr="0058113C" w:rsidRDefault="0058113C">
      <w:pPr>
        <w:spacing w:before="60" w:after="120" w:line="240" w:lineRule="auto"/>
        <w:jc w:val="center"/>
        <w:rPr>
          <w:iCs/>
        </w:rPr>
      </w:pPr>
      <m:oMathPara>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meter</m:t>
                      </m:r>
                    </m:sub>
                  </m:sSub>
                </m:e>
                <m:sup>
                  <m:r>
                    <w:rPr>
                      <w:rFonts w:ascii="Cambria Math" w:hAnsi="Cambria Math"/>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probe</m:t>
                      </m:r>
                    </m:sub>
                  </m:sSub>
                </m:e>
                <m:sup>
                  <m:r>
                    <w:rPr>
                      <w:rFonts w:ascii="Cambria Math" w:hAnsi="Cambria Math"/>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transfer</m:t>
                      </m:r>
                    </m:sub>
                  </m:sSub>
                </m:e>
                <m:sup>
                  <m:r>
                    <w:rPr>
                      <w:rFonts w:ascii="Cambria Math" w:hAnsi="Cambria Math"/>
                    </w:rPr>
                    <m:t>2</m:t>
                  </m:r>
                </m:sup>
              </m:sSup>
            </m:e>
          </m:rad>
        </m:oMath>
      </m:oMathPara>
    </w:p>
    <w:p w14:paraId="31947E9C" w14:textId="47ACE801" w:rsidR="0058113C" w:rsidRPr="0058113C" w:rsidRDefault="0058113C" w:rsidP="0058113C">
      <w:pPr>
        <w:spacing w:before="60" w:after="120" w:line="240" w:lineRule="auto"/>
        <w:jc w:val="center"/>
        <w:rPr>
          <w:rFonts w:hint="eastAsia"/>
          <w:iCs/>
        </w:rPr>
      </w:pPr>
      <m:oMathPara>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0.04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1.27</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0.06</m:t>
                  </m:r>
                </m:e>
                <m:sup>
                  <m:r>
                    <w:rPr>
                      <w:rFonts w:ascii="Cambria Math" w:hAnsi="Cambria Math"/>
                    </w:rPr>
                    <m:t>2</m:t>
                  </m:r>
                </m:sup>
              </m:sSup>
              <m:r>
                <w:rPr>
                  <w:rFonts w:ascii="Cambria Math" w:hAnsi="Cambria Math"/>
                </w:rPr>
                <m:t>=1.27°C</m:t>
              </m:r>
            </m:e>
          </m:rad>
        </m:oMath>
      </m:oMathPara>
    </w:p>
    <w:p w14:paraId="31B2C0A0" w14:textId="77777777" w:rsidR="0058113C" w:rsidRPr="0058113C" w:rsidRDefault="0058113C">
      <w:pPr>
        <w:spacing w:before="60" w:after="120" w:line="240" w:lineRule="auto"/>
        <w:jc w:val="center"/>
        <w:rPr>
          <w:rFonts w:hint="eastAsia"/>
        </w:rPr>
      </w:pPr>
    </w:p>
    <w:p w14:paraId="582A1B75" w14:textId="77777777" w:rsidR="009557B0" w:rsidRDefault="00000000">
      <w:pPr>
        <w:pStyle w:val="Heading2"/>
        <w:spacing w:before="120" w:after="80" w:line="264" w:lineRule="auto"/>
      </w:pPr>
      <w:r>
        <w:t>8.5 Expanded Uncertainty</w:t>
      </w:r>
    </w:p>
    <w:p w14:paraId="626C47F8" w14:textId="77777777" w:rsidR="009557B0" w:rsidRDefault="00000000">
      <w:pPr>
        <w:spacing w:after="80" w:line="269" w:lineRule="auto"/>
      </w:pPr>
      <w:r>
        <w:t>Expanded uncertainty is reported using k = 2, consistent with NIST convention for reporting expanded uncertainty.</w:t>
      </w:r>
    </w:p>
    <w:p w14:paraId="61EEEF09" w14:textId="29A44DDE" w:rsidR="0058113C" w:rsidRDefault="0058113C">
      <w:pPr>
        <w:spacing w:after="80" w:line="269" w:lineRule="auto"/>
        <w:rPr>
          <w:rFonts w:hint="eastAsia"/>
        </w:rPr>
      </w:pPr>
      <m:oMathPara>
        <m:oMath>
          <m:r>
            <w:rPr>
              <w:rFonts w:ascii="Cambria Math" w:hAnsi="Cambria Math"/>
            </w:rPr>
            <m:t>U=2</m:t>
          </m:r>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=2</m:t>
          </m:r>
          <m:d>
            <m:dPr>
              <m:ctrlPr>
                <w:rPr>
                  <w:rFonts w:ascii="Cambria Math" w:hAnsi="Cambria Math"/>
                  <w:i/>
                </w:rPr>
              </m:ctrlPr>
            </m:dPr>
            <m:e>
              <m:r>
                <w:rPr>
                  <w:rFonts w:ascii="Cambria Math" w:hAnsi="Cambria Math"/>
                </w:rPr>
                <m:t>1.27</m:t>
              </m:r>
            </m:e>
          </m:d>
          <m:r>
            <w:rPr>
              <w:rFonts w:ascii="Cambria Math" w:hAnsi="Cambria Math"/>
            </w:rPr>
            <m:t>=2.54°C</m:t>
          </m:r>
        </m:oMath>
      </m:oMathPara>
    </w:p>
    <w:p w14:paraId="1CEE2DF3" w14:textId="5DBCE540" w:rsidR="009557B0" w:rsidRPr="00891EFB" w:rsidRDefault="00000000">
      <w:pPr>
        <w:spacing w:before="40" w:after="160" w:line="240" w:lineRule="auto"/>
        <w:jc w:val="center"/>
        <w:rPr>
          <w:rFonts w:hint="eastAsia"/>
          <w:color w:val="4886A1"/>
        </w:rPr>
      </w:pPr>
      <w:r w:rsidRPr="00891EFB">
        <w:rPr>
          <w:b/>
          <w:color w:val="4886A1"/>
          <w:sz w:val="24"/>
        </w:rPr>
        <w:lastRenderedPageBreak/>
        <w:t xml:space="preserve">Reported Expanded Uncertainty: +/-2.6 </w:t>
      </w:r>
      <w:r w:rsidR="00891EFB">
        <w:rPr>
          <w:b/>
          <w:color w:val="4886A1"/>
          <w:sz w:val="24"/>
        </w:rPr>
        <w:t>°C</w:t>
      </w:r>
      <w:r w:rsidRPr="00891EFB">
        <w:rPr>
          <w:b/>
          <w:color w:val="4886A1"/>
          <w:sz w:val="24"/>
        </w:rPr>
        <w:t xml:space="preserve"> (k = 2)</w:t>
      </w:r>
    </w:p>
    <w:p w14:paraId="78658FA0" w14:textId="77777777" w:rsidR="009557B0" w:rsidRDefault="00000000">
      <w:pPr>
        <w:pStyle w:val="Heading1"/>
        <w:spacing w:before="200" w:after="80" w:line="264" w:lineRule="auto"/>
      </w:pPr>
      <w:r>
        <w:t>9. Calibration Result</w:t>
      </w:r>
    </w:p>
    <w:p w14:paraId="6B43F0D9" w14:textId="77777777" w:rsidR="009557B0" w:rsidRDefault="00000000">
      <w:pPr>
        <w:spacing w:after="80" w:line="269" w:lineRule="auto"/>
        <w:rPr>
          <w:rFonts w:hint="eastAsia"/>
        </w:rPr>
      </w:pPr>
      <w:r>
        <w:t>The PT100 datalogger system identified in this certificate was calibrated as a complete corrected system using a 4-point resistance-domain polynomial calibration referenced to the Fluke 51 II indicator and Wahl TC801P Type K thermocouple identified above.</w:t>
      </w:r>
    </w:p>
    <w:p w14:paraId="287B9B43" w14:textId="77777777" w:rsidR="009557B0" w:rsidRDefault="00000000">
      <w:pPr>
        <w:spacing w:after="80" w:line="269" w:lineRule="auto"/>
        <w:rPr>
          <w:rFonts w:hint="eastAsia"/>
        </w:rPr>
      </w:pPr>
      <w:r>
        <w:t>This uncertainty is dominated by the reference thermocouple contribution. The PT100 repeatability and transfer-block contributions were small relative to the reference thermocouple term.</w:t>
      </w:r>
    </w:p>
    <w:p w14:paraId="29001882" w14:textId="77777777" w:rsidR="009557B0" w:rsidRDefault="00000000">
      <w:pPr>
        <w:pStyle w:val="Heading1"/>
        <w:spacing w:before="200" w:after="80" w:line="264" w:lineRule="auto"/>
      </w:pPr>
      <w:r>
        <w:t>10. Applicability and Validity</w:t>
      </w:r>
    </w:p>
    <w:p w14:paraId="03B8EB6D" w14:textId="77777777" w:rsidR="009557B0" w:rsidRDefault="00000000">
      <w:pPr>
        <w:spacing w:after="80" w:line="269" w:lineRule="auto"/>
        <w:rPr>
          <w:rFonts w:hint="eastAsia"/>
        </w:rPr>
      </w:pPr>
      <w:r>
        <w:t>This certificate applies only to the specific PT100 probe-and-readout combination identified in Section 1, in the calibrated configuration used at the time of calibration. It does not apply to the sensor alone, the electronics alone, or any substituted reference probe. Continued validity is contingent on the system remaining in the same calibrated configuration and not undergoing damage, repair, or material change affecting measurement performance.</w:t>
      </w:r>
    </w:p>
    <w:p w14:paraId="5E283453" w14:textId="4639FB0A" w:rsidR="009557B0" w:rsidRDefault="00000000">
      <w:pPr>
        <w:pStyle w:val="Heading1"/>
        <w:spacing w:before="200" w:after="80" w:line="264" w:lineRule="auto"/>
      </w:pPr>
      <w:r>
        <w:t>1</w:t>
      </w:r>
      <w:r w:rsidR="00365BE4">
        <w:t>1</w:t>
      </w:r>
      <w:r>
        <w:t>. Authorization</w:t>
      </w:r>
    </w:p>
    <w:tbl>
      <w:tblPr>
        <w:tblStyle w:val="TableGrid"/>
        <w:tblW w:w="7596" w:type="dxa"/>
        <w:jc w:val="center"/>
        <w:tblLayout w:type="fixed"/>
        <w:tblLook w:val="04A0" w:firstRow="1" w:lastRow="0" w:firstColumn="1" w:lastColumn="0" w:noHBand="0" w:noVBand="1"/>
      </w:tblPr>
      <w:tblGrid>
        <w:gridCol w:w="1476"/>
        <w:gridCol w:w="3060"/>
        <w:gridCol w:w="3060"/>
      </w:tblGrid>
      <w:tr w:rsidR="00365BE4" w14:paraId="32F9AE0D" w14:textId="7ED27D85" w:rsidTr="00365BE4">
        <w:trPr>
          <w:jc w:val="center"/>
        </w:trPr>
        <w:tc>
          <w:tcPr>
            <w:tcW w:w="1476" w:type="dxa"/>
            <w:shd w:val="clear" w:color="auto" w:fill="B4D1DE"/>
            <w:tcMar>
              <w:top w:w="80" w:type="dxa"/>
              <w:left w:w="100" w:type="dxa"/>
              <w:bottom w:w="80" w:type="dxa"/>
              <w:right w:w="100" w:type="dxa"/>
            </w:tcMar>
            <w:vAlign w:val="center"/>
          </w:tcPr>
          <w:p w14:paraId="476C48E4" w14:textId="77777777" w:rsidR="00365BE4" w:rsidRDefault="00365BE4" w:rsidP="00365BE4">
            <w:pPr>
              <w:spacing w:line="252" w:lineRule="auto"/>
              <w:rPr>
                <w:rFonts w:hint="eastAsia"/>
              </w:rPr>
            </w:pPr>
            <w:r>
              <w:rPr>
                <w:b/>
                <w:sz w:val="20"/>
              </w:rPr>
              <w:t>Calibrated by</w:t>
            </w:r>
          </w:p>
        </w:tc>
        <w:tc>
          <w:tcPr>
            <w:tcW w:w="3060" w:type="dxa"/>
            <w:shd w:val="clear" w:color="auto" w:fill="FFFFFF"/>
            <w:tcMar>
              <w:top w:w="80" w:type="dxa"/>
              <w:left w:w="100" w:type="dxa"/>
              <w:bottom w:w="80" w:type="dxa"/>
              <w:right w:w="100" w:type="dxa"/>
            </w:tcMar>
            <w:vAlign w:val="center"/>
          </w:tcPr>
          <w:p w14:paraId="20352C85" w14:textId="6FFE3F48" w:rsidR="00365BE4" w:rsidRDefault="00365BE4">
            <w:pPr>
              <w:spacing w:line="252" w:lineRule="auto"/>
              <w:jc w:val="center"/>
              <w:rPr>
                <w:rFonts w:hint="eastAsia"/>
              </w:rPr>
            </w:pPr>
          </w:p>
        </w:tc>
        <w:tc>
          <w:tcPr>
            <w:tcW w:w="3060" w:type="dxa"/>
            <w:shd w:val="clear" w:color="auto" w:fill="FFFFFF"/>
          </w:tcPr>
          <w:p w14:paraId="6C264456" w14:textId="77777777" w:rsidR="00365BE4" w:rsidRDefault="00365BE4">
            <w:pPr>
              <w:spacing w:line="252" w:lineRule="auto"/>
              <w:jc w:val="center"/>
              <w:rPr>
                <w:rFonts w:hint="eastAsia"/>
              </w:rPr>
            </w:pPr>
          </w:p>
        </w:tc>
      </w:tr>
      <w:tr w:rsidR="00365BE4" w14:paraId="3654E491" w14:textId="1318931A" w:rsidTr="00365BE4">
        <w:trPr>
          <w:jc w:val="center"/>
        </w:trPr>
        <w:tc>
          <w:tcPr>
            <w:tcW w:w="1476" w:type="dxa"/>
            <w:shd w:val="clear" w:color="auto" w:fill="B4D1DE"/>
            <w:tcMar>
              <w:top w:w="80" w:type="dxa"/>
              <w:left w:w="100" w:type="dxa"/>
              <w:bottom w:w="80" w:type="dxa"/>
              <w:right w:w="100" w:type="dxa"/>
            </w:tcMar>
            <w:vAlign w:val="center"/>
          </w:tcPr>
          <w:p w14:paraId="2F970A5B" w14:textId="77777777" w:rsidR="00365BE4" w:rsidRDefault="00365BE4">
            <w:pPr>
              <w:spacing w:line="252" w:lineRule="auto"/>
              <w:rPr>
                <w:rFonts w:hint="eastAsia"/>
              </w:rPr>
            </w:pPr>
            <w:r>
              <w:rPr>
                <w:b/>
                <w:sz w:val="20"/>
              </w:rPr>
              <w:t>Reviewed by</w:t>
            </w:r>
          </w:p>
        </w:tc>
        <w:tc>
          <w:tcPr>
            <w:tcW w:w="3060" w:type="dxa"/>
            <w:tcMar>
              <w:top w:w="80" w:type="dxa"/>
              <w:left w:w="100" w:type="dxa"/>
              <w:bottom w:w="80" w:type="dxa"/>
              <w:right w:w="100" w:type="dxa"/>
            </w:tcMar>
            <w:vAlign w:val="center"/>
          </w:tcPr>
          <w:p w14:paraId="50751289" w14:textId="07CE9888" w:rsidR="00365BE4" w:rsidRDefault="00365BE4">
            <w:pPr>
              <w:spacing w:line="252" w:lineRule="auto"/>
              <w:rPr>
                <w:rFonts w:hint="eastAsia"/>
              </w:rPr>
            </w:pPr>
          </w:p>
        </w:tc>
        <w:tc>
          <w:tcPr>
            <w:tcW w:w="3060" w:type="dxa"/>
          </w:tcPr>
          <w:p w14:paraId="30D009AA" w14:textId="77777777" w:rsidR="00365BE4" w:rsidRDefault="00365BE4">
            <w:pPr>
              <w:spacing w:line="252" w:lineRule="auto"/>
              <w:rPr>
                <w:rFonts w:hint="eastAsia"/>
              </w:rPr>
            </w:pPr>
          </w:p>
        </w:tc>
      </w:tr>
      <w:tr w:rsidR="00365BE4" w14:paraId="097642AA" w14:textId="380F8198" w:rsidTr="00365BE4">
        <w:trPr>
          <w:jc w:val="center"/>
        </w:trPr>
        <w:tc>
          <w:tcPr>
            <w:tcW w:w="1476" w:type="dxa"/>
            <w:shd w:val="clear" w:color="auto" w:fill="B4D1DE"/>
            <w:tcMar>
              <w:top w:w="80" w:type="dxa"/>
              <w:left w:w="100" w:type="dxa"/>
              <w:bottom w:w="80" w:type="dxa"/>
              <w:right w:w="100" w:type="dxa"/>
            </w:tcMar>
            <w:vAlign w:val="center"/>
          </w:tcPr>
          <w:p w14:paraId="71D15D7F" w14:textId="77777777" w:rsidR="00365BE4" w:rsidRDefault="00365BE4">
            <w:pPr>
              <w:spacing w:line="252" w:lineRule="auto"/>
              <w:rPr>
                <w:rFonts w:hint="eastAsia"/>
              </w:rPr>
            </w:pPr>
            <w:r>
              <w:rPr>
                <w:b/>
                <w:sz w:val="20"/>
              </w:rPr>
              <w:t>Approved by</w:t>
            </w:r>
          </w:p>
        </w:tc>
        <w:tc>
          <w:tcPr>
            <w:tcW w:w="3060" w:type="dxa"/>
            <w:tcMar>
              <w:top w:w="80" w:type="dxa"/>
              <w:left w:w="100" w:type="dxa"/>
              <w:bottom w:w="80" w:type="dxa"/>
              <w:right w:w="100" w:type="dxa"/>
            </w:tcMar>
            <w:vAlign w:val="center"/>
          </w:tcPr>
          <w:p w14:paraId="07FCD4A4" w14:textId="1BBE5820" w:rsidR="00365BE4" w:rsidRDefault="00365BE4">
            <w:pPr>
              <w:spacing w:line="252" w:lineRule="auto"/>
              <w:rPr>
                <w:rFonts w:hint="eastAsia"/>
              </w:rPr>
            </w:pPr>
          </w:p>
        </w:tc>
        <w:tc>
          <w:tcPr>
            <w:tcW w:w="3060" w:type="dxa"/>
          </w:tcPr>
          <w:p w14:paraId="45EB7EF5" w14:textId="77777777" w:rsidR="00365BE4" w:rsidRDefault="00365BE4">
            <w:pPr>
              <w:spacing w:line="252" w:lineRule="auto"/>
              <w:rPr>
                <w:rFonts w:hint="eastAsia"/>
              </w:rPr>
            </w:pPr>
          </w:p>
        </w:tc>
      </w:tr>
    </w:tbl>
    <w:p w14:paraId="1FC27D1D" w14:textId="469724AE" w:rsidR="009557B0" w:rsidRDefault="00000000">
      <w:pPr>
        <w:pStyle w:val="Heading1"/>
        <w:spacing w:before="200" w:after="80" w:line="264" w:lineRule="auto"/>
      </w:pPr>
      <w:r>
        <w:t>1</w:t>
      </w:r>
      <w:r w:rsidR="00365BE4">
        <w:t>2</w:t>
      </w:r>
      <w:r>
        <w:t>. References</w:t>
      </w:r>
    </w:p>
    <w:p w14:paraId="03468C2B" w14:textId="77777777" w:rsidR="009557B0" w:rsidRDefault="00000000">
      <w:pPr>
        <w:spacing w:after="20" w:line="221" w:lineRule="auto"/>
        <w:ind w:left="317" w:hanging="317"/>
        <w:rPr>
          <w:rFonts w:hint="eastAsia"/>
        </w:rPr>
      </w:pPr>
      <w:r>
        <w:rPr>
          <w:sz w:val="16"/>
        </w:rPr>
        <w:t>[1] MatWeb, Aluminum 6061-T6 Material Data Sheet, thermal conductivity approximately 167 W/m K at 77 degF.</w:t>
      </w:r>
    </w:p>
    <w:p w14:paraId="447BFDCD" w14:textId="77777777" w:rsidR="009557B0" w:rsidRDefault="00000000">
      <w:pPr>
        <w:spacing w:after="20" w:line="221" w:lineRule="auto"/>
        <w:ind w:left="317" w:hanging="317"/>
        <w:rPr>
          <w:rFonts w:hint="eastAsia"/>
        </w:rPr>
      </w:pPr>
      <w:r>
        <w:rPr>
          <w:sz w:val="16"/>
        </w:rPr>
        <w:t>[2] ASTM E3186, Standard Guide for Use and Testing of Dry-Block Temperature Calibrators.</w:t>
      </w:r>
    </w:p>
    <w:p w14:paraId="63C47372" w14:textId="304B12CA" w:rsidR="009557B0" w:rsidRDefault="00000000">
      <w:pPr>
        <w:spacing w:after="20" w:line="221" w:lineRule="auto"/>
        <w:ind w:left="317" w:hanging="317"/>
        <w:rPr>
          <w:rFonts w:hint="eastAsia"/>
        </w:rPr>
      </w:pPr>
      <w:r>
        <w:rPr>
          <w:sz w:val="16"/>
        </w:rPr>
        <w:t xml:space="preserve">[3] Fluke 51 II calibration certificate, Gage ID N1052, Certificate No. 4015405, calibrated 2026-02-16; stated uncertainty 0.08 </w:t>
      </w:r>
      <w:r w:rsidR="00891EFB">
        <w:rPr>
          <w:sz w:val="16"/>
        </w:rPr>
        <w:t>°C</w:t>
      </w:r>
      <w:r>
        <w:rPr>
          <w:sz w:val="16"/>
        </w:rPr>
        <w:t xml:space="preserve"> at 95% confidence for Type K over -55 </w:t>
      </w:r>
      <w:r w:rsidR="00891EFB">
        <w:rPr>
          <w:sz w:val="16"/>
        </w:rPr>
        <w:t>°C</w:t>
      </w:r>
      <w:r>
        <w:rPr>
          <w:sz w:val="16"/>
        </w:rPr>
        <w:t xml:space="preserve"> to 1000 </w:t>
      </w:r>
      <w:r w:rsidR="00891EFB">
        <w:rPr>
          <w:sz w:val="16"/>
        </w:rPr>
        <w:t>°C</w:t>
      </w:r>
      <w:r>
        <w:rPr>
          <w:sz w:val="16"/>
        </w:rPr>
        <w:t>; thermocouple error excluded.</w:t>
      </w:r>
    </w:p>
    <w:p w14:paraId="028DC252" w14:textId="21B7EDDF" w:rsidR="009557B0" w:rsidRDefault="00000000">
      <w:pPr>
        <w:spacing w:after="20" w:line="221" w:lineRule="auto"/>
        <w:ind w:left="317" w:hanging="317"/>
        <w:rPr>
          <w:rFonts w:hint="eastAsia"/>
        </w:rPr>
      </w:pPr>
      <w:r>
        <w:rPr>
          <w:sz w:val="16"/>
        </w:rPr>
        <w:t xml:space="preserve">[4] Omega Engineering, Type K Thermocouple Reference Table, standard limits of error +/-2.2 </w:t>
      </w:r>
      <w:r w:rsidR="00891EFB">
        <w:rPr>
          <w:sz w:val="16"/>
        </w:rPr>
        <w:t>°C</w:t>
      </w:r>
      <w:r>
        <w:rPr>
          <w:sz w:val="16"/>
        </w:rPr>
        <w:t xml:space="preserve"> or applicable percent term, whichever is greater.</w:t>
      </w:r>
    </w:p>
    <w:p w14:paraId="13647877" w14:textId="77777777" w:rsidR="009557B0" w:rsidRDefault="00000000">
      <w:pPr>
        <w:spacing w:after="20" w:line="221" w:lineRule="auto"/>
        <w:ind w:left="317" w:hanging="317"/>
        <w:rPr>
          <w:rFonts w:hint="eastAsia"/>
        </w:rPr>
      </w:pPr>
      <w:r>
        <w:rPr>
          <w:sz w:val="16"/>
        </w:rPr>
        <w:t>[5] NIST Technical Note 1297, Type B evaluation and expanded uncertainty reporting.</w:t>
      </w:r>
    </w:p>
    <w:sectPr w:rsidR="009557B0" w:rsidSect="00B95BD9">
      <w:headerReference w:type="default" r:id="rId8"/>
      <w:footerReference w:type="default" r:id="rId9"/>
      <w:pgSz w:w="12240" w:h="15840"/>
      <w:pgMar w:top="1152" w:right="864" w:bottom="115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B55AD" w14:textId="77777777" w:rsidR="001B11CC" w:rsidRDefault="001B11CC">
      <w:pPr>
        <w:spacing w:after="0" w:line="240" w:lineRule="auto"/>
        <w:rPr>
          <w:rFonts w:hint="eastAsia"/>
        </w:rPr>
      </w:pPr>
      <w:r>
        <w:separator/>
      </w:r>
    </w:p>
  </w:endnote>
  <w:endnote w:type="continuationSeparator" w:id="0">
    <w:p w14:paraId="367F59DB" w14:textId="77777777" w:rsidR="001B11CC" w:rsidRDefault="001B11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8A356" w14:textId="77777777" w:rsidR="009557B0" w:rsidRDefault="009557B0">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205EB" w14:textId="77777777" w:rsidR="001B11CC" w:rsidRDefault="001B11CC">
      <w:pPr>
        <w:spacing w:after="0" w:line="240" w:lineRule="auto"/>
        <w:rPr>
          <w:rFonts w:hint="eastAsia"/>
        </w:rPr>
      </w:pPr>
      <w:r>
        <w:separator/>
      </w:r>
    </w:p>
  </w:footnote>
  <w:footnote w:type="continuationSeparator" w:id="0">
    <w:p w14:paraId="6B09217A" w14:textId="77777777" w:rsidR="001B11CC" w:rsidRDefault="001B11C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3485" w14:textId="77777777" w:rsidR="009557B0" w:rsidRDefault="00000000">
    <w:pPr>
      <w:pStyle w:val="Header"/>
      <w:jc w:val="right"/>
      <w:rPr>
        <w:rFonts w:hint="eastAsia"/>
      </w:rPr>
    </w:pPr>
    <w:r>
      <w:rPr>
        <w:color w:val="666666"/>
        <w:sz w:val="17"/>
      </w:rPr>
      <w:t>Calibration Certificate - PT100 Temperature Datalogger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291">
    <w:abstractNumId w:val="8"/>
  </w:num>
  <w:num w:numId="2" w16cid:durableId="1450859523">
    <w:abstractNumId w:val="6"/>
  </w:num>
  <w:num w:numId="3" w16cid:durableId="398404711">
    <w:abstractNumId w:val="5"/>
  </w:num>
  <w:num w:numId="4" w16cid:durableId="1506703729">
    <w:abstractNumId w:val="4"/>
  </w:num>
  <w:num w:numId="5" w16cid:durableId="291520735">
    <w:abstractNumId w:val="7"/>
  </w:num>
  <w:num w:numId="6" w16cid:durableId="1631983659">
    <w:abstractNumId w:val="3"/>
  </w:num>
  <w:num w:numId="7" w16cid:durableId="1361467846">
    <w:abstractNumId w:val="2"/>
  </w:num>
  <w:num w:numId="8" w16cid:durableId="317617147">
    <w:abstractNumId w:val="1"/>
  </w:num>
  <w:num w:numId="9" w16cid:durableId="85061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CC"/>
    <w:rsid w:val="001F7FCA"/>
    <w:rsid w:val="0029639D"/>
    <w:rsid w:val="00326F90"/>
    <w:rsid w:val="00365BE4"/>
    <w:rsid w:val="003A6953"/>
    <w:rsid w:val="004131CC"/>
    <w:rsid w:val="0042286D"/>
    <w:rsid w:val="00537553"/>
    <w:rsid w:val="0058113C"/>
    <w:rsid w:val="0072607A"/>
    <w:rsid w:val="00891EFB"/>
    <w:rsid w:val="009557B0"/>
    <w:rsid w:val="00AA1D8D"/>
    <w:rsid w:val="00B47730"/>
    <w:rsid w:val="00B95B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64C79"/>
  <w14:defaultImageDpi w14:val="300"/>
  <w15:docId w15:val="{7C45D6CE-A373-4C0A-B8E9-08707732B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365BE4"/>
    <w:pPr>
      <w:keepNext/>
      <w:keepLines/>
      <w:spacing w:before="480" w:after="0"/>
      <w:outlineLvl w:val="0"/>
    </w:pPr>
    <w:rPr>
      <w:rFonts w:asciiTheme="majorHAnsi" w:eastAsiaTheme="majorEastAsia" w:hAnsiTheme="majorHAnsi" w:cstheme="majorBidi"/>
      <w:b/>
      <w:bCs/>
      <w:color w:val="4886A1"/>
      <w:sz w:val="25"/>
      <w:szCs w:val="28"/>
    </w:rPr>
  </w:style>
  <w:style w:type="paragraph" w:styleId="Heading2">
    <w:name w:val="heading 2"/>
    <w:basedOn w:val="Normal"/>
    <w:next w:val="Normal"/>
    <w:link w:val="Heading2Char"/>
    <w:uiPriority w:val="9"/>
    <w:unhideWhenUsed/>
    <w:qFormat/>
    <w:rsid w:val="00365BE4"/>
    <w:pPr>
      <w:keepNext/>
      <w:keepLines/>
      <w:spacing w:before="200" w:after="0"/>
      <w:outlineLvl w:val="1"/>
    </w:pPr>
    <w:rPr>
      <w:rFonts w:asciiTheme="majorHAnsi" w:eastAsiaTheme="majorEastAsia" w:hAnsiTheme="majorHAnsi" w:cstheme="majorBidi"/>
      <w:b/>
      <w:bCs/>
      <w:color w:val="4886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5BE4"/>
    <w:rPr>
      <w:rFonts w:asciiTheme="majorHAnsi" w:eastAsiaTheme="majorEastAsia" w:hAnsiTheme="majorHAnsi" w:cstheme="majorBidi"/>
      <w:b/>
      <w:bCs/>
      <w:color w:val="4886A1"/>
      <w:sz w:val="25"/>
      <w:szCs w:val="28"/>
    </w:rPr>
  </w:style>
  <w:style w:type="character" w:customStyle="1" w:styleId="Heading2Char">
    <w:name w:val="Heading 2 Char"/>
    <w:basedOn w:val="DefaultParagraphFont"/>
    <w:link w:val="Heading2"/>
    <w:uiPriority w:val="9"/>
    <w:rsid w:val="00365BE4"/>
    <w:rPr>
      <w:rFonts w:asciiTheme="majorHAnsi" w:eastAsiaTheme="majorEastAsia" w:hAnsiTheme="majorHAnsi" w:cstheme="majorBidi"/>
      <w:b/>
      <w:bCs/>
      <w:color w:val="4886A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365BE4"/>
    <w:pPr>
      <w:pBdr>
        <w:bottom w:val="single" w:sz="8" w:space="4" w:color="4F81BD" w:themeColor="accent1"/>
      </w:pBdr>
      <w:spacing w:after="300" w:line="240" w:lineRule="auto"/>
      <w:contextualSpacing/>
    </w:pPr>
    <w:rPr>
      <w:rFonts w:asciiTheme="majorHAnsi" w:eastAsiaTheme="majorEastAsia" w:hAnsiTheme="majorHAnsi" w:cstheme="majorBidi"/>
      <w:color w:val="0E342E"/>
      <w:spacing w:val="5"/>
      <w:kern w:val="28"/>
      <w:sz w:val="36"/>
      <w:szCs w:val="52"/>
    </w:rPr>
  </w:style>
  <w:style w:type="character" w:customStyle="1" w:styleId="TitleChar">
    <w:name w:val="Title Char"/>
    <w:basedOn w:val="DefaultParagraphFont"/>
    <w:link w:val="Title"/>
    <w:uiPriority w:val="10"/>
    <w:rsid w:val="00365BE4"/>
    <w:rPr>
      <w:rFonts w:asciiTheme="majorHAnsi" w:eastAsiaTheme="majorEastAsia" w:hAnsiTheme="majorHAnsi" w:cstheme="majorBidi"/>
      <w:color w:val="0E342E"/>
      <w:spacing w:val="5"/>
      <w:kern w:val="28"/>
      <w:sz w:val="3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811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987</TotalTime>
  <Pages>4</Pages>
  <Words>1232</Words>
  <Characters>7027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Susmilch</cp:lastModifiedBy>
  <cp:revision>5</cp:revision>
  <dcterms:created xsi:type="dcterms:W3CDTF">2013-12-23T23:15:00Z</dcterms:created>
  <dcterms:modified xsi:type="dcterms:W3CDTF">2026-04-21T19:41:00Z</dcterms:modified>
  <cp:category/>
</cp:coreProperties>
</file>