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37" w:rsidRPr="006F4E42" w:rsidRDefault="00192437" w:rsidP="00192437">
      <w:pPr>
        <w:pStyle w:val="BodyText"/>
        <w:spacing w:before="27" w:line="360" w:lineRule="auto"/>
        <w:ind w:left="4055" w:right="405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Resume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t>5</w:t>
      </w:r>
    </w:p>
    <w:p w:rsidR="00192437" w:rsidRDefault="00192437" w:rsidP="00192437">
      <w:pPr>
        <w:spacing w:before="5"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7016"/>
      </w:tblGrid>
      <w:tr w:rsidR="00192437" w:rsidTr="002337FC">
        <w:trPr>
          <w:trHeight w:val="537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7016" w:type="dxa"/>
          </w:tcPr>
          <w:p w:rsidR="00192437" w:rsidRPr="006F4E42" w:rsidRDefault="00192437" w:rsidP="002337FC">
            <w:pPr>
              <w:pStyle w:val="TableParagraph"/>
              <w:spacing w:line="360" w:lineRule="auto"/>
              <w:ind w:right="1063"/>
              <w:rPr>
                <w:rFonts w:ascii="Times New Roman" w:hAnsi="Times New Roman" w:cs="Times New Roman"/>
                <w:sz w:val="24"/>
                <w:szCs w:val="24"/>
              </w:rPr>
            </w:pPr>
            <w:r w:rsidRPr="006F4E42">
              <w:rPr>
                <w:rFonts w:ascii="Times New Roman" w:hAnsi="Times New Roman" w:cs="Times New Roman"/>
                <w:sz w:val="24"/>
                <w:szCs w:val="24"/>
              </w:rPr>
              <w:t>Governance of Data Implementation Analysis Based on Standard: Case Study Local Government of Daerah Istimewa Yogyakarta</w:t>
            </w:r>
          </w:p>
        </w:tc>
      </w:tr>
      <w:tr w:rsidR="00192437" w:rsidTr="002337FC">
        <w:trPr>
          <w:trHeight w:val="266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7016" w:type="dxa"/>
          </w:tcPr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(JTIIK)</w:t>
            </w:r>
          </w:p>
        </w:tc>
      </w:tr>
      <w:tr w:rsidR="00192437" w:rsidTr="002337FC">
        <w:trPr>
          <w:trHeight w:val="268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7016" w:type="dxa"/>
          </w:tcPr>
          <w:p w:rsidR="00192437" w:rsidRPr="00497B41" w:rsidRDefault="00192437" w:rsidP="002337FC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Hal 217-224</w:t>
            </w:r>
          </w:p>
        </w:tc>
      </w:tr>
      <w:tr w:rsidR="00192437" w:rsidTr="002337FC">
        <w:trPr>
          <w:trHeight w:val="268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016" w:type="dxa"/>
          </w:tcPr>
          <w:p w:rsidR="00192437" w:rsidRDefault="00192437" w:rsidP="002337FC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192437" w:rsidTr="002337FC">
        <w:trPr>
          <w:trHeight w:val="537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016" w:type="dxa"/>
          </w:tcPr>
          <w:p w:rsidR="00192437" w:rsidRPr="00497B41" w:rsidRDefault="00192437" w:rsidP="002337FC">
            <w:pPr>
              <w:pStyle w:val="TableParagraph"/>
              <w:spacing w:line="360" w:lineRule="auto"/>
              <w:ind w:right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Yan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Andriariza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Ambhita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Sukma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Indrawati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Reza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Zulfikar</w:t>
            </w:r>
            <w:proofErr w:type="spellEnd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B41">
              <w:rPr>
                <w:rFonts w:ascii="Times New Roman" w:hAnsi="Times New Roman" w:cs="Times New Roman"/>
                <w:sz w:val="24"/>
                <w:szCs w:val="24"/>
              </w:rPr>
              <w:t>Ruslam</w:t>
            </w:r>
            <w:proofErr w:type="spellEnd"/>
          </w:p>
        </w:tc>
      </w:tr>
      <w:tr w:rsidR="00192437" w:rsidTr="002337FC">
        <w:trPr>
          <w:trHeight w:val="803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7016" w:type="dxa"/>
          </w:tcPr>
          <w:p w:rsidR="00192437" w:rsidRPr="00487C06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proofErr w:type="gram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data di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DIY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92437" w:rsidTr="002337FC">
        <w:trPr>
          <w:trHeight w:val="537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016" w:type="dxa"/>
          </w:tcPr>
          <w:p w:rsidR="00192437" w:rsidRPr="00487C06" w:rsidRDefault="00192437" w:rsidP="002337FC">
            <w:pPr>
              <w:pStyle w:val="TableParagraph"/>
              <w:spacing w:line="360" w:lineRule="auto"/>
              <w:ind w:right="2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proofErr w:type="gram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data di </w:t>
            </w:r>
            <w:proofErr w:type="spellStart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487C06">
              <w:rPr>
                <w:rFonts w:ascii="Times New Roman" w:hAnsi="Times New Roman" w:cs="Times New Roman"/>
                <w:sz w:val="24"/>
                <w:szCs w:val="24"/>
              </w:rPr>
              <w:t xml:space="preserve"> DIY.</w:t>
            </w:r>
          </w:p>
        </w:tc>
      </w:tr>
      <w:tr w:rsidR="00192437" w:rsidTr="002337FC">
        <w:trPr>
          <w:trHeight w:val="803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016" w:type="dxa"/>
          </w:tcPr>
          <w:p w:rsidR="00192437" w:rsidRPr="00B63C39" w:rsidRDefault="00192437" w:rsidP="002337FC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kesenjangan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ISO/IEC 38505-1 Information technology — Governance of IT — Governance of data — Part 1: Application of ISO/IEC 38500 to the governance of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</w:p>
        </w:tc>
      </w:tr>
      <w:tr w:rsidR="00192437" w:rsidTr="002337FC">
        <w:trPr>
          <w:trHeight w:val="537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016" w:type="dxa"/>
          </w:tcPr>
          <w:p w:rsidR="00192437" w:rsidRPr="00B63C39" w:rsidRDefault="00192437" w:rsidP="002337FC">
            <w:pPr>
              <w:pStyle w:val="TableParagraph"/>
              <w:spacing w:line="360" w:lineRule="auto"/>
              <w:ind w:right="5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kesenjangan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standar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ISO/IEC 38505-1:2017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Pergub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DIY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2018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disajikan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1.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Perbandingan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aspek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risiko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batasan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Sedangkan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area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perbandingan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akuntabilitas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: collect, store, report, decide, distribute,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dispose.</w:t>
            </w:r>
          </w:p>
        </w:tc>
      </w:tr>
      <w:tr w:rsidR="00192437" w:rsidTr="002337FC">
        <w:trPr>
          <w:trHeight w:val="534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Kelemahan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016" w:type="dxa"/>
          </w:tcPr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proofErr w:type="gramStart"/>
            <w:r w:rsidRPr="00B63C39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proofErr w:type="gram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menyertakan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pertimbangan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batasan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privasi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transparansi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data.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pertimbangan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batasan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khususnya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prioritas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mempengaruhi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B63C39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63C39">
              <w:rPr>
                <w:rFonts w:ascii="Times New Roman" w:hAnsi="Times New Roman" w:cs="Times New Roman"/>
                <w:sz w:val="24"/>
              </w:rPr>
              <w:lastRenderedPageBreak/>
              <w:t>dihasilkan</w:t>
            </w:r>
            <w:proofErr w:type="spellEnd"/>
          </w:p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192437" w:rsidRPr="00B87AF2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92437" w:rsidTr="002337FC">
        <w:trPr>
          <w:trHeight w:val="537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Kelebihan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016" w:type="dxa"/>
          </w:tcPr>
          <w:p w:rsidR="00192437" w:rsidRPr="004A327F" w:rsidRDefault="00192437" w:rsidP="002337FC">
            <w:pPr>
              <w:pStyle w:val="TableParagraph"/>
              <w:spacing w:line="360" w:lineRule="auto"/>
              <w:ind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4A327F">
              <w:rPr>
                <w:rFonts w:ascii="Times New Roman" w:hAnsi="Times New Roman" w:cs="Times New Roman"/>
                <w:sz w:val="24"/>
              </w:rPr>
              <w:t xml:space="preserve">Tata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kelola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 (good governance of data)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 di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berdampak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kinerja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kesesuaian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kewajiban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kontrak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penanganan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diterima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92437" w:rsidTr="002337FC">
        <w:trPr>
          <w:trHeight w:val="803"/>
        </w:trPr>
        <w:tc>
          <w:tcPr>
            <w:tcW w:w="2339" w:type="dxa"/>
          </w:tcPr>
          <w:p w:rsidR="00192437" w:rsidRDefault="00192437" w:rsidP="002337FC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7016" w:type="dxa"/>
          </w:tcPr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-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Menyertakan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pertimbangan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batasan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privasi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transparansi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-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</w:t>
            </w:r>
            <w:r>
              <w:rPr>
                <w:rFonts w:ascii="Times New Roman" w:hAnsi="Times New Roman" w:cs="Times New Roman"/>
                <w:sz w:val="24"/>
              </w:rPr>
              <w:t>nerapkan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konteks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data.</w:t>
            </w:r>
          </w:p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-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Menetapkan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hubun</w:t>
            </w:r>
            <w:r>
              <w:rPr>
                <w:rFonts w:ascii="Times New Roman" w:hAnsi="Times New Roman" w:cs="Times New Roman"/>
                <w:sz w:val="24"/>
              </w:rPr>
              <w:t>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batasannya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92437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-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Menetapkan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mekanisme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khususn</w:t>
            </w:r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92437" w:rsidRPr="004A327F" w:rsidRDefault="00192437" w:rsidP="002337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-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Menetapkan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kebijakan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4A327F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4A327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92437" w:rsidRDefault="00192437" w:rsidP="00192437">
      <w:pPr>
        <w:spacing w:line="360" w:lineRule="auto"/>
        <w:rPr>
          <w:rFonts w:ascii="Times New Roman" w:hAnsi="Times New Roman" w:cs="Times New Roman"/>
        </w:rPr>
      </w:pPr>
    </w:p>
    <w:p w:rsidR="00125E9A" w:rsidRDefault="00192437" w:rsidP="00192437">
      <w:proofErr w:type="gramStart"/>
      <w:r>
        <w:rPr>
          <w:rFonts w:ascii="Times New Roman" w:hAnsi="Times New Roman" w:cs="Times New Roman"/>
        </w:rPr>
        <w:t>Source :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r w:rsidRPr="002D0418">
        <w:rPr>
          <w:rFonts w:ascii="Times New Roman" w:hAnsi="Times New Roman" w:cs="Times New Roman"/>
          <w:lang w:val="id-ID"/>
        </w:rPr>
        <w:t>https://ppis.bsn.go.id/downloads/2020/ANALISIS%20PENERAPAN%20TATA%20KELOLA%20DATA%20BERDASARKAN%20STANDAR%20STUDI%20KASUS%20PEMDA%20DAERAH%20ISTIMEWA%20YOGYAKARTA.pdf</w:t>
      </w:r>
      <w:bookmarkStart w:id="0" w:name="_GoBack"/>
      <w:bookmarkEnd w:id="0"/>
    </w:p>
    <w:sectPr w:rsidR="00125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37"/>
    <w:rsid w:val="00125E9A"/>
    <w:rsid w:val="001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37"/>
    <w:pPr>
      <w:spacing w:after="0" w:line="240" w:lineRule="auto"/>
    </w:pPr>
    <w:rPr>
      <w:rFonts w:ascii="Calibri" w:eastAsia="Calibri" w:hAnsi="Calibri" w:cs="SimSu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2437"/>
    <w:pPr>
      <w:widowControl w:val="0"/>
      <w:autoSpaceDE w:val="0"/>
      <w:autoSpaceDN w:val="0"/>
    </w:pPr>
    <w:rPr>
      <w:rFonts w:cs="Calibri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92437"/>
    <w:rPr>
      <w:rFonts w:ascii="Calibri" w:eastAsia="Calibri" w:hAnsi="Calibri" w:cs="Calibri"/>
      <w:b/>
      <w:bCs/>
      <w:lang w:val="en-ID"/>
    </w:rPr>
  </w:style>
  <w:style w:type="paragraph" w:customStyle="1" w:styleId="TableParagraph">
    <w:name w:val="Table Paragraph"/>
    <w:basedOn w:val="Normal"/>
    <w:uiPriority w:val="1"/>
    <w:qFormat/>
    <w:rsid w:val="00192437"/>
    <w:pPr>
      <w:widowControl w:val="0"/>
      <w:autoSpaceDE w:val="0"/>
      <w:autoSpaceDN w:val="0"/>
      <w:ind w:left="104"/>
    </w:pPr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37"/>
    <w:pPr>
      <w:spacing w:after="0" w:line="240" w:lineRule="auto"/>
    </w:pPr>
    <w:rPr>
      <w:rFonts w:ascii="Calibri" w:eastAsia="Calibri" w:hAnsi="Calibri" w:cs="SimSu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2437"/>
    <w:pPr>
      <w:widowControl w:val="0"/>
      <w:autoSpaceDE w:val="0"/>
      <w:autoSpaceDN w:val="0"/>
    </w:pPr>
    <w:rPr>
      <w:rFonts w:cs="Calibri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92437"/>
    <w:rPr>
      <w:rFonts w:ascii="Calibri" w:eastAsia="Calibri" w:hAnsi="Calibri" w:cs="Calibri"/>
      <w:b/>
      <w:bCs/>
      <w:lang w:val="en-ID"/>
    </w:rPr>
  </w:style>
  <w:style w:type="paragraph" w:customStyle="1" w:styleId="TableParagraph">
    <w:name w:val="Table Paragraph"/>
    <w:basedOn w:val="Normal"/>
    <w:uiPriority w:val="1"/>
    <w:qFormat/>
    <w:rsid w:val="00192437"/>
    <w:pPr>
      <w:widowControl w:val="0"/>
      <w:autoSpaceDE w:val="0"/>
      <w:autoSpaceDN w:val="0"/>
      <w:ind w:left="104"/>
    </w:pPr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2022-11-03T12:24:00Z</dcterms:created>
  <dcterms:modified xsi:type="dcterms:W3CDTF">2022-11-03T12:25:00Z</dcterms:modified>
</cp:coreProperties>
</file>