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A8AF6" w14:textId="396796EA" w:rsidR="00866277" w:rsidRPr="00AD55B4" w:rsidRDefault="008F26C1" w:rsidP="006B3D2B">
      <w:pPr>
        <w:pStyle w:val="IOP-CS-Title"/>
        <w:rPr>
          <w:rFonts w:ascii="Cambria" w:hAnsi="Cambria"/>
        </w:rPr>
      </w:pPr>
      <w:r w:rsidRPr="008F26C1">
        <w:rPr>
          <w:rFonts w:ascii="Cambria" w:hAnsi="Cambria"/>
        </w:rPr>
        <w:t xml:space="preserve">Life Cycle Assessment of Small-Scale Tofu Production in Semarang City: Hotspot </w:t>
      </w:r>
      <w:r w:rsidR="007E262D">
        <w:rPr>
          <w:rFonts w:ascii="Cambria" w:hAnsi="Cambria"/>
        </w:rPr>
        <w:t>Analysis</w:t>
      </w:r>
      <w:r w:rsidRPr="008F26C1">
        <w:rPr>
          <w:rFonts w:ascii="Cambria" w:hAnsi="Cambria"/>
        </w:rPr>
        <w:t xml:space="preserve"> Using CML-IA and AWARE Methods</w:t>
      </w:r>
    </w:p>
    <w:p w14:paraId="2A13FE35" w14:textId="3744E9F8" w:rsidR="00D1709E" w:rsidRPr="00AD55B4" w:rsidRDefault="008F26C1" w:rsidP="005451D6">
      <w:pPr>
        <w:spacing w:after="240"/>
        <w:ind w:left="1418"/>
        <w:rPr>
          <w:rFonts w:ascii="Cambria" w:hAnsi="Cambria"/>
          <w:b/>
          <w:bCs/>
        </w:rPr>
      </w:pPr>
      <w:r>
        <w:rPr>
          <w:rFonts w:ascii="Cambria" w:hAnsi="Cambria"/>
          <w:b/>
          <w:bCs/>
        </w:rPr>
        <w:t>Abdul Jabbar</w:t>
      </w:r>
      <w:r w:rsidRPr="008F26C1">
        <w:rPr>
          <w:rFonts w:ascii="Cambria" w:hAnsi="Cambria"/>
          <w:b/>
          <w:bCs/>
          <w:vertAlign w:val="superscript"/>
        </w:rPr>
        <w:t>1</w:t>
      </w:r>
      <w:r w:rsidR="00CD704C" w:rsidRPr="00AD55B4">
        <w:rPr>
          <w:rFonts w:ascii="Cambria" w:hAnsi="Cambria"/>
          <w:b/>
          <w:bCs/>
        </w:rPr>
        <w:t>,</w:t>
      </w:r>
      <w:r w:rsidR="00C86A8C" w:rsidRPr="00AD55B4">
        <w:rPr>
          <w:rFonts w:ascii="Cambria" w:hAnsi="Cambria"/>
          <w:b/>
          <w:bCs/>
        </w:rPr>
        <w:t xml:space="preserve"> </w:t>
      </w:r>
      <w:r>
        <w:rPr>
          <w:rFonts w:ascii="Cambria" w:hAnsi="Cambria"/>
          <w:b/>
          <w:bCs/>
        </w:rPr>
        <w:t>Putri Alifa Kholil</w:t>
      </w:r>
      <w:r w:rsidRPr="008F26C1">
        <w:rPr>
          <w:rFonts w:ascii="Cambria" w:hAnsi="Cambria"/>
          <w:b/>
          <w:bCs/>
          <w:vertAlign w:val="superscript"/>
        </w:rPr>
        <w:t>1</w:t>
      </w:r>
      <w:r w:rsidRPr="00AD55B4">
        <w:rPr>
          <w:rFonts w:ascii="Cambria" w:hAnsi="Cambria"/>
          <w:b/>
          <w:bCs/>
          <w:vertAlign w:val="superscript"/>
        </w:rPr>
        <w:t>*</w:t>
      </w:r>
      <w:r w:rsidR="00C86A8C" w:rsidRPr="00AD55B4">
        <w:rPr>
          <w:rFonts w:ascii="Cambria" w:hAnsi="Cambria"/>
          <w:b/>
          <w:bCs/>
        </w:rPr>
        <w:t xml:space="preserve"> and </w:t>
      </w:r>
      <w:r>
        <w:rPr>
          <w:rFonts w:ascii="Cambria" w:hAnsi="Cambria"/>
          <w:b/>
          <w:bCs/>
        </w:rPr>
        <w:t>Desiana Fitri Awati</w:t>
      </w:r>
      <w:r>
        <w:rPr>
          <w:rFonts w:ascii="Cambria" w:hAnsi="Cambria"/>
          <w:b/>
          <w:bCs/>
          <w:vertAlign w:val="superscript"/>
        </w:rPr>
        <w:t>1</w:t>
      </w:r>
    </w:p>
    <w:p w14:paraId="7015DE37" w14:textId="4EB7E6EC" w:rsidR="00A05FF8" w:rsidRPr="00AD55B4" w:rsidRDefault="00207B84" w:rsidP="000B2CE3">
      <w:pPr>
        <w:pStyle w:val="IOP-CS-Affiliation"/>
      </w:pPr>
      <w:r w:rsidRPr="00AD55B4">
        <w:rPr>
          <w:vertAlign w:val="superscript"/>
        </w:rPr>
        <w:t xml:space="preserve">1 </w:t>
      </w:r>
      <w:r w:rsidR="00F70EEF">
        <w:t>Study Program of Environmental Science,</w:t>
      </w:r>
      <w:r w:rsidR="007E262D">
        <w:t xml:space="preserve"> </w:t>
      </w:r>
      <w:r w:rsidR="00F70EEF">
        <w:t>Faculty</w:t>
      </w:r>
      <w:r w:rsidR="007E262D">
        <w:t xml:space="preserve"> of Mathematics and Natural Sciences, Universitas Negeri Semarang, Semarang, Indonesia</w:t>
      </w:r>
    </w:p>
    <w:p w14:paraId="2B281CF0" w14:textId="77777777" w:rsidR="00A05FF8" w:rsidRPr="00AD55B4" w:rsidRDefault="00A05FF8" w:rsidP="000B2CE3">
      <w:pPr>
        <w:pStyle w:val="IOP-CS-Affiliation"/>
      </w:pPr>
    </w:p>
    <w:p w14:paraId="413D2FF3" w14:textId="250DA986" w:rsidR="00207B84" w:rsidRPr="00AD55B4" w:rsidRDefault="00825615" w:rsidP="000B2CE3">
      <w:pPr>
        <w:pStyle w:val="IOP-CS-Affiliation"/>
      </w:pPr>
      <w:r w:rsidRPr="00AD55B4">
        <w:rPr>
          <w:vertAlign w:val="superscript"/>
        </w:rPr>
        <w:t>*</w:t>
      </w:r>
      <w:r w:rsidR="004A2048" w:rsidRPr="00AD55B4">
        <w:t xml:space="preserve">E-mail: </w:t>
      </w:r>
      <w:r w:rsidR="00F70EEF">
        <w:t>putrialifa@mail.unnes.ac.id</w:t>
      </w:r>
    </w:p>
    <w:p w14:paraId="4A2DDE22" w14:textId="77777777" w:rsidR="005D53A8" w:rsidRPr="00AD55B4" w:rsidRDefault="005D53A8" w:rsidP="000B2CE3">
      <w:pPr>
        <w:pStyle w:val="IOP-CS-Affiliation"/>
      </w:pPr>
    </w:p>
    <w:p w14:paraId="278F47CA" w14:textId="6F05A11E" w:rsidR="005D4735" w:rsidRPr="00AD55B4" w:rsidRDefault="005D53A8" w:rsidP="005D4735">
      <w:pPr>
        <w:pStyle w:val="IOP-CS-Affiliation"/>
        <w:spacing w:after="360"/>
        <w:jc w:val="both"/>
        <w:rPr>
          <w:rStyle w:val="IOP-CS-AbstractChar"/>
          <w:sz w:val="22"/>
          <w:szCs w:val="22"/>
        </w:rPr>
      </w:pPr>
      <w:r w:rsidRPr="00AD55B4">
        <w:rPr>
          <w:b/>
          <w:bCs/>
          <w:sz w:val="22"/>
          <w:szCs w:val="22"/>
        </w:rPr>
        <w:t xml:space="preserve">Abstract. </w:t>
      </w:r>
      <w:r w:rsidR="005F4BE0" w:rsidRPr="00AD55B4">
        <w:rPr>
          <w:rStyle w:val="IOP-CS-AbstractChar"/>
          <w:sz w:val="22"/>
          <w:szCs w:val="22"/>
        </w:rPr>
        <w:t xml:space="preserve">The tofu industry is one of the most important food industries in Indonesia, given its high consumption rate and nutritional value. However, the environmental impacts of each production stage have not been comprehensively identified. Life Cycle Assessment (LCA) with a gate-to-gate system boundary was applied to evaluate the environmental impacts of tofu production at a small and medium sized enterprise (SME) in Semarang City. The LCA was conducted using SimaPro 10.3 software with the CML-IA Baseline impact assessment method, covering five impact categories: Global Warming Potential (GWP), Ozone Layer Depletion (ODP), Fresh Water Aquatic Ecotoxicity (FAET), Acidification, and Eutrophication. Water use was assessed using the AWARE method. The results demonstrate that the washing and boiling stages are the primary contributors to environmental impacts. Normalization results indicate that Fresh Water Aquatic Ecotoxicity is the most dominant impact category (1.33 × 10³ kg 1,4-DB eq), followed by Global Warming Potential (5.28 × 10³ kg CO₂ eq). The main environmental hotspots are the organic wastewater from washing, soaking, and coagulation stages, as well as firewood combustion during boiling. Recommended improvement strategies include wastewater treatment systems, water recycling, and fuel substitution. </w:t>
      </w:r>
      <w:r w:rsidR="002F264E" w:rsidRPr="00AD55B4">
        <w:rPr>
          <w:rStyle w:val="IOP-CS-AbstractChar"/>
          <w:sz w:val="22"/>
          <w:szCs w:val="22"/>
        </w:rPr>
        <w:t>This study provides useful insights for improving environmental performance and supporting sustainable production practices in the tofu industry of Semarang City.</w:t>
      </w:r>
    </w:p>
    <w:p w14:paraId="24248455" w14:textId="77777777" w:rsidR="00A761A2" w:rsidRPr="00AD55B4" w:rsidRDefault="00A761A2">
      <w:pPr>
        <w:rPr>
          <w:rFonts w:ascii="Cambria" w:hAnsi="Cambria"/>
          <w:b/>
          <w:bCs/>
        </w:rPr>
      </w:pPr>
      <w:r w:rsidRPr="00AD55B4">
        <w:rPr>
          <w:rFonts w:ascii="Cambria" w:hAnsi="Cambria"/>
        </w:rPr>
        <w:br w:type="page"/>
      </w:r>
    </w:p>
    <w:p w14:paraId="6141501A" w14:textId="316B3E58" w:rsidR="001A2DA8" w:rsidRPr="00AD55B4" w:rsidRDefault="00E13BB8" w:rsidP="005C75D8">
      <w:pPr>
        <w:pStyle w:val="IOP-CS-SectionHead"/>
      </w:pPr>
      <w:r w:rsidRPr="00AD55B4">
        <w:lastRenderedPageBreak/>
        <w:t xml:space="preserve">1. </w:t>
      </w:r>
      <w:r w:rsidR="00FC5377" w:rsidRPr="00AD55B4">
        <w:t>Introduction</w:t>
      </w:r>
      <w:r w:rsidR="00D4463B" w:rsidRPr="00AD55B4">
        <w:t xml:space="preserve"> </w:t>
      </w:r>
    </w:p>
    <w:p w14:paraId="7A59CB88" w14:textId="46BE4E50" w:rsidR="001F6204" w:rsidRPr="00AD55B4" w:rsidRDefault="001F6204" w:rsidP="004D391B">
      <w:pPr>
        <w:widowControl w:val="0"/>
        <w:autoSpaceDE w:val="0"/>
        <w:autoSpaceDN w:val="0"/>
        <w:adjustRightInd w:val="0"/>
        <w:spacing w:after="0" w:line="240" w:lineRule="auto"/>
        <w:jc w:val="both"/>
        <w:rPr>
          <w:noProof/>
        </w:rPr>
      </w:pPr>
      <w:bookmarkStart w:id="0" w:name="_Hlk221516626"/>
      <w:r w:rsidRPr="00AD55B4">
        <w:rPr>
          <w:rFonts w:ascii="Cambria" w:hAnsi="Cambria"/>
          <w:noProof/>
        </w:rPr>
        <w:t>Industrial activity is one of the primary drivers of global economic growth</w:t>
      </w:r>
      <w:r w:rsidR="00AD55B4">
        <w:rPr>
          <w:rFonts w:ascii="Cambria" w:hAnsi="Cambria"/>
          <w:noProof/>
        </w:rPr>
        <w:t xml:space="preserve">[1]. </w:t>
      </w:r>
      <w:r w:rsidRPr="00AD55B4">
        <w:rPr>
          <w:rFonts w:ascii="Cambria" w:hAnsi="Cambria"/>
          <w:noProof/>
        </w:rPr>
        <w:t>The tofu industry represents a significant food-processing sector in Indonesia owing to its high consumption rate and notable nutritional value</w:t>
      </w:r>
      <w:r w:rsidR="004D391B">
        <w:rPr>
          <w:rFonts w:ascii="Cambria" w:hAnsi="Cambria"/>
          <w:noProof/>
        </w:rPr>
        <w:t xml:space="preserve">. </w:t>
      </w:r>
      <w:r w:rsidRPr="00AD55B4">
        <w:rPr>
          <w:rFonts w:ascii="Cambria" w:hAnsi="Cambria"/>
          <w:noProof/>
        </w:rPr>
        <w:t xml:space="preserve">According to Statistics Indonesia (BPS), the average per capita tofu consumption in Indonesia reached approximately 0.163 kg per week in 2024, indicating that tofu remains a staple food in many Indonesian households </w:t>
      </w:r>
      <w:r w:rsidR="004D391B">
        <w:rPr>
          <w:rFonts w:ascii="Cambria" w:hAnsi="Cambria"/>
          <w:noProof/>
        </w:rPr>
        <w:t>[2]</w:t>
      </w:r>
      <w:r w:rsidRPr="00AD55B4">
        <w:rPr>
          <w:rFonts w:ascii="Cambria" w:hAnsi="Cambria"/>
          <w:noProof/>
        </w:rPr>
        <w:t xml:space="preserve">. This high demand has driven increased production activity, resulting in greater resource and energy consumption, as well as the generation of waste and emissions that may cause environmental pollution if not properly managed </w:t>
      </w:r>
      <w:r w:rsidR="004D391B">
        <w:rPr>
          <w:rFonts w:ascii="Cambria" w:hAnsi="Cambria"/>
          <w:noProof/>
        </w:rPr>
        <w:t>[3]</w:t>
      </w:r>
      <w:r w:rsidR="0072254E" w:rsidRPr="00AD55B4">
        <w:rPr>
          <w:rFonts w:ascii="Cambria" w:hAnsi="Cambria" w:cs="Times New Roman"/>
        </w:rPr>
        <w:t xml:space="preserve">. </w:t>
      </w:r>
      <w:bookmarkEnd w:id="0"/>
      <w:r w:rsidRPr="00AD55B4">
        <w:rPr>
          <w:rFonts w:ascii="Cambria" w:hAnsi="Cambria" w:cs="Times New Roman"/>
        </w:rPr>
        <w:t>Such impacts are also evident in river water quality, as the discharge of industrial wastewater can cause Biochemical Oxygen Demand (BOD) and Chemical Oxygen Demand (COD) levels to exceed regulatory standards. For instance, in the case of the tofu industry in Mojokerto, liquid waste was reported to contain BOD levels exceeding 2,000 mg/L and COD levels exceeding 5,000 mg/L</w:t>
      </w:r>
      <w:r w:rsidR="00A21BB0" w:rsidRPr="00AD55B4">
        <w:rPr>
          <w:rFonts w:ascii="Cambria" w:hAnsi="Cambria" w:cs="Times New Roman"/>
        </w:rPr>
        <w:t xml:space="preserve">, </w:t>
      </w:r>
      <w:r w:rsidRPr="00AD55B4">
        <w:rPr>
          <w:rFonts w:ascii="Cambria" w:hAnsi="Cambria" w:cs="Times New Roman"/>
        </w:rPr>
        <w:t xml:space="preserve">far above the standard thresholds of approximately 50–100 mg/L (Putri et al., 2024). Furthermore, the environmental impacts associated with each stage of tofu production have not yet been comprehensively identified </w:t>
      </w:r>
      <w:r w:rsidR="004D391B">
        <w:rPr>
          <w:rFonts w:ascii="Cambria" w:hAnsi="Cambria" w:cs="Times New Roman"/>
        </w:rPr>
        <w:t>[4].</w:t>
      </w:r>
      <w:r w:rsidRPr="00AD55B4">
        <w:rPr>
          <w:rFonts w:ascii="Cambria" w:hAnsi="Cambria" w:cs="Times New Roman"/>
        </w:rPr>
        <w:t xml:space="preserve"> Therefore, a comprehensive approach such as Life Cycle Assessment (LCA) is required to evaluate the environmental impacts of tofu production processes </w:t>
      </w:r>
      <w:r w:rsidR="004D391B">
        <w:rPr>
          <w:rFonts w:ascii="Cambria" w:hAnsi="Cambria" w:cs="Times New Roman"/>
        </w:rPr>
        <w:t>[5].</w:t>
      </w:r>
    </w:p>
    <w:p w14:paraId="3A3ADBBB" w14:textId="3A59E22C" w:rsidR="001F6204" w:rsidRPr="00AD55B4" w:rsidRDefault="001F6204" w:rsidP="004D391B">
      <w:pPr>
        <w:pStyle w:val="IOP-CS-BodyNoIndent"/>
        <w:rPr>
          <w:rFonts w:cs="Times New Roman"/>
        </w:rPr>
      </w:pPr>
      <w:r w:rsidRPr="00AD55B4">
        <w:rPr>
          <w:rFonts w:cs="Times New Roman"/>
        </w:rPr>
        <w:t xml:space="preserve">Life Cycle Assessment (LCA) is a method used to systematically evaluate the environmental impacts of a product or process based on all input and output flows throughout its life cycle </w:t>
      </w:r>
      <w:r w:rsidR="004D391B">
        <w:rPr>
          <w:rFonts w:cs="Times New Roman"/>
        </w:rPr>
        <w:t>[6]. T</w:t>
      </w:r>
      <w:r w:rsidRPr="00AD55B4">
        <w:rPr>
          <w:rFonts w:cs="Times New Roman"/>
        </w:rPr>
        <w:t xml:space="preserve">his method is capable of identifying production stages that constitute environmental hotspots, thereby serving as a basis for developing environmental improvement strategies </w:t>
      </w:r>
      <w:r w:rsidR="004D391B">
        <w:rPr>
          <w:rFonts w:cs="Times New Roman"/>
        </w:rPr>
        <w:t xml:space="preserve">[7]. </w:t>
      </w:r>
      <w:r w:rsidRPr="00AD55B4">
        <w:rPr>
          <w:rFonts w:cs="Times New Roman"/>
        </w:rPr>
        <w:t xml:space="preserve">Previous studies have applied LCA to assess the environmental impacts of the tofu industry; however, these studies predominantly focused on climate change impact categories and thus failed to comprehensively evaluate other environmental impacts, such as water pollution loads, water use, and solid waste generation across all production stages </w:t>
      </w:r>
      <w:r w:rsidR="004D391B">
        <w:rPr>
          <w:rFonts w:cs="Times New Roman"/>
        </w:rPr>
        <w:t>[8][9]</w:t>
      </w:r>
      <w:r w:rsidRPr="00AD55B4">
        <w:rPr>
          <w:rFonts w:cs="Times New Roman"/>
        </w:rPr>
        <w:t>. Therefore, this study aims to analyze the environmental impacts of tofu production in Semarang City using an LCA approach with a gate-to-gate system boundary, encompassing stages from washing to packaging, in order to identify environmental hotspots and formulate more sustainable improvement strategies.</w:t>
      </w:r>
    </w:p>
    <w:p w14:paraId="1A7599F1" w14:textId="77777777" w:rsidR="001F6204" w:rsidRPr="00AD55B4" w:rsidRDefault="001F6204" w:rsidP="001F6204">
      <w:pPr>
        <w:pStyle w:val="IOP-CS-BodyNoIndent"/>
        <w:rPr>
          <w:rFonts w:cs="Times New Roman"/>
          <w:i/>
          <w:iCs/>
        </w:rPr>
      </w:pPr>
    </w:p>
    <w:p w14:paraId="4D0A1791" w14:textId="7F0C6B19" w:rsidR="00783DE2" w:rsidRPr="00E734F2" w:rsidRDefault="00D25E3D" w:rsidP="001F6204">
      <w:pPr>
        <w:pStyle w:val="IOP-CS-BodyNoIndent"/>
        <w:rPr>
          <w:rFonts w:cs="Times New Roman"/>
          <w:b/>
          <w:bCs/>
        </w:rPr>
      </w:pPr>
      <w:r w:rsidRPr="00E734F2">
        <w:rPr>
          <w:b/>
          <w:bCs/>
        </w:rPr>
        <w:t xml:space="preserve">2. </w:t>
      </w:r>
      <w:r w:rsidR="00FC5377" w:rsidRPr="00E734F2">
        <w:rPr>
          <w:b/>
          <w:bCs/>
        </w:rPr>
        <w:t>Methods</w:t>
      </w:r>
    </w:p>
    <w:p w14:paraId="01D8EC2A" w14:textId="75B76345" w:rsidR="001F6204" w:rsidRPr="00AD55B4" w:rsidRDefault="00C66A67" w:rsidP="001F6204">
      <w:pPr>
        <w:pStyle w:val="IOP-CS-BodyText"/>
        <w:ind w:firstLine="0"/>
      </w:pPr>
      <w:r w:rsidRPr="00C66A67">
        <w:t>This research utilized a quantitative methodology based on Life Cycle Assessment (LCA) to assess the environmental impacts of tofu production at a small and medium-sized enterprise (SME) in Semarang City. The evaluation was performed in compliance with SNI ISO 14040:2016 and SNI ISO 14044:2016, aligning with the international standards ISO 14040 and ISO 14044, comprising four sequential phases: (1) goal and scope definition, (2) life cycle inventory analysis, (3) life cycle impact assessment, and (4) interpretation. Primary data were obtained through direct field measurements, structured interviews with the facility operator, and on-site documentation of production activities during a complete production batch. Secondary data were obtained from peer-reviewed scientific literature and recognized life cycle inventory databases included in SimaPro 10.3 software, primarily the Ecoinvent v3 database.</w:t>
      </w:r>
    </w:p>
    <w:p w14:paraId="7A2855FA" w14:textId="30208F16" w:rsidR="0057248E" w:rsidRPr="00AD55B4" w:rsidRDefault="009371CA" w:rsidP="0057248E">
      <w:pPr>
        <w:pStyle w:val="IOP-CS-SubsectionHeading"/>
      </w:pPr>
      <w:r w:rsidRPr="00AD55B4">
        <w:t xml:space="preserve">2.1 </w:t>
      </w:r>
      <w:r w:rsidR="0057248E" w:rsidRPr="00AD55B4">
        <w:t>Goal and scope definition</w:t>
      </w:r>
    </w:p>
    <w:p w14:paraId="3E41A465" w14:textId="77777777" w:rsidR="00FF2913" w:rsidRDefault="00FF2913" w:rsidP="00FF2913">
      <w:pPr>
        <w:pStyle w:val="IOP-CS-BodyText"/>
        <w:ind w:firstLine="0"/>
        <w:rPr>
          <w:noProof/>
        </w:rPr>
      </w:pPr>
      <w:r>
        <w:rPr>
          <w:noProof/>
        </w:rPr>
        <w:t>This study aims to assess the impact on the environment of tofu production at the facility level, focusing on water use, energy usage, and waste creation at each production stage. The results aim to identify environmental hotspots and develop focused improvement methods for SME-scale tofu production in Central Java, Indonesia.</w:t>
      </w:r>
    </w:p>
    <w:p w14:paraId="774C9C71" w14:textId="77777777" w:rsidR="00FF2913" w:rsidRDefault="00FF2913" w:rsidP="00FF2913">
      <w:pPr>
        <w:pStyle w:val="IOP-CS-BodyText"/>
        <w:ind w:firstLine="0"/>
        <w:rPr>
          <w:noProof/>
        </w:rPr>
      </w:pPr>
      <w:r>
        <w:rPr>
          <w:noProof/>
        </w:rPr>
        <w:t xml:space="preserve">The functional unit was established as 1 kg of tofu produced, aligning with functional units utilized in similar LCA studies of tofu and soy-based food processing (Hartini et al., 2021; </w:t>
      </w:r>
      <w:r>
        <w:rPr>
          <w:noProof/>
        </w:rPr>
        <w:lastRenderedPageBreak/>
        <w:t>Matsumoto, 2024; Sari et al., 2021). This unit offers a defined benchmark for comparing results with existing literature and guarantees that the evaluated environmental impacts are directly proportionate to the amount of the primary product. All inventory data, initially gathered on a per-batch basis, representing one complete production day with 1,400 kg of soybeans as raw material input and producing 3,681 kg of tofu.</w:t>
      </w:r>
    </w:p>
    <w:p w14:paraId="659845FD" w14:textId="511A8E84" w:rsidR="00B51B69" w:rsidRPr="00AD55B4" w:rsidRDefault="00FF2913" w:rsidP="00FF2913">
      <w:pPr>
        <w:pStyle w:val="IOP-CS-BodyText"/>
        <w:ind w:firstLine="0"/>
        <w:rPr>
          <w:noProof/>
        </w:rPr>
      </w:pPr>
      <w:r>
        <w:rPr>
          <w:noProof/>
        </w:rPr>
        <w:t>The system boundaries adopts a gate-to-gate system, including all production phases from the initial washing of soybeans to the ultimate molding and packing of tofu. This encompasses the subsequent unit processes: washing, soaking, grinding, boiling, filtering, coagulation, and molding and packaging. Upstream operations before the factory gate, such as soybean farming, transportation, and raw material supply, along with downstream activities which include product distribution, consumption, and end-of-life management, were omitted from the system boundary. This delineation aligns with prior gate-to-gate LCA investigations of similar Indonesian tofu SMEs (Nugroho et al., 2024; Azatri et al., 2023) and reflects the practical data accessibility at the examined plant. Figure 1 illustrates the gate-to-gate system boundary for tofu production.</w:t>
      </w:r>
      <w:r w:rsidR="001F6204" w:rsidRPr="00AD55B4">
        <w:rPr>
          <w:noProof/>
        </w:rPr>
        <w:t>.</w:t>
      </w:r>
    </w:p>
    <w:p w14:paraId="104B5D5C" w14:textId="77777777" w:rsidR="001F6204" w:rsidRPr="00AD55B4" w:rsidRDefault="001F6204" w:rsidP="00FC5377">
      <w:pPr>
        <w:pStyle w:val="IOP-CS-BodyText"/>
        <w:ind w:firstLine="0"/>
        <w:rPr>
          <w:noProof/>
        </w:rPr>
      </w:pPr>
    </w:p>
    <w:p w14:paraId="56A92126" w14:textId="68062F5F" w:rsidR="0000603F" w:rsidRPr="00AD55B4" w:rsidRDefault="00B01164" w:rsidP="00FF2913">
      <w:pPr>
        <w:pStyle w:val="IOP-CS-BodyText"/>
        <w:ind w:firstLine="0"/>
        <w:jc w:val="center"/>
        <w:rPr>
          <w:noProof/>
        </w:rPr>
      </w:pPr>
      <w:r w:rsidRPr="00AD55B4">
        <w:rPr>
          <w:noProof/>
        </w:rPr>
        <w:drawing>
          <wp:inline distT="0" distB="0" distL="0" distR="0" wp14:anchorId="7D10464C" wp14:editId="042B49A1">
            <wp:extent cx="5272818" cy="1667670"/>
            <wp:effectExtent l="0" t="0" r="444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244" t="24919" r="1320" b="16563"/>
                    <a:stretch/>
                  </pic:blipFill>
                  <pic:spPr bwMode="auto">
                    <a:xfrm>
                      <a:off x="0" y="0"/>
                      <a:ext cx="5342583" cy="1689735"/>
                    </a:xfrm>
                    <a:prstGeom prst="rect">
                      <a:avLst/>
                    </a:prstGeom>
                    <a:noFill/>
                    <a:ln>
                      <a:noFill/>
                    </a:ln>
                    <a:extLst>
                      <a:ext uri="{53640926-AAD7-44D8-BBD7-CCE9431645EC}">
                        <a14:shadowObscured xmlns:a14="http://schemas.microsoft.com/office/drawing/2010/main"/>
                      </a:ext>
                    </a:extLst>
                  </pic:spPr>
                </pic:pic>
              </a:graphicData>
            </a:graphic>
          </wp:inline>
        </w:drawing>
      </w:r>
    </w:p>
    <w:p w14:paraId="3EF3CCF1" w14:textId="3B061E38" w:rsidR="001F6204" w:rsidRPr="00AD55B4" w:rsidRDefault="001F6204" w:rsidP="00FF2913">
      <w:pPr>
        <w:pStyle w:val="IOP-CS-SubsectionHeading"/>
        <w:jc w:val="center"/>
        <w:rPr>
          <w:b/>
          <w:bCs/>
          <w:i w:val="0"/>
          <w:iCs w:val="0"/>
          <w:noProof/>
        </w:rPr>
      </w:pPr>
      <w:r w:rsidRPr="00AD55B4">
        <w:rPr>
          <w:b/>
          <w:bCs/>
          <w:i w:val="0"/>
          <w:iCs w:val="0"/>
          <w:noProof/>
        </w:rPr>
        <w:t xml:space="preserve">Figure </w:t>
      </w:r>
      <w:r w:rsidR="00C66A67">
        <w:rPr>
          <w:b/>
          <w:bCs/>
          <w:i w:val="0"/>
          <w:iCs w:val="0"/>
          <w:noProof/>
        </w:rPr>
        <w:t>1</w:t>
      </w:r>
      <w:r w:rsidRPr="00AD55B4">
        <w:rPr>
          <w:b/>
          <w:bCs/>
          <w:i w:val="0"/>
          <w:iCs w:val="0"/>
          <w:noProof/>
        </w:rPr>
        <w:t xml:space="preserve">. </w:t>
      </w:r>
      <w:r w:rsidRPr="00AD55B4">
        <w:rPr>
          <w:i w:val="0"/>
          <w:iCs w:val="0"/>
          <w:noProof/>
        </w:rPr>
        <w:t>Gate-to-gate system boundary of tofu production life cycle assessment</w:t>
      </w:r>
    </w:p>
    <w:p w14:paraId="61D8C961" w14:textId="42C866CB" w:rsidR="00B1738A" w:rsidRPr="00AD55B4" w:rsidRDefault="00B1738A" w:rsidP="00B1738A">
      <w:pPr>
        <w:pStyle w:val="IOP-CS-SubsectionHeading"/>
      </w:pPr>
      <w:r w:rsidRPr="00AD55B4">
        <w:t>2.</w:t>
      </w:r>
      <w:r w:rsidR="00C6630B" w:rsidRPr="00AD55B4">
        <w:t xml:space="preserve">2 </w:t>
      </w:r>
      <w:r w:rsidR="00FF2913">
        <w:t>Life Cycle Inventory</w:t>
      </w:r>
      <w:r w:rsidR="00C6630B" w:rsidRPr="00AD55B4">
        <w:t xml:space="preserve"> </w:t>
      </w:r>
      <w:r w:rsidR="00E90B95" w:rsidRPr="00AD55B4">
        <w:t>Analysis</w:t>
      </w:r>
    </w:p>
    <w:p w14:paraId="76A467E2" w14:textId="6C9FDA6E" w:rsidR="005A7890" w:rsidRPr="00AD55B4" w:rsidRDefault="005F4BE0" w:rsidP="00B1738A">
      <w:pPr>
        <w:pStyle w:val="IOP-CS-BodyText"/>
        <w:ind w:firstLine="0"/>
        <w:rPr>
          <w:noProof/>
        </w:rPr>
      </w:pPr>
      <w:r w:rsidRPr="00AD55B4">
        <w:rPr>
          <w:noProof/>
        </w:rPr>
        <w:t xml:space="preserve">The inventory analysis phase involves the identification and collection of data on input and output flows for each process within the product system, in accordance with the defined functional unit </w:t>
      </w:r>
      <w:r w:rsidR="004D391B">
        <w:rPr>
          <w:noProof/>
        </w:rPr>
        <w:t>[11]</w:t>
      </w:r>
      <w:r w:rsidRPr="00AD55B4">
        <w:rPr>
          <w:noProof/>
        </w:rPr>
        <w:t xml:space="preserve"> This phase commenced with the identification of relevant processes within the product system to comprehensively describe the material, energy, and emission flows throughout the life cycle. Quantitative data were subsequently collected for each input and output flow at every production stage, including soybean inputs, water and energy consumption, and waste outputs comprising liquid waste, solid waste, and potential emissions. The functional unit was set as one production batch (one day of operation), and the inventory data are presented in Table 1</w:t>
      </w:r>
      <w:r w:rsidR="00542468" w:rsidRPr="00AD55B4">
        <w:rPr>
          <w:noProof/>
        </w:rPr>
        <w:t>.</w:t>
      </w:r>
    </w:p>
    <w:p w14:paraId="3CFFD3E1" w14:textId="68FD2647" w:rsidR="00B474A7" w:rsidRPr="00AD55B4" w:rsidRDefault="00B474A7" w:rsidP="00250ADF">
      <w:pPr>
        <w:pStyle w:val="IOP-CS-BodyText"/>
        <w:ind w:firstLine="0"/>
        <w:jc w:val="center"/>
        <w:rPr>
          <w:noProof/>
        </w:rPr>
      </w:pPr>
      <w:r w:rsidRPr="00AD55B4">
        <w:rPr>
          <w:b/>
          <w:bCs/>
          <w:noProof/>
        </w:rPr>
        <w:t>Tabl</w:t>
      </w:r>
      <w:r w:rsidR="00AD55B4">
        <w:rPr>
          <w:b/>
          <w:bCs/>
          <w:noProof/>
        </w:rPr>
        <w:t>e</w:t>
      </w:r>
      <w:r w:rsidR="00250ADF" w:rsidRPr="00AD55B4">
        <w:rPr>
          <w:b/>
          <w:bCs/>
          <w:noProof/>
        </w:rPr>
        <w:t xml:space="preserve"> 1.</w:t>
      </w:r>
      <w:r w:rsidRPr="00AD55B4">
        <w:rPr>
          <w:noProof/>
        </w:rPr>
        <w:t xml:space="preserve"> </w:t>
      </w:r>
      <w:r w:rsidR="00AD55B4" w:rsidRPr="00AD55B4">
        <w:rPr>
          <w:noProof/>
        </w:rPr>
        <w:t>Inventory data of tofu production</w:t>
      </w:r>
    </w:p>
    <w:tbl>
      <w:tblPr>
        <w:tblW w:w="9179" w:type="dxa"/>
        <w:tblCellSpacing w:w="15" w:type="dxa"/>
        <w:tblCellMar>
          <w:top w:w="15" w:type="dxa"/>
          <w:left w:w="15" w:type="dxa"/>
          <w:bottom w:w="15" w:type="dxa"/>
          <w:right w:w="15" w:type="dxa"/>
        </w:tblCellMar>
        <w:tblLook w:val="04A0" w:firstRow="1" w:lastRow="0" w:firstColumn="1" w:lastColumn="0" w:noHBand="0" w:noVBand="1"/>
      </w:tblPr>
      <w:tblGrid>
        <w:gridCol w:w="1731"/>
        <w:gridCol w:w="2097"/>
        <w:gridCol w:w="1026"/>
        <w:gridCol w:w="806"/>
        <w:gridCol w:w="2142"/>
        <w:gridCol w:w="890"/>
        <w:gridCol w:w="487"/>
      </w:tblGrid>
      <w:tr w:rsidR="00994B8F" w:rsidRPr="00AD55B4" w14:paraId="50350261" w14:textId="77777777" w:rsidTr="00A73AC0">
        <w:trPr>
          <w:trHeight w:val="200"/>
          <w:tblHeader/>
          <w:tblCellSpacing w:w="15" w:type="dxa"/>
        </w:trPr>
        <w:tc>
          <w:tcPr>
            <w:tcW w:w="1686" w:type="dxa"/>
            <w:tcBorders>
              <w:top w:val="single" w:sz="4" w:space="0" w:color="auto"/>
              <w:bottom w:val="single" w:sz="4" w:space="0" w:color="auto"/>
            </w:tcBorders>
            <w:vAlign w:val="center"/>
            <w:hideMark/>
          </w:tcPr>
          <w:p w14:paraId="2F208DCA" w14:textId="77777777" w:rsidR="004F6613" w:rsidRPr="004F6613" w:rsidRDefault="004F6613" w:rsidP="00A73AC0">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Process Stage</w:t>
            </w:r>
          </w:p>
        </w:tc>
        <w:tc>
          <w:tcPr>
            <w:tcW w:w="2067" w:type="dxa"/>
            <w:tcBorders>
              <w:top w:val="single" w:sz="4" w:space="0" w:color="auto"/>
              <w:bottom w:val="single" w:sz="4" w:space="0" w:color="auto"/>
            </w:tcBorders>
            <w:vAlign w:val="center"/>
            <w:hideMark/>
          </w:tcPr>
          <w:p w14:paraId="0EEC3F46" w14:textId="77777777" w:rsidR="004F6613" w:rsidRPr="004F6613" w:rsidRDefault="004F6613" w:rsidP="00A73AC0">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Inputs</w:t>
            </w:r>
          </w:p>
        </w:tc>
        <w:tc>
          <w:tcPr>
            <w:tcW w:w="996" w:type="dxa"/>
            <w:tcBorders>
              <w:top w:val="single" w:sz="4" w:space="0" w:color="auto"/>
              <w:bottom w:val="single" w:sz="4" w:space="0" w:color="auto"/>
            </w:tcBorders>
            <w:vAlign w:val="center"/>
            <w:hideMark/>
          </w:tcPr>
          <w:p w14:paraId="18441F72" w14:textId="77777777" w:rsidR="004F6613" w:rsidRPr="004F6613" w:rsidRDefault="004F6613" w:rsidP="00A73AC0">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Quantity</w:t>
            </w:r>
          </w:p>
        </w:tc>
        <w:tc>
          <w:tcPr>
            <w:tcW w:w="776" w:type="dxa"/>
            <w:tcBorders>
              <w:top w:val="single" w:sz="4" w:space="0" w:color="auto"/>
              <w:bottom w:val="single" w:sz="4" w:space="0" w:color="auto"/>
            </w:tcBorders>
            <w:vAlign w:val="center"/>
            <w:hideMark/>
          </w:tcPr>
          <w:p w14:paraId="0877290A" w14:textId="77777777" w:rsidR="004F6613" w:rsidRPr="004F6613" w:rsidRDefault="004F6613" w:rsidP="00A73AC0">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Unit</w:t>
            </w:r>
          </w:p>
        </w:tc>
        <w:tc>
          <w:tcPr>
            <w:tcW w:w="2112" w:type="dxa"/>
            <w:tcBorders>
              <w:top w:val="single" w:sz="4" w:space="0" w:color="auto"/>
              <w:bottom w:val="single" w:sz="4" w:space="0" w:color="auto"/>
            </w:tcBorders>
            <w:vAlign w:val="center"/>
            <w:hideMark/>
          </w:tcPr>
          <w:p w14:paraId="5E6E2931" w14:textId="77777777" w:rsidR="004F6613" w:rsidRPr="004F6613" w:rsidRDefault="004F6613" w:rsidP="00A73AC0">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Outputs</w:t>
            </w:r>
          </w:p>
        </w:tc>
        <w:tc>
          <w:tcPr>
            <w:tcW w:w="0" w:type="auto"/>
            <w:tcBorders>
              <w:top w:val="single" w:sz="4" w:space="0" w:color="auto"/>
              <w:bottom w:val="single" w:sz="4" w:space="0" w:color="auto"/>
            </w:tcBorders>
            <w:vAlign w:val="center"/>
            <w:hideMark/>
          </w:tcPr>
          <w:p w14:paraId="432F1E5C" w14:textId="77777777" w:rsidR="004F6613" w:rsidRPr="004F6613" w:rsidRDefault="004F6613" w:rsidP="00A73AC0">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Quantity</w:t>
            </w:r>
          </w:p>
        </w:tc>
        <w:tc>
          <w:tcPr>
            <w:tcW w:w="442" w:type="dxa"/>
            <w:tcBorders>
              <w:top w:val="single" w:sz="4" w:space="0" w:color="auto"/>
              <w:bottom w:val="single" w:sz="4" w:space="0" w:color="auto"/>
            </w:tcBorders>
            <w:vAlign w:val="center"/>
            <w:hideMark/>
          </w:tcPr>
          <w:p w14:paraId="01AC75EF" w14:textId="77777777" w:rsidR="004F6613" w:rsidRPr="004F6613" w:rsidRDefault="004F6613" w:rsidP="00A73AC0">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Unit</w:t>
            </w:r>
          </w:p>
        </w:tc>
      </w:tr>
      <w:tr w:rsidR="00994B8F" w:rsidRPr="00AD55B4" w14:paraId="2A5C7F28" w14:textId="77777777" w:rsidTr="00A73AC0">
        <w:trPr>
          <w:trHeight w:val="200"/>
          <w:tblCellSpacing w:w="15" w:type="dxa"/>
        </w:trPr>
        <w:tc>
          <w:tcPr>
            <w:tcW w:w="1686" w:type="dxa"/>
            <w:vAlign w:val="center"/>
            <w:hideMark/>
          </w:tcPr>
          <w:p w14:paraId="1CA911B1"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Washing</w:t>
            </w:r>
          </w:p>
        </w:tc>
        <w:tc>
          <w:tcPr>
            <w:tcW w:w="2067" w:type="dxa"/>
            <w:vAlign w:val="center"/>
            <w:hideMark/>
          </w:tcPr>
          <w:p w14:paraId="1D18849A"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Soybeans</w:t>
            </w:r>
          </w:p>
        </w:tc>
        <w:tc>
          <w:tcPr>
            <w:tcW w:w="996" w:type="dxa"/>
            <w:vAlign w:val="center"/>
            <w:hideMark/>
          </w:tcPr>
          <w:p w14:paraId="50A3BE7E"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1400</w:t>
            </w:r>
          </w:p>
        </w:tc>
        <w:tc>
          <w:tcPr>
            <w:tcW w:w="776" w:type="dxa"/>
            <w:vAlign w:val="center"/>
            <w:hideMark/>
          </w:tcPr>
          <w:p w14:paraId="34CFCA9B"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kg</w:t>
            </w:r>
          </w:p>
        </w:tc>
        <w:tc>
          <w:tcPr>
            <w:tcW w:w="2112" w:type="dxa"/>
            <w:vAlign w:val="center"/>
            <w:hideMark/>
          </w:tcPr>
          <w:p w14:paraId="229C6631" w14:textId="367980BA" w:rsidR="004F6613" w:rsidRPr="004F6613" w:rsidRDefault="00A21BB0" w:rsidP="009F1E5F">
            <w:pPr>
              <w:spacing w:after="0" w:line="240" w:lineRule="auto"/>
              <w:rPr>
                <w:rFonts w:ascii="Cambria" w:eastAsia="Times New Roman" w:hAnsi="Cambria" w:cs="Times New Roman"/>
                <w:kern w:val="0"/>
                <w:sz w:val="18"/>
                <w:szCs w:val="18"/>
                <w:lang w:val="en-ID" w:eastAsia="en-ID"/>
                <w14:ligatures w14:val="none"/>
              </w:rPr>
            </w:pPr>
            <w:r w:rsidRPr="00AD55B4">
              <w:rPr>
                <w:rFonts w:ascii="Cambria" w:eastAsia="Times New Roman" w:hAnsi="Cambria" w:cs="Times New Roman"/>
                <w:kern w:val="0"/>
                <w:sz w:val="18"/>
                <w:szCs w:val="18"/>
                <w:lang w:val="en-ID" w:eastAsia="en-ID"/>
                <w14:ligatures w14:val="none"/>
              </w:rPr>
              <w:t>Washed soybeans</w:t>
            </w:r>
          </w:p>
        </w:tc>
        <w:tc>
          <w:tcPr>
            <w:tcW w:w="0" w:type="auto"/>
            <w:vAlign w:val="center"/>
            <w:hideMark/>
          </w:tcPr>
          <w:p w14:paraId="65091D05"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1540</w:t>
            </w:r>
          </w:p>
        </w:tc>
        <w:tc>
          <w:tcPr>
            <w:tcW w:w="442" w:type="dxa"/>
            <w:vAlign w:val="center"/>
            <w:hideMark/>
          </w:tcPr>
          <w:p w14:paraId="29AB4400"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kg</w:t>
            </w:r>
          </w:p>
        </w:tc>
      </w:tr>
      <w:tr w:rsidR="00994B8F" w:rsidRPr="00AD55B4" w14:paraId="5ED8C077" w14:textId="77777777" w:rsidTr="00A73AC0">
        <w:trPr>
          <w:trHeight w:val="200"/>
          <w:tblCellSpacing w:w="15" w:type="dxa"/>
        </w:trPr>
        <w:tc>
          <w:tcPr>
            <w:tcW w:w="1686" w:type="dxa"/>
            <w:vAlign w:val="center"/>
            <w:hideMark/>
          </w:tcPr>
          <w:p w14:paraId="3986DC20"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p>
        </w:tc>
        <w:tc>
          <w:tcPr>
            <w:tcW w:w="2067" w:type="dxa"/>
            <w:vAlign w:val="center"/>
            <w:hideMark/>
          </w:tcPr>
          <w:p w14:paraId="05B7931E"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Water</w:t>
            </w:r>
          </w:p>
        </w:tc>
        <w:tc>
          <w:tcPr>
            <w:tcW w:w="996" w:type="dxa"/>
            <w:vAlign w:val="center"/>
            <w:hideMark/>
          </w:tcPr>
          <w:p w14:paraId="6E93910E"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2800</w:t>
            </w:r>
          </w:p>
        </w:tc>
        <w:tc>
          <w:tcPr>
            <w:tcW w:w="776" w:type="dxa"/>
            <w:vAlign w:val="center"/>
            <w:hideMark/>
          </w:tcPr>
          <w:p w14:paraId="2E30B7E7"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L</w:t>
            </w:r>
          </w:p>
        </w:tc>
        <w:tc>
          <w:tcPr>
            <w:tcW w:w="2112" w:type="dxa"/>
            <w:vAlign w:val="center"/>
            <w:hideMark/>
          </w:tcPr>
          <w:p w14:paraId="1E0BEF76"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Wastewater</w:t>
            </w:r>
          </w:p>
        </w:tc>
        <w:tc>
          <w:tcPr>
            <w:tcW w:w="0" w:type="auto"/>
            <w:vAlign w:val="center"/>
            <w:hideMark/>
          </w:tcPr>
          <w:p w14:paraId="4AEE53D7"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2660</w:t>
            </w:r>
          </w:p>
        </w:tc>
        <w:tc>
          <w:tcPr>
            <w:tcW w:w="442" w:type="dxa"/>
            <w:vAlign w:val="center"/>
            <w:hideMark/>
          </w:tcPr>
          <w:p w14:paraId="34132E02"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L</w:t>
            </w:r>
          </w:p>
        </w:tc>
      </w:tr>
      <w:tr w:rsidR="00994B8F" w:rsidRPr="00AD55B4" w14:paraId="1BDC3582" w14:textId="77777777" w:rsidTr="00A73AC0">
        <w:trPr>
          <w:trHeight w:val="200"/>
          <w:tblCellSpacing w:w="15" w:type="dxa"/>
        </w:trPr>
        <w:tc>
          <w:tcPr>
            <w:tcW w:w="1686" w:type="dxa"/>
            <w:tcBorders>
              <w:bottom w:val="single" w:sz="4" w:space="0" w:color="auto"/>
            </w:tcBorders>
            <w:vAlign w:val="center"/>
            <w:hideMark/>
          </w:tcPr>
          <w:p w14:paraId="3C5C88D8"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p>
        </w:tc>
        <w:tc>
          <w:tcPr>
            <w:tcW w:w="2067" w:type="dxa"/>
            <w:tcBorders>
              <w:bottom w:val="single" w:sz="4" w:space="0" w:color="auto"/>
            </w:tcBorders>
            <w:vAlign w:val="center"/>
            <w:hideMark/>
          </w:tcPr>
          <w:p w14:paraId="44FAAAB9"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Electricity</w:t>
            </w:r>
          </w:p>
        </w:tc>
        <w:tc>
          <w:tcPr>
            <w:tcW w:w="996" w:type="dxa"/>
            <w:tcBorders>
              <w:bottom w:val="single" w:sz="4" w:space="0" w:color="auto"/>
            </w:tcBorders>
            <w:vAlign w:val="center"/>
            <w:hideMark/>
          </w:tcPr>
          <w:p w14:paraId="5F745665"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0.60</w:t>
            </w:r>
          </w:p>
        </w:tc>
        <w:tc>
          <w:tcPr>
            <w:tcW w:w="776" w:type="dxa"/>
            <w:tcBorders>
              <w:bottom w:val="single" w:sz="4" w:space="0" w:color="auto"/>
            </w:tcBorders>
            <w:vAlign w:val="center"/>
            <w:hideMark/>
          </w:tcPr>
          <w:p w14:paraId="0D233CB5"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kWh</w:t>
            </w:r>
          </w:p>
        </w:tc>
        <w:tc>
          <w:tcPr>
            <w:tcW w:w="2112" w:type="dxa"/>
            <w:tcBorders>
              <w:bottom w:val="single" w:sz="4" w:space="0" w:color="auto"/>
            </w:tcBorders>
            <w:vAlign w:val="center"/>
            <w:hideMark/>
          </w:tcPr>
          <w:p w14:paraId="1BDCA155" w14:textId="024BC77A" w:rsidR="00A21BB0"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CO₂ emissions</w:t>
            </w:r>
          </w:p>
        </w:tc>
        <w:tc>
          <w:tcPr>
            <w:tcW w:w="0" w:type="auto"/>
            <w:tcBorders>
              <w:bottom w:val="single" w:sz="4" w:space="0" w:color="auto"/>
            </w:tcBorders>
            <w:vAlign w:val="center"/>
            <w:hideMark/>
          </w:tcPr>
          <w:p w14:paraId="7A25E87B"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0.51</w:t>
            </w:r>
          </w:p>
        </w:tc>
        <w:tc>
          <w:tcPr>
            <w:tcW w:w="442" w:type="dxa"/>
            <w:tcBorders>
              <w:bottom w:val="single" w:sz="4" w:space="0" w:color="auto"/>
            </w:tcBorders>
            <w:vAlign w:val="center"/>
            <w:hideMark/>
          </w:tcPr>
          <w:p w14:paraId="1B54B624"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kg</w:t>
            </w:r>
          </w:p>
        </w:tc>
      </w:tr>
      <w:tr w:rsidR="00994B8F" w:rsidRPr="00AD55B4" w14:paraId="15DA5290" w14:textId="77777777" w:rsidTr="00A73AC0">
        <w:trPr>
          <w:trHeight w:val="200"/>
          <w:tblCellSpacing w:w="15" w:type="dxa"/>
        </w:trPr>
        <w:tc>
          <w:tcPr>
            <w:tcW w:w="1686" w:type="dxa"/>
            <w:vAlign w:val="center"/>
            <w:hideMark/>
          </w:tcPr>
          <w:p w14:paraId="69FD7911"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Soaking</w:t>
            </w:r>
          </w:p>
        </w:tc>
        <w:tc>
          <w:tcPr>
            <w:tcW w:w="2067" w:type="dxa"/>
            <w:vAlign w:val="center"/>
            <w:hideMark/>
          </w:tcPr>
          <w:p w14:paraId="3C1A6DE6"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Soaked soybeans</w:t>
            </w:r>
          </w:p>
        </w:tc>
        <w:tc>
          <w:tcPr>
            <w:tcW w:w="996" w:type="dxa"/>
            <w:vAlign w:val="center"/>
            <w:hideMark/>
          </w:tcPr>
          <w:p w14:paraId="5CF6D989"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1540</w:t>
            </w:r>
          </w:p>
        </w:tc>
        <w:tc>
          <w:tcPr>
            <w:tcW w:w="776" w:type="dxa"/>
            <w:vAlign w:val="center"/>
            <w:hideMark/>
          </w:tcPr>
          <w:p w14:paraId="05043377"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kg</w:t>
            </w:r>
          </w:p>
        </w:tc>
        <w:tc>
          <w:tcPr>
            <w:tcW w:w="2112" w:type="dxa"/>
            <w:vAlign w:val="center"/>
            <w:hideMark/>
          </w:tcPr>
          <w:p w14:paraId="0D3715C7"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Hydrated soybeans</w:t>
            </w:r>
          </w:p>
        </w:tc>
        <w:tc>
          <w:tcPr>
            <w:tcW w:w="0" w:type="auto"/>
            <w:vAlign w:val="center"/>
            <w:hideMark/>
          </w:tcPr>
          <w:p w14:paraId="154B39F4"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3640</w:t>
            </w:r>
          </w:p>
        </w:tc>
        <w:tc>
          <w:tcPr>
            <w:tcW w:w="442" w:type="dxa"/>
            <w:vAlign w:val="center"/>
            <w:hideMark/>
          </w:tcPr>
          <w:p w14:paraId="01FB0423"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kg</w:t>
            </w:r>
          </w:p>
        </w:tc>
      </w:tr>
      <w:tr w:rsidR="00994B8F" w:rsidRPr="00AD55B4" w14:paraId="24432771" w14:textId="77777777" w:rsidTr="00A73AC0">
        <w:trPr>
          <w:trHeight w:val="213"/>
          <w:tblCellSpacing w:w="15" w:type="dxa"/>
        </w:trPr>
        <w:tc>
          <w:tcPr>
            <w:tcW w:w="1686" w:type="dxa"/>
            <w:vAlign w:val="center"/>
            <w:hideMark/>
          </w:tcPr>
          <w:p w14:paraId="739E195B"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p>
        </w:tc>
        <w:tc>
          <w:tcPr>
            <w:tcW w:w="2067" w:type="dxa"/>
            <w:vAlign w:val="center"/>
            <w:hideMark/>
          </w:tcPr>
          <w:p w14:paraId="133FAE00"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Water</w:t>
            </w:r>
          </w:p>
        </w:tc>
        <w:tc>
          <w:tcPr>
            <w:tcW w:w="996" w:type="dxa"/>
            <w:vAlign w:val="center"/>
            <w:hideMark/>
          </w:tcPr>
          <w:p w14:paraId="0D02E5E2"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2700</w:t>
            </w:r>
          </w:p>
        </w:tc>
        <w:tc>
          <w:tcPr>
            <w:tcW w:w="776" w:type="dxa"/>
            <w:vAlign w:val="center"/>
            <w:hideMark/>
          </w:tcPr>
          <w:p w14:paraId="4339C533"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L</w:t>
            </w:r>
          </w:p>
        </w:tc>
        <w:tc>
          <w:tcPr>
            <w:tcW w:w="2112" w:type="dxa"/>
            <w:vAlign w:val="center"/>
            <w:hideMark/>
          </w:tcPr>
          <w:p w14:paraId="1A4F14EA"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Wastewater</w:t>
            </w:r>
          </w:p>
        </w:tc>
        <w:tc>
          <w:tcPr>
            <w:tcW w:w="0" w:type="auto"/>
            <w:vAlign w:val="center"/>
            <w:hideMark/>
          </w:tcPr>
          <w:p w14:paraId="66E21140"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600</w:t>
            </w:r>
          </w:p>
        </w:tc>
        <w:tc>
          <w:tcPr>
            <w:tcW w:w="442" w:type="dxa"/>
            <w:vAlign w:val="center"/>
            <w:hideMark/>
          </w:tcPr>
          <w:p w14:paraId="09BC9F97"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L</w:t>
            </w:r>
          </w:p>
        </w:tc>
      </w:tr>
      <w:tr w:rsidR="00994B8F" w:rsidRPr="00AD55B4" w14:paraId="3C1C87A3" w14:textId="77777777" w:rsidTr="00A73AC0">
        <w:trPr>
          <w:trHeight w:val="200"/>
          <w:tblCellSpacing w:w="15" w:type="dxa"/>
        </w:trPr>
        <w:tc>
          <w:tcPr>
            <w:tcW w:w="1686" w:type="dxa"/>
            <w:tcBorders>
              <w:bottom w:val="single" w:sz="4" w:space="0" w:color="auto"/>
            </w:tcBorders>
            <w:vAlign w:val="center"/>
            <w:hideMark/>
          </w:tcPr>
          <w:p w14:paraId="3F4CEDBF"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p>
        </w:tc>
        <w:tc>
          <w:tcPr>
            <w:tcW w:w="2067" w:type="dxa"/>
            <w:tcBorders>
              <w:bottom w:val="single" w:sz="4" w:space="0" w:color="auto"/>
            </w:tcBorders>
            <w:vAlign w:val="center"/>
            <w:hideMark/>
          </w:tcPr>
          <w:p w14:paraId="05498E1C"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Electricity</w:t>
            </w:r>
          </w:p>
        </w:tc>
        <w:tc>
          <w:tcPr>
            <w:tcW w:w="996" w:type="dxa"/>
            <w:tcBorders>
              <w:bottom w:val="single" w:sz="4" w:space="0" w:color="auto"/>
            </w:tcBorders>
            <w:vAlign w:val="center"/>
            <w:hideMark/>
          </w:tcPr>
          <w:p w14:paraId="71DD73DA"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0.45</w:t>
            </w:r>
          </w:p>
        </w:tc>
        <w:tc>
          <w:tcPr>
            <w:tcW w:w="776" w:type="dxa"/>
            <w:tcBorders>
              <w:bottom w:val="single" w:sz="4" w:space="0" w:color="auto"/>
            </w:tcBorders>
            <w:vAlign w:val="center"/>
            <w:hideMark/>
          </w:tcPr>
          <w:p w14:paraId="57B26E6D"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kWh</w:t>
            </w:r>
          </w:p>
        </w:tc>
        <w:tc>
          <w:tcPr>
            <w:tcW w:w="2112" w:type="dxa"/>
            <w:tcBorders>
              <w:bottom w:val="single" w:sz="4" w:space="0" w:color="auto"/>
            </w:tcBorders>
            <w:vAlign w:val="center"/>
            <w:hideMark/>
          </w:tcPr>
          <w:p w14:paraId="73432BBA"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CO₂ emissions</w:t>
            </w:r>
          </w:p>
        </w:tc>
        <w:tc>
          <w:tcPr>
            <w:tcW w:w="0" w:type="auto"/>
            <w:tcBorders>
              <w:bottom w:val="single" w:sz="4" w:space="0" w:color="auto"/>
            </w:tcBorders>
            <w:vAlign w:val="center"/>
            <w:hideMark/>
          </w:tcPr>
          <w:p w14:paraId="72F1807E"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0.38</w:t>
            </w:r>
          </w:p>
        </w:tc>
        <w:tc>
          <w:tcPr>
            <w:tcW w:w="442" w:type="dxa"/>
            <w:tcBorders>
              <w:bottom w:val="single" w:sz="4" w:space="0" w:color="auto"/>
            </w:tcBorders>
            <w:vAlign w:val="center"/>
            <w:hideMark/>
          </w:tcPr>
          <w:p w14:paraId="35DB60C7"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kg</w:t>
            </w:r>
          </w:p>
        </w:tc>
      </w:tr>
      <w:tr w:rsidR="00994B8F" w:rsidRPr="00AD55B4" w14:paraId="7247B9EF" w14:textId="77777777" w:rsidTr="00A73AC0">
        <w:trPr>
          <w:trHeight w:val="200"/>
          <w:tblCellSpacing w:w="15" w:type="dxa"/>
        </w:trPr>
        <w:tc>
          <w:tcPr>
            <w:tcW w:w="1686" w:type="dxa"/>
            <w:vAlign w:val="center"/>
            <w:hideMark/>
          </w:tcPr>
          <w:p w14:paraId="2D8C4DC9"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Grinding</w:t>
            </w:r>
          </w:p>
        </w:tc>
        <w:tc>
          <w:tcPr>
            <w:tcW w:w="2067" w:type="dxa"/>
            <w:vAlign w:val="center"/>
            <w:hideMark/>
          </w:tcPr>
          <w:p w14:paraId="7A90DC20"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Hydrated soybeans</w:t>
            </w:r>
          </w:p>
        </w:tc>
        <w:tc>
          <w:tcPr>
            <w:tcW w:w="996" w:type="dxa"/>
            <w:vAlign w:val="center"/>
            <w:hideMark/>
          </w:tcPr>
          <w:p w14:paraId="2259BC1A"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3640</w:t>
            </w:r>
          </w:p>
        </w:tc>
        <w:tc>
          <w:tcPr>
            <w:tcW w:w="776" w:type="dxa"/>
            <w:vAlign w:val="center"/>
            <w:hideMark/>
          </w:tcPr>
          <w:p w14:paraId="6791EA50"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kg</w:t>
            </w:r>
          </w:p>
        </w:tc>
        <w:tc>
          <w:tcPr>
            <w:tcW w:w="2112" w:type="dxa"/>
            <w:vAlign w:val="center"/>
            <w:hideMark/>
          </w:tcPr>
          <w:p w14:paraId="63D6FA18"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Fine soybean slurry</w:t>
            </w:r>
          </w:p>
        </w:tc>
        <w:tc>
          <w:tcPr>
            <w:tcW w:w="0" w:type="auto"/>
            <w:vAlign w:val="center"/>
            <w:hideMark/>
          </w:tcPr>
          <w:p w14:paraId="49454E4C"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7840</w:t>
            </w:r>
          </w:p>
        </w:tc>
        <w:tc>
          <w:tcPr>
            <w:tcW w:w="442" w:type="dxa"/>
            <w:vAlign w:val="center"/>
            <w:hideMark/>
          </w:tcPr>
          <w:p w14:paraId="02D9A2D0"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kg</w:t>
            </w:r>
          </w:p>
        </w:tc>
      </w:tr>
      <w:tr w:rsidR="00994B8F" w:rsidRPr="00AD55B4" w14:paraId="15129467" w14:textId="77777777" w:rsidTr="00A73AC0">
        <w:trPr>
          <w:trHeight w:val="200"/>
          <w:tblCellSpacing w:w="15" w:type="dxa"/>
        </w:trPr>
        <w:tc>
          <w:tcPr>
            <w:tcW w:w="1686" w:type="dxa"/>
            <w:vAlign w:val="center"/>
            <w:hideMark/>
          </w:tcPr>
          <w:p w14:paraId="44B504C1"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p>
        </w:tc>
        <w:tc>
          <w:tcPr>
            <w:tcW w:w="2067" w:type="dxa"/>
            <w:vAlign w:val="center"/>
            <w:hideMark/>
          </w:tcPr>
          <w:p w14:paraId="6F84457D"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Water</w:t>
            </w:r>
          </w:p>
        </w:tc>
        <w:tc>
          <w:tcPr>
            <w:tcW w:w="996" w:type="dxa"/>
            <w:vAlign w:val="center"/>
            <w:hideMark/>
          </w:tcPr>
          <w:p w14:paraId="406AC366"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4200</w:t>
            </w:r>
          </w:p>
        </w:tc>
        <w:tc>
          <w:tcPr>
            <w:tcW w:w="776" w:type="dxa"/>
            <w:vAlign w:val="center"/>
            <w:hideMark/>
          </w:tcPr>
          <w:p w14:paraId="5AD6E49D"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L</w:t>
            </w:r>
          </w:p>
        </w:tc>
        <w:tc>
          <w:tcPr>
            <w:tcW w:w="2112" w:type="dxa"/>
            <w:vAlign w:val="center"/>
            <w:hideMark/>
          </w:tcPr>
          <w:p w14:paraId="010D3C99"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Wastewater</w:t>
            </w:r>
          </w:p>
        </w:tc>
        <w:tc>
          <w:tcPr>
            <w:tcW w:w="0" w:type="auto"/>
            <w:vAlign w:val="center"/>
            <w:hideMark/>
          </w:tcPr>
          <w:p w14:paraId="73DA59B9"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0</w:t>
            </w:r>
          </w:p>
        </w:tc>
        <w:tc>
          <w:tcPr>
            <w:tcW w:w="442" w:type="dxa"/>
            <w:vAlign w:val="center"/>
            <w:hideMark/>
          </w:tcPr>
          <w:p w14:paraId="1AB10B7E"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L</w:t>
            </w:r>
          </w:p>
        </w:tc>
      </w:tr>
      <w:tr w:rsidR="00994B8F" w:rsidRPr="00AD55B4" w14:paraId="5A161C79" w14:textId="77777777" w:rsidTr="00A73AC0">
        <w:trPr>
          <w:trHeight w:val="213"/>
          <w:tblCellSpacing w:w="15" w:type="dxa"/>
        </w:trPr>
        <w:tc>
          <w:tcPr>
            <w:tcW w:w="1686" w:type="dxa"/>
            <w:tcBorders>
              <w:bottom w:val="single" w:sz="4" w:space="0" w:color="auto"/>
            </w:tcBorders>
            <w:vAlign w:val="center"/>
            <w:hideMark/>
          </w:tcPr>
          <w:p w14:paraId="04D3ECAB"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p>
        </w:tc>
        <w:tc>
          <w:tcPr>
            <w:tcW w:w="2067" w:type="dxa"/>
            <w:tcBorders>
              <w:bottom w:val="single" w:sz="4" w:space="0" w:color="auto"/>
            </w:tcBorders>
            <w:vAlign w:val="center"/>
            <w:hideMark/>
          </w:tcPr>
          <w:p w14:paraId="512B06E8"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Electricity</w:t>
            </w:r>
          </w:p>
        </w:tc>
        <w:tc>
          <w:tcPr>
            <w:tcW w:w="996" w:type="dxa"/>
            <w:tcBorders>
              <w:bottom w:val="single" w:sz="4" w:space="0" w:color="auto"/>
            </w:tcBorders>
            <w:vAlign w:val="center"/>
            <w:hideMark/>
          </w:tcPr>
          <w:p w14:paraId="7AB4C141"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17</w:t>
            </w:r>
          </w:p>
        </w:tc>
        <w:tc>
          <w:tcPr>
            <w:tcW w:w="776" w:type="dxa"/>
            <w:tcBorders>
              <w:bottom w:val="single" w:sz="4" w:space="0" w:color="auto"/>
            </w:tcBorders>
            <w:vAlign w:val="center"/>
            <w:hideMark/>
          </w:tcPr>
          <w:p w14:paraId="0366C5B1"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kWh</w:t>
            </w:r>
          </w:p>
        </w:tc>
        <w:tc>
          <w:tcPr>
            <w:tcW w:w="2112" w:type="dxa"/>
            <w:tcBorders>
              <w:bottom w:val="single" w:sz="4" w:space="0" w:color="auto"/>
            </w:tcBorders>
            <w:vAlign w:val="center"/>
            <w:hideMark/>
          </w:tcPr>
          <w:p w14:paraId="18BABA25"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CO₂ emissions</w:t>
            </w:r>
          </w:p>
        </w:tc>
        <w:tc>
          <w:tcPr>
            <w:tcW w:w="0" w:type="auto"/>
            <w:tcBorders>
              <w:bottom w:val="single" w:sz="4" w:space="0" w:color="auto"/>
            </w:tcBorders>
            <w:vAlign w:val="center"/>
            <w:hideMark/>
          </w:tcPr>
          <w:p w14:paraId="4E83E2AD"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14.45</w:t>
            </w:r>
          </w:p>
        </w:tc>
        <w:tc>
          <w:tcPr>
            <w:tcW w:w="442" w:type="dxa"/>
            <w:tcBorders>
              <w:bottom w:val="single" w:sz="4" w:space="0" w:color="auto"/>
            </w:tcBorders>
            <w:vAlign w:val="center"/>
            <w:hideMark/>
          </w:tcPr>
          <w:p w14:paraId="349BDA65"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kg</w:t>
            </w:r>
          </w:p>
        </w:tc>
      </w:tr>
      <w:tr w:rsidR="00994B8F" w:rsidRPr="00AD55B4" w14:paraId="3D5689CE" w14:textId="77777777" w:rsidTr="00A73AC0">
        <w:trPr>
          <w:trHeight w:val="200"/>
          <w:tblCellSpacing w:w="15" w:type="dxa"/>
        </w:trPr>
        <w:tc>
          <w:tcPr>
            <w:tcW w:w="1686" w:type="dxa"/>
            <w:vAlign w:val="center"/>
            <w:hideMark/>
          </w:tcPr>
          <w:p w14:paraId="1D4F2840"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lastRenderedPageBreak/>
              <w:t>Boiling</w:t>
            </w:r>
          </w:p>
        </w:tc>
        <w:tc>
          <w:tcPr>
            <w:tcW w:w="2067" w:type="dxa"/>
            <w:vAlign w:val="center"/>
            <w:hideMark/>
          </w:tcPr>
          <w:p w14:paraId="00C7CE02"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Soybean slurry</w:t>
            </w:r>
          </w:p>
        </w:tc>
        <w:tc>
          <w:tcPr>
            <w:tcW w:w="996" w:type="dxa"/>
            <w:vAlign w:val="center"/>
            <w:hideMark/>
          </w:tcPr>
          <w:p w14:paraId="0C36E365"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7840</w:t>
            </w:r>
          </w:p>
        </w:tc>
        <w:tc>
          <w:tcPr>
            <w:tcW w:w="776" w:type="dxa"/>
            <w:vAlign w:val="center"/>
            <w:hideMark/>
          </w:tcPr>
          <w:p w14:paraId="30BE43CE"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kg</w:t>
            </w:r>
          </w:p>
        </w:tc>
        <w:tc>
          <w:tcPr>
            <w:tcW w:w="2112" w:type="dxa"/>
            <w:vAlign w:val="center"/>
            <w:hideMark/>
          </w:tcPr>
          <w:p w14:paraId="0E3BF7F7"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Boiled soybean slurry</w:t>
            </w:r>
          </w:p>
        </w:tc>
        <w:tc>
          <w:tcPr>
            <w:tcW w:w="0" w:type="auto"/>
            <w:vAlign w:val="center"/>
            <w:hideMark/>
          </w:tcPr>
          <w:p w14:paraId="2DA46A74"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15,652</w:t>
            </w:r>
          </w:p>
        </w:tc>
        <w:tc>
          <w:tcPr>
            <w:tcW w:w="442" w:type="dxa"/>
            <w:vAlign w:val="center"/>
            <w:hideMark/>
          </w:tcPr>
          <w:p w14:paraId="1794AA50"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kg</w:t>
            </w:r>
          </w:p>
        </w:tc>
      </w:tr>
      <w:tr w:rsidR="00994B8F" w:rsidRPr="00AD55B4" w14:paraId="443E5584" w14:textId="77777777" w:rsidTr="00A73AC0">
        <w:trPr>
          <w:trHeight w:val="402"/>
          <w:tblCellSpacing w:w="15" w:type="dxa"/>
        </w:trPr>
        <w:tc>
          <w:tcPr>
            <w:tcW w:w="1686" w:type="dxa"/>
            <w:vAlign w:val="center"/>
            <w:hideMark/>
          </w:tcPr>
          <w:p w14:paraId="3BF171A6"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p>
        </w:tc>
        <w:tc>
          <w:tcPr>
            <w:tcW w:w="2067" w:type="dxa"/>
            <w:vAlign w:val="center"/>
            <w:hideMark/>
          </w:tcPr>
          <w:p w14:paraId="38A1CC51"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Water</w:t>
            </w:r>
          </w:p>
        </w:tc>
        <w:tc>
          <w:tcPr>
            <w:tcW w:w="996" w:type="dxa"/>
            <w:vAlign w:val="center"/>
            <w:hideMark/>
          </w:tcPr>
          <w:p w14:paraId="3227FF31"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8400</w:t>
            </w:r>
          </w:p>
        </w:tc>
        <w:tc>
          <w:tcPr>
            <w:tcW w:w="776" w:type="dxa"/>
            <w:vAlign w:val="center"/>
            <w:hideMark/>
          </w:tcPr>
          <w:p w14:paraId="4375C461"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L</w:t>
            </w:r>
          </w:p>
        </w:tc>
        <w:tc>
          <w:tcPr>
            <w:tcW w:w="2112" w:type="dxa"/>
            <w:vAlign w:val="center"/>
            <w:hideMark/>
          </w:tcPr>
          <w:p w14:paraId="17FBA551"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Steam loss (evaporation)</w:t>
            </w:r>
          </w:p>
        </w:tc>
        <w:tc>
          <w:tcPr>
            <w:tcW w:w="0" w:type="auto"/>
            <w:vAlign w:val="center"/>
            <w:hideMark/>
          </w:tcPr>
          <w:p w14:paraId="2C01D35E"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588</w:t>
            </w:r>
          </w:p>
        </w:tc>
        <w:tc>
          <w:tcPr>
            <w:tcW w:w="442" w:type="dxa"/>
            <w:vAlign w:val="center"/>
            <w:hideMark/>
          </w:tcPr>
          <w:p w14:paraId="5D1686CD"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L</w:t>
            </w:r>
          </w:p>
        </w:tc>
      </w:tr>
      <w:tr w:rsidR="00994B8F" w:rsidRPr="00AD55B4" w14:paraId="59F6BF85" w14:textId="77777777" w:rsidTr="00A73AC0">
        <w:trPr>
          <w:trHeight w:val="200"/>
          <w:tblCellSpacing w:w="15" w:type="dxa"/>
        </w:trPr>
        <w:tc>
          <w:tcPr>
            <w:tcW w:w="1686" w:type="dxa"/>
            <w:vAlign w:val="center"/>
            <w:hideMark/>
          </w:tcPr>
          <w:p w14:paraId="26638A23"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p>
        </w:tc>
        <w:tc>
          <w:tcPr>
            <w:tcW w:w="2067" w:type="dxa"/>
            <w:vAlign w:val="center"/>
            <w:hideMark/>
          </w:tcPr>
          <w:p w14:paraId="53B72ABE"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Firewood</w:t>
            </w:r>
          </w:p>
        </w:tc>
        <w:tc>
          <w:tcPr>
            <w:tcW w:w="996" w:type="dxa"/>
            <w:vAlign w:val="center"/>
            <w:hideMark/>
          </w:tcPr>
          <w:p w14:paraId="34EFA68C"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800</w:t>
            </w:r>
          </w:p>
        </w:tc>
        <w:tc>
          <w:tcPr>
            <w:tcW w:w="776" w:type="dxa"/>
            <w:vAlign w:val="center"/>
            <w:hideMark/>
          </w:tcPr>
          <w:p w14:paraId="68D5156F"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kg</w:t>
            </w:r>
          </w:p>
        </w:tc>
        <w:tc>
          <w:tcPr>
            <w:tcW w:w="2112" w:type="dxa"/>
            <w:vAlign w:val="center"/>
            <w:hideMark/>
          </w:tcPr>
          <w:p w14:paraId="51A43597"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CO₂ emissions</w:t>
            </w:r>
          </w:p>
        </w:tc>
        <w:tc>
          <w:tcPr>
            <w:tcW w:w="0" w:type="auto"/>
            <w:vAlign w:val="center"/>
            <w:hideMark/>
          </w:tcPr>
          <w:p w14:paraId="23A8BBC5"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1397</w:t>
            </w:r>
          </w:p>
        </w:tc>
        <w:tc>
          <w:tcPr>
            <w:tcW w:w="442" w:type="dxa"/>
            <w:vAlign w:val="center"/>
            <w:hideMark/>
          </w:tcPr>
          <w:p w14:paraId="1B384D36"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kg</w:t>
            </w:r>
          </w:p>
        </w:tc>
      </w:tr>
      <w:tr w:rsidR="00994B8F" w:rsidRPr="00AD55B4" w14:paraId="7DE595D9" w14:textId="77777777" w:rsidTr="00A73AC0">
        <w:trPr>
          <w:trHeight w:val="213"/>
          <w:tblCellSpacing w:w="15" w:type="dxa"/>
        </w:trPr>
        <w:tc>
          <w:tcPr>
            <w:tcW w:w="1686" w:type="dxa"/>
            <w:vAlign w:val="center"/>
            <w:hideMark/>
          </w:tcPr>
          <w:p w14:paraId="6A1E4647"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p>
        </w:tc>
        <w:tc>
          <w:tcPr>
            <w:tcW w:w="2067" w:type="dxa"/>
            <w:vAlign w:val="center"/>
            <w:hideMark/>
          </w:tcPr>
          <w:p w14:paraId="267B0064"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p>
        </w:tc>
        <w:tc>
          <w:tcPr>
            <w:tcW w:w="996" w:type="dxa"/>
            <w:vAlign w:val="center"/>
            <w:hideMark/>
          </w:tcPr>
          <w:p w14:paraId="57CAB3B3"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p>
        </w:tc>
        <w:tc>
          <w:tcPr>
            <w:tcW w:w="776" w:type="dxa"/>
            <w:vAlign w:val="center"/>
            <w:hideMark/>
          </w:tcPr>
          <w:p w14:paraId="165CBCC9"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p>
        </w:tc>
        <w:tc>
          <w:tcPr>
            <w:tcW w:w="2112" w:type="dxa"/>
            <w:vAlign w:val="center"/>
            <w:hideMark/>
          </w:tcPr>
          <w:p w14:paraId="7EC32DED"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CH₄ emissions</w:t>
            </w:r>
          </w:p>
        </w:tc>
        <w:tc>
          <w:tcPr>
            <w:tcW w:w="0" w:type="auto"/>
            <w:vAlign w:val="center"/>
            <w:hideMark/>
          </w:tcPr>
          <w:p w14:paraId="20C5E52B"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0.0499</w:t>
            </w:r>
          </w:p>
        </w:tc>
        <w:tc>
          <w:tcPr>
            <w:tcW w:w="442" w:type="dxa"/>
            <w:vAlign w:val="center"/>
            <w:hideMark/>
          </w:tcPr>
          <w:p w14:paraId="62F57710"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kg</w:t>
            </w:r>
          </w:p>
        </w:tc>
      </w:tr>
      <w:tr w:rsidR="00994B8F" w:rsidRPr="00AD55B4" w14:paraId="671DAB1F" w14:textId="77777777" w:rsidTr="00A73AC0">
        <w:trPr>
          <w:trHeight w:val="200"/>
          <w:tblCellSpacing w:w="15" w:type="dxa"/>
        </w:trPr>
        <w:tc>
          <w:tcPr>
            <w:tcW w:w="1686" w:type="dxa"/>
            <w:tcBorders>
              <w:bottom w:val="single" w:sz="4" w:space="0" w:color="auto"/>
            </w:tcBorders>
            <w:vAlign w:val="center"/>
            <w:hideMark/>
          </w:tcPr>
          <w:p w14:paraId="6BB29B64"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p>
        </w:tc>
        <w:tc>
          <w:tcPr>
            <w:tcW w:w="2067" w:type="dxa"/>
            <w:tcBorders>
              <w:bottom w:val="single" w:sz="4" w:space="0" w:color="auto"/>
            </w:tcBorders>
            <w:vAlign w:val="center"/>
            <w:hideMark/>
          </w:tcPr>
          <w:p w14:paraId="3E004B62"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p>
        </w:tc>
        <w:tc>
          <w:tcPr>
            <w:tcW w:w="996" w:type="dxa"/>
            <w:tcBorders>
              <w:bottom w:val="single" w:sz="4" w:space="0" w:color="auto"/>
            </w:tcBorders>
            <w:vAlign w:val="center"/>
            <w:hideMark/>
          </w:tcPr>
          <w:p w14:paraId="2C58B26A"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p>
        </w:tc>
        <w:tc>
          <w:tcPr>
            <w:tcW w:w="776" w:type="dxa"/>
            <w:tcBorders>
              <w:bottom w:val="single" w:sz="4" w:space="0" w:color="auto"/>
            </w:tcBorders>
            <w:vAlign w:val="center"/>
            <w:hideMark/>
          </w:tcPr>
          <w:p w14:paraId="61C14EBE"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p>
        </w:tc>
        <w:tc>
          <w:tcPr>
            <w:tcW w:w="2112" w:type="dxa"/>
            <w:tcBorders>
              <w:bottom w:val="single" w:sz="4" w:space="0" w:color="auto"/>
            </w:tcBorders>
            <w:vAlign w:val="center"/>
            <w:hideMark/>
          </w:tcPr>
          <w:p w14:paraId="4FF6BEBE"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N₂O emissions</w:t>
            </w:r>
          </w:p>
        </w:tc>
        <w:tc>
          <w:tcPr>
            <w:tcW w:w="0" w:type="auto"/>
            <w:tcBorders>
              <w:bottom w:val="single" w:sz="4" w:space="0" w:color="auto"/>
            </w:tcBorders>
            <w:vAlign w:val="center"/>
            <w:hideMark/>
          </w:tcPr>
          <w:p w14:paraId="48005232"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0.3744</w:t>
            </w:r>
          </w:p>
        </w:tc>
        <w:tc>
          <w:tcPr>
            <w:tcW w:w="442" w:type="dxa"/>
            <w:tcBorders>
              <w:bottom w:val="single" w:sz="4" w:space="0" w:color="auto"/>
            </w:tcBorders>
            <w:vAlign w:val="center"/>
            <w:hideMark/>
          </w:tcPr>
          <w:p w14:paraId="4F5E1377"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kg</w:t>
            </w:r>
          </w:p>
        </w:tc>
      </w:tr>
      <w:tr w:rsidR="00994B8F" w:rsidRPr="00AD55B4" w14:paraId="46FAAE94" w14:textId="77777777" w:rsidTr="00A73AC0">
        <w:trPr>
          <w:trHeight w:val="200"/>
          <w:tblCellSpacing w:w="15" w:type="dxa"/>
        </w:trPr>
        <w:tc>
          <w:tcPr>
            <w:tcW w:w="1686" w:type="dxa"/>
            <w:vAlign w:val="center"/>
            <w:hideMark/>
          </w:tcPr>
          <w:p w14:paraId="783ABDDE"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Filtration</w:t>
            </w:r>
          </w:p>
        </w:tc>
        <w:tc>
          <w:tcPr>
            <w:tcW w:w="2067" w:type="dxa"/>
            <w:vAlign w:val="center"/>
            <w:hideMark/>
          </w:tcPr>
          <w:p w14:paraId="0092E64A"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Boiled slurry</w:t>
            </w:r>
          </w:p>
        </w:tc>
        <w:tc>
          <w:tcPr>
            <w:tcW w:w="996" w:type="dxa"/>
            <w:vAlign w:val="center"/>
            <w:hideMark/>
          </w:tcPr>
          <w:p w14:paraId="1E994315"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15,652</w:t>
            </w:r>
          </w:p>
        </w:tc>
        <w:tc>
          <w:tcPr>
            <w:tcW w:w="776" w:type="dxa"/>
            <w:vAlign w:val="center"/>
            <w:hideMark/>
          </w:tcPr>
          <w:p w14:paraId="78AF37D2"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kg</w:t>
            </w:r>
          </w:p>
        </w:tc>
        <w:tc>
          <w:tcPr>
            <w:tcW w:w="2112" w:type="dxa"/>
            <w:vAlign w:val="center"/>
            <w:hideMark/>
          </w:tcPr>
          <w:p w14:paraId="74FD6BA9"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Soy milk</w:t>
            </w:r>
          </w:p>
        </w:tc>
        <w:tc>
          <w:tcPr>
            <w:tcW w:w="0" w:type="auto"/>
            <w:vAlign w:val="center"/>
            <w:hideMark/>
          </w:tcPr>
          <w:p w14:paraId="39181813"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14,052</w:t>
            </w:r>
          </w:p>
        </w:tc>
        <w:tc>
          <w:tcPr>
            <w:tcW w:w="442" w:type="dxa"/>
            <w:vAlign w:val="center"/>
            <w:hideMark/>
          </w:tcPr>
          <w:p w14:paraId="6C60571C"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kg</w:t>
            </w:r>
          </w:p>
        </w:tc>
      </w:tr>
      <w:tr w:rsidR="00994B8F" w:rsidRPr="00AD55B4" w14:paraId="184FBEB6" w14:textId="77777777" w:rsidTr="00A73AC0">
        <w:trPr>
          <w:trHeight w:val="200"/>
          <w:tblCellSpacing w:w="15" w:type="dxa"/>
        </w:trPr>
        <w:tc>
          <w:tcPr>
            <w:tcW w:w="1686" w:type="dxa"/>
            <w:tcBorders>
              <w:bottom w:val="single" w:sz="4" w:space="0" w:color="auto"/>
            </w:tcBorders>
            <w:vAlign w:val="center"/>
            <w:hideMark/>
          </w:tcPr>
          <w:p w14:paraId="1A0842B4"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p>
        </w:tc>
        <w:tc>
          <w:tcPr>
            <w:tcW w:w="2067" w:type="dxa"/>
            <w:tcBorders>
              <w:bottom w:val="single" w:sz="4" w:space="0" w:color="auto"/>
            </w:tcBorders>
            <w:vAlign w:val="center"/>
            <w:hideMark/>
          </w:tcPr>
          <w:p w14:paraId="49F3AC30"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p>
        </w:tc>
        <w:tc>
          <w:tcPr>
            <w:tcW w:w="996" w:type="dxa"/>
            <w:tcBorders>
              <w:bottom w:val="single" w:sz="4" w:space="0" w:color="auto"/>
            </w:tcBorders>
            <w:vAlign w:val="center"/>
            <w:hideMark/>
          </w:tcPr>
          <w:p w14:paraId="24217B24"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p>
        </w:tc>
        <w:tc>
          <w:tcPr>
            <w:tcW w:w="776" w:type="dxa"/>
            <w:tcBorders>
              <w:bottom w:val="single" w:sz="4" w:space="0" w:color="auto"/>
            </w:tcBorders>
            <w:vAlign w:val="center"/>
            <w:hideMark/>
          </w:tcPr>
          <w:p w14:paraId="337DD56B"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p>
        </w:tc>
        <w:tc>
          <w:tcPr>
            <w:tcW w:w="2112" w:type="dxa"/>
            <w:tcBorders>
              <w:bottom w:val="single" w:sz="4" w:space="0" w:color="auto"/>
            </w:tcBorders>
            <w:vAlign w:val="center"/>
            <w:hideMark/>
          </w:tcPr>
          <w:p w14:paraId="7D712C54"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Tofu residue (okara)</w:t>
            </w:r>
          </w:p>
        </w:tc>
        <w:tc>
          <w:tcPr>
            <w:tcW w:w="0" w:type="auto"/>
            <w:tcBorders>
              <w:bottom w:val="single" w:sz="4" w:space="0" w:color="auto"/>
            </w:tcBorders>
            <w:vAlign w:val="center"/>
            <w:hideMark/>
          </w:tcPr>
          <w:p w14:paraId="79BE9723"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1600</w:t>
            </w:r>
          </w:p>
        </w:tc>
        <w:tc>
          <w:tcPr>
            <w:tcW w:w="442" w:type="dxa"/>
            <w:tcBorders>
              <w:bottom w:val="single" w:sz="4" w:space="0" w:color="auto"/>
            </w:tcBorders>
            <w:vAlign w:val="center"/>
            <w:hideMark/>
          </w:tcPr>
          <w:p w14:paraId="1FB9070A"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kg</w:t>
            </w:r>
          </w:p>
        </w:tc>
      </w:tr>
      <w:tr w:rsidR="00994B8F" w:rsidRPr="00AD55B4" w14:paraId="3F3C226B" w14:textId="77777777" w:rsidTr="00A73AC0">
        <w:trPr>
          <w:trHeight w:val="213"/>
          <w:tblCellSpacing w:w="15" w:type="dxa"/>
        </w:trPr>
        <w:tc>
          <w:tcPr>
            <w:tcW w:w="1686" w:type="dxa"/>
            <w:vAlign w:val="center"/>
            <w:hideMark/>
          </w:tcPr>
          <w:p w14:paraId="465408CF"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Coagulation</w:t>
            </w:r>
          </w:p>
        </w:tc>
        <w:tc>
          <w:tcPr>
            <w:tcW w:w="2067" w:type="dxa"/>
            <w:vAlign w:val="center"/>
            <w:hideMark/>
          </w:tcPr>
          <w:p w14:paraId="20E2CBFC"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Soy milk</w:t>
            </w:r>
          </w:p>
        </w:tc>
        <w:tc>
          <w:tcPr>
            <w:tcW w:w="996" w:type="dxa"/>
            <w:vAlign w:val="center"/>
            <w:hideMark/>
          </w:tcPr>
          <w:p w14:paraId="37B853C5"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14,052</w:t>
            </w:r>
          </w:p>
        </w:tc>
        <w:tc>
          <w:tcPr>
            <w:tcW w:w="776" w:type="dxa"/>
            <w:vAlign w:val="center"/>
            <w:hideMark/>
          </w:tcPr>
          <w:p w14:paraId="35728283"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kg</w:t>
            </w:r>
          </w:p>
        </w:tc>
        <w:tc>
          <w:tcPr>
            <w:tcW w:w="2112" w:type="dxa"/>
            <w:vAlign w:val="center"/>
            <w:hideMark/>
          </w:tcPr>
          <w:p w14:paraId="05059C2F"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Tofu curd</w:t>
            </w:r>
          </w:p>
        </w:tc>
        <w:tc>
          <w:tcPr>
            <w:tcW w:w="0" w:type="auto"/>
            <w:vAlign w:val="center"/>
            <w:hideMark/>
          </w:tcPr>
          <w:p w14:paraId="43455A37"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3681</w:t>
            </w:r>
          </w:p>
        </w:tc>
        <w:tc>
          <w:tcPr>
            <w:tcW w:w="442" w:type="dxa"/>
            <w:vAlign w:val="center"/>
            <w:hideMark/>
          </w:tcPr>
          <w:p w14:paraId="56A2D116"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kg</w:t>
            </w:r>
          </w:p>
        </w:tc>
      </w:tr>
      <w:tr w:rsidR="00994B8F" w:rsidRPr="00AD55B4" w14:paraId="7EB09D67" w14:textId="77777777" w:rsidTr="00A73AC0">
        <w:trPr>
          <w:trHeight w:val="200"/>
          <w:tblCellSpacing w:w="15" w:type="dxa"/>
        </w:trPr>
        <w:tc>
          <w:tcPr>
            <w:tcW w:w="1686" w:type="dxa"/>
            <w:tcBorders>
              <w:bottom w:val="single" w:sz="4" w:space="0" w:color="auto"/>
            </w:tcBorders>
            <w:vAlign w:val="center"/>
            <w:hideMark/>
          </w:tcPr>
          <w:p w14:paraId="01012C28"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p>
        </w:tc>
        <w:tc>
          <w:tcPr>
            <w:tcW w:w="2067" w:type="dxa"/>
            <w:tcBorders>
              <w:bottom w:val="single" w:sz="4" w:space="0" w:color="auto"/>
            </w:tcBorders>
            <w:vAlign w:val="center"/>
            <w:hideMark/>
          </w:tcPr>
          <w:p w14:paraId="2507A05F"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Coagulant water</w:t>
            </w:r>
          </w:p>
        </w:tc>
        <w:tc>
          <w:tcPr>
            <w:tcW w:w="996" w:type="dxa"/>
            <w:tcBorders>
              <w:bottom w:val="single" w:sz="4" w:space="0" w:color="auto"/>
            </w:tcBorders>
            <w:vAlign w:val="center"/>
            <w:hideMark/>
          </w:tcPr>
          <w:p w14:paraId="30A02BF0"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421</w:t>
            </w:r>
          </w:p>
        </w:tc>
        <w:tc>
          <w:tcPr>
            <w:tcW w:w="776" w:type="dxa"/>
            <w:tcBorders>
              <w:bottom w:val="single" w:sz="4" w:space="0" w:color="auto"/>
            </w:tcBorders>
            <w:vAlign w:val="center"/>
            <w:hideMark/>
          </w:tcPr>
          <w:p w14:paraId="0BC269D9"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L</w:t>
            </w:r>
          </w:p>
        </w:tc>
        <w:tc>
          <w:tcPr>
            <w:tcW w:w="2112" w:type="dxa"/>
            <w:tcBorders>
              <w:bottom w:val="single" w:sz="4" w:space="0" w:color="auto"/>
            </w:tcBorders>
            <w:vAlign w:val="center"/>
            <w:hideMark/>
          </w:tcPr>
          <w:p w14:paraId="3C6368E2"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Whey</w:t>
            </w:r>
          </w:p>
        </w:tc>
        <w:tc>
          <w:tcPr>
            <w:tcW w:w="0" w:type="auto"/>
            <w:tcBorders>
              <w:bottom w:val="single" w:sz="4" w:space="0" w:color="auto"/>
            </w:tcBorders>
            <w:vAlign w:val="center"/>
            <w:hideMark/>
          </w:tcPr>
          <w:p w14:paraId="4CBB8D64"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10,434</w:t>
            </w:r>
          </w:p>
        </w:tc>
        <w:tc>
          <w:tcPr>
            <w:tcW w:w="442" w:type="dxa"/>
            <w:tcBorders>
              <w:bottom w:val="single" w:sz="4" w:space="0" w:color="auto"/>
            </w:tcBorders>
            <w:vAlign w:val="center"/>
            <w:hideMark/>
          </w:tcPr>
          <w:p w14:paraId="522C0B0C"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L</w:t>
            </w:r>
          </w:p>
        </w:tc>
      </w:tr>
      <w:tr w:rsidR="00994B8F" w:rsidRPr="00AD55B4" w14:paraId="52ACD6D5" w14:textId="77777777" w:rsidTr="00A73AC0">
        <w:trPr>
          <w:trHeight w:val="59"/>
          <w:tblCellSpacing w:w="15" w:type="dxa"/>
        </w:trPr>
        <w:tc>
          <w:tcPr>
            <w:tcW w:w="1686" w:type="dxa"/>
            <w:vAlign w:val="center"/>
            <w:hideMark/>
          </w:tcPr>
          <w:p w14:paraId="589374A6"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Molding &amp; Packaging</w:t>
            </w:r>
          </w:p>
        </w:tc>
        <w:tc>
          <w:tcPr>
            <w:tcW w:w="2067" w:type="dxa"/>
            <w:vAlign w:val="center"/>
            <w:hideMark/>
          </w:tcPr>
          <w:p w14:paraId="2BEEE470"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Tofu curd</w:t>
            </w:r>
          </w:p>
        </w:tc>
        <w:tc>
          <w:tcPr>
            <w:tcW w:w="996" w:type="dxa"/>
            <w:vAlign w:val="center"/>
            <w:hideMark/>
          </w:tcPr>
          <w:p w14:paraId="06BE7841"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3681</w:t>
            </w:r>
          </w:p>
        </w:tc>
        <w:tc>
          <w:tcPr>
            <w:tcW w:w="776" w:type="dxa"/>
            <w:vAlign w:val="center"/>
            <w:hideMark/>
          </w:tcPr>
          <w:p w14:paraId="541807BD"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kg</w:t>
            </w:r>
          </w:p>
        </w:tc>
        <w:tc>
          <w:tcPr>
            <w:tcW w:w="2112" w:type="dxa"/>
            <w:vAlign w:val="center"/>
            <w:hideMark/>
          </w:tcPr>
          <w:p w14:paraId="38EDCB5B"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Final tofu product</w:t>
            </w:r>
          </w:p>
        </w:tc>
        <w:tc>
          <w:tcPr>
            <w:tcW w:w="0" w:type="auto"/>
            <w:vAlign w:val="center"/>
            <w:hideMark/>
          </w:tcPr>
          <w:p w14:paraId="159F38E7"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3681</w:t>
            </w:r>
          </w:p>
        </w:tc>
        <w:tc>
          <w:tcPr>
            <w:tcW w:w="442" w:type="dxa"/>
            <w:vAlign w:val="center"/>
            <w:hideMark/>
          </w:tcPr>
          <w:p w14:paraId="1856BD67"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kg</w:t>
            </w:r>
          </w:p>
        </w:tc>
      </w:tr>
      <w:tr w:rsidR="00994B8F" w:rsidRPr="00AD55B4" w14:paraId="3B5845ED" w14:textId="77777777" w:rsidTr="00A73AC0">
        <w:trPr>
          <w:trHeight w:val="213"/>
          <w:tblCellSpacing w:w="15" w:type="dxa"/>
        </w:trPr>
        <w:tc>
          <w:tcPr>
            <w:tcW w:w="1686" w:type="dxa"/>
            <w:tcBorders>
              <w:bottom w:val="single" w:sz="4" w:space="0" w:color="auto"/>
            </w:tcBorders>
            <w:vAlign w:val="center"/>
            <w:hideMark/>
          </w:tcPr>
          <w:p w14:paraId="4BBA8EFB"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p>
        </w:tc>
        <w:tc>
          <w:tcPr>
            <w:tcW w:w="2067" w:type="dxa"/>
            <w:tcBorders>
              <w:bottom w:val="single" w:sz="4" w:space="0" w:color="auto"/>
            </w:tcBorders>
            <w:vAlign w:val="center"/>
            <w:hideMark/>
          </w:tcPr>
          <w:p w14:paraId="4F0C18B6"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Water</w:t>
            </w:r>
          </w:p>
        </w:tc>
        <w:tc>
          <w:tcPr>
            <w:tcW w:w="996" w:type="dxa"/>
            <w:tcBorders>
              <w:bottom w:val="single" w:sz="4" w:space="0" w:color="auto"/>
            </w:tcBorders>
            <w:vAlign w:val="center"/>
            <w:hideMark/>
          </w:tcPr>
          <w:p w14:paraId="1E1CDCAE"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100</w:t>
            </w:r>
          </w:p>
        </w:tc>
        <w:tc>
          <w:tcPr>
            <w:tcW w:w="776" w:type="dxa"/>
            <w:tcBorders>
              <w:bottom w:val="single" w:sz="4" w:space="0" w:color="auto"/>
            </w:tcBorders>
            <w:vAlign w:val="center"/>
            <w:hideMark/>
          </w:tcPr>
          <w:p w14:paraId="544ABB87"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L</w:t>
            </w:r>
          </w:p>
        </w:tc>
        <w:tc>
          <w:tcPr>
            <w:tcW w:w="2112" w:type="dxa"/>
            <w:tcBorders>
              <w:bottom w:val="single" w:sz="4" w:space="0" w:color="auto"/>
            </w:tcBorders>
            <w:vAlign w:val="center"/>
            <w:hideMark/>
          </w:tcPr>
          <w:p w14:paraId="52090C59"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Wastewater</w:t>
            </w:r>
          </w:p>
        </w:tc>
        <w:tc>
          <w:tcPr>
            <w:tcW w:w="0" w:type="auto"/>
            <w:tcBorders>
              <w:bottom w:val="single" w:sz="4" w:space="0" w:color="auto"/>
            </w:tcBorders>
            <w:vAlign w:val="center"/>
            <w:hideMark/>
          </w:tcPr>
          <w:p w14:paraId="402B9829"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100</w:t>
            </w:r>
          </w:p>
        </w:tc>
        <w:tc>
          <w:tcPr>
            <w:tcW w:w="442" w:type="dxa"/>
            <w:tcBorders>
              <w:bottom w:val="single" w:sz="4" w:space="0" w:color="auto"/>
            </w:tcBorders>
            <w:vAlign w:val="center"/>
            <w:hideMark/>
          </w:tcPr>
          <w:p w14:paraId="637930F6" w14:textId="77777777" w:rsidR="004F6613" w:rsidRPr="004F6613" w:rsidRDefault="004F6613" w:rsidP="009F1E5F">
            <w:pPr>
              <w:spacing w:after="0" w:line="240" w:lineRule="auto"/>
              <w:rPr>
                <w:rFonts w:ascii="Cambria" w:eastAsia="Times New Roman" w:hAnsi="Cambria" w:cs="Times New Roman"/>
                <w:kern w:val="0"/>
                <w:sz w:val="18"/>
                <w:szCs w:val="18"/>
                <w:lang w:val="en-ID" w:eastAsia="en-ID"/>
                <w14:ligatures w14:val="none"/>
              </w:rPr>
            </w:pPr>
            <w:r w:rsidRPr="004F6613">
              <w:rPr>
                <w:rFonts w:ascii="Cambria" w:eastAsia="Times New Roman" w:hAnsi="Cambria" w:cs="Times New Roman"/>
                <w:kern w:val="0"/>
                <w:sz w:val="18"/>
                <w:szCs w:val="18"/>
                <w:lang w:val="en-ID" w:eastAsia="en-ID"/>
                <w14:ligatures w14:val="none"/>
              </w:rPr>
              <w:t>L</w:t>
            </w:r>
          </w:p>
        </w:tc>
      </w:tr>
    </w:tbl>
    <w:p w14:paraId="212B56CE" w14:textId="2563F916" w:rsidR="00507042" w:rsidRPr="00AD55B4" w:rsidRDefault="00507042" w:rsidP="00507042">
      <w:pPr>
        <w:pStyle w:val="IOP-CS-SubsectionHeading"/>
      </w:pPr>
      <w:r w:rsidRPr="00AD55B4">
        <w:t xml:space="preserve">2.3 </w:t>
      </w:r>
      <w:r w:rsidR="008D1A28" w:rsidRPr="00AD55B4">
        <w:t xml:space="preserve">Impact Assessment </w:t>
      </w:r>
    </w:p>
    <w:p w14:paraId="6323D625" w14:textId="54D44CF3" w:rsidR="005F4BE0" w:rsidRPr="00AD55B4" w:rsidRDefault="005F4BE0" w:rsidP="005F4BE0">
      <w:pPr>
        <w:pStyle w:val="IOP-CS-SubsectionHeading"/>
        <w:spacing w:before="0"/>
        <w:jc w:val="both"/>
        <w:rPr>
          <w:i w:val="0"/>
          <w:iCs w:val="0"/>
          <w:noProof/>
        </w:rPr>
      </w:pPr>
      <w:r w:rsidRPr="00AD55B4">
        <w:rPr>
          <w:i w:val="0"/>
          <w:iCs w:val="0"/>
          <w:noProof/>
        </w:rPr>
        <w:t xml:space="preserve">The Life Cycle Impact Assessment (LCIA) phase aims to evaluate and quantify the potential environmental impacts generated by a product system based on the input and output data compiled during the Life Cycle Inventory (LCI) phase </w:t>
      </w:r>
      <w:r w:rsidR="004D391B">
        <w:rPr>
          <w:i w:val="0"/>
          <w:iCs w:val="0"/>
          <w:noProof/>
        </w:rPr>
        <w:t>[6].</w:t>
      </w:r>
      <w:r w:rsidRPr="00AD55B4">
        <w:rPr>
          <w:i w:val="0"/>
          <w:iCs w:val="0"/>
          <w:noProof/>
        </w:rPr>
        <w:t xml:space="preserve"> In this phase, the input and output data from each tofu production stage are classified into environmental impact categories to determine the contribution of each stage to the identified impacts. The LCIA was performed using SimaPro 10.3 software with the CML-IA Baseline impact assessment method, which generates the following impact categories: Global Warming, Ozone Layer Depletion, Fresh Water Aquatic Ecotoxicity, Acidification, and Eutrophication. The AWARE method was additionally applied to assess water use and potential water scarcity. Through this phase, production stages contributing the greatest environmental burden were identified, thereby providing the basis for formulating improvement alternatives and waste management strategies in the subsequent analysis.</w:t>
      </w:r>
    </w:p>
    <w:p w14:paraId="16354745" w14:textId="1410CA0B" w:rsidR="00FB4CEA" w:rsidRPr="00AD55B4" w:rsidRDefault="00FB4CEA" w:rsidP="007B4F47">
      <w:pPr>
        <w:pStyle w:val="IOP-CS-SubsectionHeading"/>
        <w:spacing w:before="0"/>
      </w:pPr>
      <w:r w:rsidRPr="00AD55B4">
        <w:t>2.</w:t>
      </w:r>
      <w:r w:rsidR="0035672D" w:rsidRPr="00AD55B4">
        <w:t>4 Interpretation</w:t>
      </w:r>
    </w:p>
    <w:p w14:paraId="7F89375C" w14:textId="548160BC" w:rsidR="00A21BB0" w:rsidRPr="00AD55B4" w:rsidRDefault="00A21BB0" w:rsidP="00FC5377">
      <w:pPr>
        <w:pStyle w:val="IOP-CS-BodyText"/>
        <w:ind w:firstLine="0"/>
        <w:rPr>
          <w:noProof/>
        </w:rPr>
      </w:pPr>
      <w:r w:rsidRPr="00AD55B4">
        <w:rPr>
          <w:noProof/>
        </w:rPr>
        <w:t xml:space="preserve">The interpretation phase was conducted to analyze and contextualize the results of the Life Cycle Impact Assessment in order to identify the </w:t>
      </w:r>
      <w:r w:rsidR="005F4BE0" w:rsidRPr="00AD55B4">
        <w:rPr>
          <w:noProof/>
        </w:rPr>
        <w:t>hostpot</w:t>
      </w:r>
      <w:r w:rsidRPr="00AD55B4">
        <w:rPr>
          <w:noProof/>
        </w:rPr>
        <w:t xml:space="preserve"> impact categories and the production stages contributing the greatest environmental burdens. Normalization was subsequently applied to compare impact categories with different units on a common scale, enabling the relative significance of each impact to be determined and priorities to be established. In this study, interpretation was focused on the gate-to-gate tofu production system spanning from washing to packaging. This approach ensures that the results accurately reflect the stages exerting the greatest influence on environmental impacts. The interpreted results serve as the basis for recommending improvement measures or drawing conclusions consistent with the goal and scope defined at the outset of the study </w:t>
      </w:r>
      <w:r w:rsidR="009D4894">
        <w:rPr>
          <w:noProof/>
        </w:rPr>
        <w:t>[12].</w:t>
      </w:r>
    </w:p>
    <w:p w14:paraId="1C6A23B8" w14:textId="77777777" w:rsidR="00A21BB0" w:rsidRPr="00AD55B4" w:rsidRDefault="00A21BB0" w:rsidP="00FC5377">
      <w:pPr>
        <w:pStyle w:val="IOP-CS-BodyText"/>
        <w:ind w:firstLine="0"/>
        <w:rPr>
          <w:noProof/>
        </w:rPr>
      </w:pPr>
    </w:p>
    <w:p w14:paraId="3A25E434" w14:textId="61AE874B" w:rsidR="00FC5377" w:rsidRPr="00AD55B4" w:rsidRDefault="00FC5377" w:rsidP="00FC5377">
      <w:pPr>
        <w:pStyle w:val="IOP-CS-BodyText"/>
        <w:ind w:firstLine="0"/>
        <w:rPr>
          <w:b/>
          <w:bCs/>
          <w:noProof/>
        </w:rPr>
      </w:pPr>
      <w:r w:rsidRPr="00AD55B4">
        <w:rPr>
          <w:b/>
          <w:bCs/>
          <w:noProof/>
        </w:rPr>
        <w:t>3. Result and Discussion</w:t>
      </w:r>
    </w:p>
    <w:p w14:paraId="5537F42E" w14:textId="77777777" w:rsidR="005F4BE0" w:rsidRPr="00AD55B4" w:rsidRDefault="005F4BE0" w:rsidP="00AD55B4">
      <w:pPr>
        <w:pStyle w:val="IOP-CS-SubsectionHeading"/>
        <w:spacing w:before="0"/>
        <w:jc w:val="both"/>
        <w:rPr>
          <w:i w:val="0"/>
          <w:iCs w:val="0"/>
          <w:noProof/>
        </w:rPr>
      </w:pPr>
      <w:r w:rsidRPr="00AD55B4">
        <w:rPr>
          <w:i w:val="0"/>
          <w:iCs w:val="0"/>
          <w:noProof/>
        </w:rPr>
        <w:t xml:space="preserve">Tofu production has the potential to generate a broad range of environmental impacts, given that the process involves raw material inputs, water, and energy, and produces both liquid and solid waste. Within the gate-to-gate production system, each stage from washing to packaging may contribute differently to environmental burdens, depending on resource requirements and the types of waste generated. The results of the Life Cycle Impact Assessment (LCIA) reveal that tofu production is associated not only with emissions and waste, but also with several other environmental impact categories, including global warming, ozone layer depletion, fresh water aquatic ecotoxicity, acidification, and eutrophication. Accordingly, this section discusses the main </w:t>
      </w:r>
      <w:r w:rsidRPr="00AD55B4">
        <w:rPr>
          <w:i w:val="0"/>
          <w:iCs w:val="0"/>
          <w:noProof/>
        </w:rPr>
        <w:lastRenderedPageBreak/>
        <w:t>potential environmental impacts of each production stage and identifies the stages constituting the greatest environmental burden in tofu production in Semarang City.</w:t>
      </w:r>
    </w:p>
    <w:p w14:paraId="580500AF" w14:textId="5E148B7C" w:rsidR="00FC5377" w:rsidRPr="00AD55B4" w:rsidRDefault="00FC5377" w:rsidP="00A21BB0">
      <w:pPr>
        <w:pStyle w:val="IOP-CS-SubsectionHeading"/>
        <w:jc w:val="both"/>
      </w:pPr>
      <w:r w:rsidRPr="00AD55B4">
        <w:t xml:space="preserve">3.1 </w:t>
      </w:r>
      <w:r w:rsidR="00504A9D" w:rsidRPr="00AD55B4">
        <w:t>Poten</w:t>
      </w:r>
      <w:r w:rsidR="005B4232" w:rsidRPr="00AD55B4">
        <w:t>tial enviromental impact</w:t>
      </w:r>
      <w:r w:rsidR="00BA3C49" w:rsidRPr="00AD55B4">
        <w:t xml:space="preserve"> of tofu production</w:t>
      </w:r>
    </w:p>
    <w:p w14:paraId="45B5B924" w14:textId="77777777" w:rsidR="005F4BE0" w:rsidRPr="00AD55B4" w:rsidRDefault="005F4BE0" w:rsidP="005F4BE0">
      <w:pPr>
        <w:pStyle w:val="IOP-CS-BodyText"/>
        <w:ind w:firstLine="0"/>
      </w:pPr>
      <w:r w:rsidRPr="00AD55B4">
        <w:t>The Life Cycle Assessment (LCA) of the tofu production system was conducted to identify the potential environmental impacts generated across all production stages. The assessment covers several key impact categories: Global Warming Potential (GWP), Ozone Layer Depletion (ODP), Fresh Water Aquatic Ecotoxicity (FAET), Acidification, and Eutrophication, followed by a normalization step to derive the relative contribution of each impact category. The results provide a quantitative representation of the environmental burden associated with the tofu production system, modeled on the basis of the compiled inventory data.</w:t>
      </w:r>
    </w:p>
    <w:p w14:paraId="32457388" w14:textId="2AD6C01D" w:rsidR="00CC2101" w:rsidRPr="00AD55B4" w:rsidRDefault="00CC2101" w:rsidP="00896999">
      <w:pPr>
        <w:pStyle w:val="IOP-CS-BodyText"/>
        <w:ind w:firstLine="0"/>
        <w:jc w:val="center"/>
        <w:rPr>
          <w:b/>
          <w:bCs/>
          <w:noProof/>
        </w:rPr>
      </w:pPr>
      <w:r w:rsidRPr="00AD55B4">
        <w:rPr>
          <w:b/>
          <w:bCs/>
          <w:noProof/>
        </w:rPr>
        <w:t>Tabel</w:t>
      </w:r>
      <w:r w:rsidR="005F4BE0" w:rsidRPr="00AD55B4">
        <w:rPr>
          <w:b/>
          <w:bCs/>
          <w:noProof/>
        </w:rPr>
        <w:t xml:space="preserve"> 2.</w:t>
      </w:r>
      <w:r w:rsidR="001B444D" w:rsidRPr="00AD55B4">
        <w:rPr>
          <w:b/>
          <w:bCs/>
          <w:noProof/>
        </w:rPr>
        <w:t xml:space="preserve"> </w:t>
      </w:r>
      <w:r w:rsidR="001B444D" w:rsidRPr="00AD55B4">
        <w:rPr>
          <w:noProof/>
        </w:rPr>
        <w:t>Enviromental Impact of Tofu Production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1275"/>
        <w:gridCol w:w="851"/>
        <w:gridCol w:w="850"/>
        <w:gridCol w:w="709"/>
        <w:gridCol w:w="735"/>
        <w:gridCol w:w="823"/>
        <w:gridCol w:w="977"/>
        <w:gridCol w:w="1246"/>
      </w:tblGrid>
      <w:tr w:rsidR="00FD4069" w:rsidRPr="00AD55B4" w14:paraId="42E2FD85" w14:textId="77777777" w:rsidTr="00FD4069">
        <w:trPr>
          <w:tblHeader/>
          <w:tblCellSpacing w:w="15" w:type="dxa"/>
        </w:trPr>
        <w:tc>
          <w:tcPr>
            <w:tcW w:w="1515" w:type="dxa"/>
            <w:tcBorders>
              <w:top w:val="single" w:sz="4" w:space="0" w:color="auto"/>
              <w:bottom w:val="single" w:sz="4" w:space="0" w:color="auto"/>
            </w:tcBorders>
            <w:vAlign w:val="center"/>
            <w:hideMark/>
          </w:tcPr>
          <w:p w14:paraId="67CDDA55" w14:textId="77777777" w:rsidR="00EC5FE0" w:rsidRPr="00EC5FE0" w:rsidRDefault="00EC5FE0" w:rsidP="00EC5FE0">
            <w:pPr>
              <w:spacing w:after="0" w:line="240" w:lineRule="auto"/>
              <w:jc w:val="center"/>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Impact Category</w:t>
            </w:r>
          </w:p>
        </w:tc>
        <w:tc>
          <w:tcPr>
            <w:tcW w:w="1245" w:type="dxa"/>
            <w:tcBorders>
              <w:top w:val="single" w:sz="4" w:space="0" w:color="auto"/>
              <w:bottom w:val="single" w:sz="4" w:space="0" w:color="auto"/>
            </w:tcBorders>
            <w:vAlign w:val="center"/>
            <w:hideMark/>
          </w:tcPr>
          <w:p w14:paraId="5F3DE15E" w14:textId="77777777" w:rsidR="00EC5FE0" w:rsidRPr="00EC5FE0" w:rsidRDefault="00EC5FE0" w:rsidP="00EC5FE0">
            <w:pPr>
              <w:spacing w:after="0" w:line="240" w:lineRule="auto"/>
              <w:jc w:val="center"/>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Unit</w:t>
            </w:r>
          </w:p>
        </w:tc>
        <w:tc>
          <w:tcPr>
            <w:tcW w:w="821" w:type="dxa"/>
            <w:tcBorders>
              <w:top w:val="single" w:sz="4" w:space="0" w:color="auto"/>
              <w:bottom w:val="single" w:sz="4" w:space="0" w:color="auto"/>
            </w:tcBorders>
            <w:vAlign w:val="center"/>
            <w:hideMark/>
          </w:tcPr>
          <w:p w14:paraId="63FBC1F7" w14:textId="77777777" w:rsidR="00EC5FE0" w:rsidRPr="00EC5FE0" w:rsidRDefault="00EC5FE0" w:rsidP="00EC5FE0">
            <w:pPr>
              <w:spacing w:after="0" w:line="240" w:lineRule="auto"/>
              <w:jc w:val="center"/>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Total</w:t>
            </w:r>
          </w:p>
        </w:tc>
        <w:tc>
          <w:tcPr>
            <w:tcW w:w="820" w:type="dxa"/>
            <w:tcBorders>
              <w:top w:val="single" w:sz="4" w:space="0" w:color="auto"/>
              <w:bottom w:val="single" w:sz="4" w:space="0" w:color="auto"/>
            </w:tcBorders>
            <w:vAlign w:val="center"/>
            <w:hideMark/>
          </w:tcPr>
          <w:p w14:paraId="4C4D135F" w14:textId="77777777" w:rsidR="00EC5FE0" w:rsidRPr="00EC5FE0" w:rsidRDefault="00EC5FE0" w:rsidP="00EC5FE0">
            <w:pPr>
              <w:spacing w:after="0" w:line="240" w:lineRule="auto"/>
              <w:jc w:val="center"/>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Washing</w:t>
            </w:r>
          </w:p>
        </w:tc>
        <w:tc>
          <w:tcPr>
            <w:tcW w:w="679" w:type="dxa"/>
            <w:tcBorders>
              <w:top w:val="single" w:sz="4" w:space="0" w:color="auto"/>
              <w:bottom w:val="single" w:sz="4" w:space="0" w:color="auto"/>
            </w:tcBorders>
            <w:vAlign w:val="center"/>
            <w:hideMark/>
          </w:tcPr>
          <w:p w14:paraId="43ECF9E7" w14:textId="77777777" w:rsidR="00EC5FE0" w:rsidRPr="00EC5FE0" w:rsidRDefault="00EC5FE0" w:rsidP="00EC5FE0">
            <w:pPr>
              <w:spacing w:after="0" w:line="240" w:lineRule="auto"/>
              <w:jc w:val="center"/>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Soaking</w:t>
            </w:r>
          </w:p>
        </w:tc>
        <w:tc>
          <w:tcPr>
            <w:tcW w:w="679" w:type="dxa"/>
            <w:tcBorders>
              <w:top w:val="single" w:sz="4" w:space="0" w:color="auto"/>
              <w:bottom w:val="single" w:sz="4" w:space="0" w:color="auto"/>
            </w:tcBorders>
            <w:vAlign w:val="center"/>
            <w:hideMark/>
          </w:tcPr>
          <w:p w14:paraId="753BFD50" w14:textId="77777777" w:rsidR="00EC5FE0" w:rsidRPr="00EC5FE0" w:rsidRDefault="00EC5FE0" w:rsidP="00EC5FE0">
            <w:pPr>
              <w:spacing w:after="0" w:line="240" w:lineRule="auto"/>
              <w:jc w:val="center"/>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Grinding</w:t>
            </w:r>
          </w:p>
        </w:tc>
        <w:tc>
          <w:tcPr>
            <w:tcW w:w="793" w:type="dxa"/>
            <w:tcBorders>
              <w:top w:val="single" w:sz="4" w:space="0" w:color="auto"/>
              <w:bottom w:val="single" w:sz="4" w:space="0" w:color="auto"/>
            </w:tcBorders>
            <w:vAlign w:val="center"/>
            <w:hideMark/>
          </w:tcPr>
          <w:p w14:paraId="1971E392" w14:textId="77777777" w:rsidR="00EC5FE0" w:rsidRPr="00EC5FE0" w:rsidRDefault="00EC5FE0" w:rsidP="00EC5FE0">
            <w:pPr>
              <w:spacing w:after="0" w:line="240" w:lineRule="auto"/>
              <w:jc w:val="center"/>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Boiling</w:t>
            </w:r>
          </w:p>
        </w:tc>
        <w:tc>
          <w:tcPr>
            <w:tcW w:w="0" w:type="auto"/>
            <w:tcBorders>
              <w:top w:val="single" w:sz="4" w:space="0" w:color="auto"/>
              <w:bottom w:val="single" w:sz="4" w:space="0" w:color="auto"/>
            </w:tcBorders>
            <w:vAlign w:val="center"/>
            <w:hideMark/>
          </w:tcPr>
          <w:p w14:paraId="4134151B" w14:textId="77777777" w:rsidR="00EC5FE0" w:rsidRPr="00EC5FE0" w:rsidRDefault="00EC5FE0" w:rsidP="00EC5FE0">
            <w:pPr>
              <w:spacing w:after="0" w:line="240" w:lineRule="auto"/>
              <w:jc w:val="center"/>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Coagulation</w:t>
            </w:r>
          </w:p>
        </w:tc>
        <w:tc>
          <w:tcPr>
            <w:tcW w:w="0" w:type="auto"/>
            <w:tcBorders>
              <w:top w:val="single" w:sz="4" w:space="0" w:color="auto"/>
              <w:bottom w:val="single" w:sz="4" w:space="0" w:color="auto"/>
            </w:tcBorders>
            <w:vAlign w:val="center"/>
            <w:hideMark/>
          </w:tcPr>
          <w:p w14:paraId="061A8813" w14:textId="77777777" w:rsidR="00EC5FE0" w:rsidRPr="00EC5FE0" w:rsidRDefault="00EC5FE0" w:rsidP="00EC5FE0">
            <w:pPr>
              <w:spacing w:after="0" w:line="240" w:lineRule="auto"/>
              <w:jc w:val="center"/>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Molding &amp; Packing</w:t>
            </w:r>
          </w:p>
        </w:tc>
      </w:tr>
      <w:tr w:rsidR="00FD4069" w:rsidRPr="00AD55B4" w14:paraId="21284748" w14:textId="77777777" w:rsidTr="00FD4069">
        <w:trPr>
          <w:tblCellSpacing w:w="15" w:type="dxa"/>
        </w:trPr>
        <w:tc>
          <w:tcPr>
            <w:tcW w:w="1515" w:type="dxa"/>
            <w:vAlign w:val="center"/>
            <w:hideMark/>
          </w:tcPr>
          <w:p w14:paraId="1924AF23"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Global warming (GWP100a)</w:t>
            </w:r>
          </w:p>
        </w:tc>
        <w:tc>
          <w:tcPr>
            <w:tcW w:w="1245" w:type="dxa"/>
            <w:vAlign w:val="center"/>
            <w:hideMark/>
          </w:tcPr>
          <w:p w14:paraId="2F5F80B2"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kg CO₂ eq</w:t>
            </w:r>
          </w:p>
        </w:tc>
        <w:tc>
          <w:tcPr>
            <w:tcW w:w="821" w:type="dxa"/>
            <w:vAlign w:val="center"/>
            <w:hideMark/>
          </w:tcPr>
          <w:p w14:paraId="7DD9023B"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5,28E3</w:t>
            </w:r>
          </w:p>
        </w:tc>
        <w:tc>
          <w:tcPr>
            <w:tcW w:w="820" w:type="dxa"/>
            <w:vAlign w:val="center"/>
            <w:hideMark/>
          </w:tcPr>
          <w:p w14:paraId="09377BE9"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3,56E3</w:t>
            </w:r>
          </w:p>
        </w:tc>
        <w:tc>
          <w:tcPr>
            <w:tcW w:w="679" w:type="dxa"/>
            <w:vAlign w:val="center"/>
            <w:hideMark/>
          </w:tcPr>
          <w:p w14:paraId="30995178"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0,945</w:t>
            </w:r>
          </w:p>
        </w:tc>
        <w:tc>
          <w:tcPr>
            <w:tcW w:w="679" w:type="dxa"/>
            <w:vAlign w:val="center"/>
            <w:hideMark/>
          </w:tcPr>
          <w:p w14:paraId="04D72870"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35,8</w:t>
            </w:r>
          </w:p>
        </w:tc>
        <w:tc>
          <w:tcPr>
            <w:tcW w:w="793" w:type="dxa"/>
            <w:vAlign w:val="center"/>
            <w:hideMark/>
          </w:tcPr>
          <w:p w14:paraId="4D36FADF"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1,63E3</w:t>
            </w:r>
          </w:p>
        </w:tc>
        <w:tc>
          <w:tcPr>
            <w:tcW w:w="0" w:type="auto"/>
            <w:vAlign w:val="center"/>
            <w:hideMark/>
          </w:tcPr>
          <w:p w14:paraId="514320F7"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55,8</w:t>
            </w:r>
          </w:p>
        </w:tc>
        <w:tc>
          <w:tcPr>
            <w:tcW w:w="0" w:type="auto"/>
            <w:vAlign w:val="center"/>
            <w:hideMark/>
          </w:tcPr>
          <w:p w14:paraId="17548969"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5,9</w:t>
            </w:r>
          </w:p>
        </w:tc>
      </w:tr>
      <w:tr w:rsidR="00FD4069" w:rsidRPr="00AD55B4" w14:paraId="286D5FA8" w14:textId="77777777" w:rsidTr="00FD4069">
        <w:trPr>
          <w:tblCellSpacing w:w="15" w:type="dxa"/>
        </w:trPr>
        <w:tc>
          <w:tcPr>
            <w:tcW w:w="1515" w:type="dxa"/>
            <w:vAlign w:val="center"/>
            <w:hideMark/>
          </w:tcPr>
          <w:p w14:paraId="2143493C"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Ozone layer depletion (ODP)</w:t>
            </w:r>
          </w:p>
        </w:tc>
        <w:tc>
          <w:tcPr>
            <w:tcW w:w="1245" w:type="dxa"/>
            <w:vAlign w:val="center"/>
            <w:hideMark/>
          </w:tcPr>
          <w:p w14:paraId="2D5D3F7E"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kg CFC-11 eq</w:t>
            </w:r>
          </w:p>
        </w:tc>
        <w:tc>
          <w:tcPr>
            <w:tcW w:w="821" w:type="dxa"/>
            <w:vAlign w:val="center"/>
            <w:hideMark/>
          </w:tcPr>
          <w:p w14:paraId="6D597D31"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6,11E-5</w:t>
            </w:r>
          </w:p>
        </w:tc>
        <w:tc>
          <w:tcPr>
            <w:tcW w:w="820" w:type="dxa"/>
            <w:vAlign w:val="center"/>
            <w:hideMark/>
          </w:tcPr>
          <w:p w14:paraId="1D24B864"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5,93E-5</w:t>
            </w:r>
          </w:p>
        </w:tc>
        <w:tc>
          <w:tcPr>
            <w:tcW w:w="679" w:type="dxa"/>
            <w:vAlign w:val="center"/>
            <w:hideMark/>
          </w:tcPr>
          <w:p w14:paraId="24C283E9"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2,1E-9</w:t>
            </w:r>
          </w:p>
        </w:tc>
        <w:tc>
          <w:tcPr>
            <w:tcW w:w="679" w:type="dxa"/>
            <w:vAlign w:val="center"/>
            <w:hideMark/>
          </w:tcPr>
          <w:p w14:paraId="554B423B"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7,93E-8</w:t>
            </w:r>
          </w:p>
        </w:tc>
        <w:tc>
          <w:tcPr>
            <w:tcW w:w="793" w:type="dxa"/>
            <w:vAlign w:val="center"/>
            <w:hideMark/>
          </w:tcPr>
          <w:p w14:paraId="4338C14D"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1,07E-6</w:t>
            </w:r>
          </w:p>
        </w:tc>
        <w:tc>
          <w:tcPr>
            <w:tcW w:w="0" w:type="auto"/>
            <w:vAlign w:val="center"/>
            <w:hideMark/>
          </w:tcPr>
          <w:p w14:paraId="735C8814"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5,02E-7</w:t>
            </w:r>
          </w:p>
        </w:tc>
        <w:tc>
          <w:tcPr>
            <w:tcW w:w="0" w:type="auto"/>
            <w:vAlign w:val="center"/>
            <w:hideMark/>
          </w:tcPr>
          <w:p w14:paraId="3FDD50B1"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1,29E-7</w:t>
            </w:r>
          </w:p>
        </w:tc>
      </w:tr>
      <w:tr w:rsidR="00FD4069" w:rsidRPr="00AD55B4" w14:paraId="0179A6FE" w14:textId="77777777" w:rsidTr="00FD4069">
        <w:trPr>
          <w:tblCellSpacing w:w="15" w:type="dxa"/>
        </w:trPr>
        <w:tc>
          <w:tcPr>
            <w:tcW w:w="1515" w:type="dxa"/>
            <w:vAlign w:val="center"/>
            <w:hideMark/>
          </w:tcPr>
          <w:p w14:paraId="06FB8335"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Fresh water aquatic ecotoxicity</w:t>
            </w:r>
          </w:p>
        </w:tc>
        <w:tc>
          <w:tcPr>
            <w:tcW w:w="1245" w:type="dxa"/>
            <w:vAlign w:val="center"/>
            <w:hideMark/>
          </w:tcPr>
          <w:p w14:paraId="79E52D31"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kg 1,4-DB eq</w:t>
            </w:r>
          </w:p>
        </w:tc>
        <w:tc>
          <w:tcPr>
            <w:tcW w:w="821" w:type="dxa"/>
            <w:vAlign w:val="center"/>
            <w:hideMark/>
          </w:tcPr>
          <w:p w14:paraId="68039FB1"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1,33E3</w:t>
            </w:r>
          </w:p>
        </w:tc>
        <w:tc>
          <w:tcPr>
            <w:tcW w:w="820" w:type="dxa"/>
            <w:vAlign w:val="center"/>
            <w:hideMark/>
          </w:tcPr>
          <w:p w14:paraId="6E1242E8"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1,22E3</w:t>
            </w:r>
          </w:p>
        </w:tc>
        <w:tc>
          <w:tcPr>
            <w:tcW w:w="679" w:type="dxa"/>
            <w:vAlign w:val="center"/>
            <w:hideMark/>
          </w:tcPr>
          <w:p w14:paraId="4D9DB6EA"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0,651</w:t>
            </w:r>
          </w:p>
        </w:tc>
        <w:tc>
          <w:tcPr>
            <w:tcW w:w="679" w:type="dxa"/>
            <w:vAlign w:val="center"/>
            <w:hideMark/>
          </w:tcPr>
          <w:p w14:paraId="367F19EE"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24,6</w:t>
            </w:r>
          </w:p>
        </w:tc>
        <w:tc>
          <w:tcPr>
            <w:tcW w:w="793" w:type="dxa"/>
            <w:vAlign w:val="center"/>
            <w:hideMark/>
          </w:tcPr>
          <w:p w14:paraId="4512A105"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70,6</w:t>
            </w:r>
          </w:p>
        </w:tc>
        <w:tc>
          <w:tcPr>
            <w:tcW w:w="0" w:type="auto"/>
            <w:vAlign w:val="center"/>
            <w:hideMark/>
          </w:tcPr>
          <w:p w14:paraId="76B80352"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14,1</w:t>
            </w:r>
          </w:p>
        </w:tc>
        <w:tc>
          <w:tcPr>
            <w:tcW w:w="0" w:type="auto"/>
            <w:vAlign w:val="center"/>
            <w:hideMark/>
          </w:tcPr>
          <w:p w14:paraId="0C645E13"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2,75</w:t>
            </w:r>
          </w:p>
        </w:tc>
      </w:tr>
      <w:tr w:rsidR="00FD4069" w:rsidRPr="00AD55B4" w14:paraId="00F755AE" w14:textId="77777777" w:rsidTr="00FD4069">
        <w:trPr>
          <w:tblCellSpacing w:w="15" w:type="dxa"/>
        </w:trPr>
        <w:tc>
          <w:tcPr>
            <w:tcW w:w="1515" w:type="dxa"/>
            <w:vAlign w:val="center"/>
            <w:hideMark/>
          </w:tcPr>
          <w:p w14:paraId="33081892"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Acidification</w:t>
            </w:r>
          </w:p>
        </w:tc>
        <w:tc>
          <w:tcPr>
            <w:tcW w:w="1245" w:type="dxa"/>
            <w:vAlign w:val="center"/>
            <w:hideMark/>
          </w:tcPr>
          <w:p w14:paraId="58A358A7"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kg SO₂ eq</w:t>
            </w:r>
          </w:p>
        </w:tc>
        <w:tc>
          <w:tcPr>
            <w:tcW w:w="821" w:type="dxa"/>
            <w:vAlign w:val="center"/>
            <w:hideMark/>
          </w:tcPr>
          <w:p w14:paraId="0D8CEC2E"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4,59</w:t>
            </w:r>
          </w:p>
        </w:tc>
        <w:tc>
          <w:tcPr>
            <w:tcW w:w="820" w:type="dxa"/>
            <w:vAlign w:val="center"/>
            <w:hideMark/>
          </w:tcPr>
          <w:p w14:paraId="724D52E9"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3,53</w:t>
            </w:r>
          </w:p>
        </w:tc>
        <w:tc>
          <w:tcPr>
            <w:tcW w:w="679" w:type="dxa"/>
            <w:vAlign w:val="center"/>
            <w:hideMark/>
          </w:tcPr>
          <w:p w14:paraId="1B72A94F"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0,00245</w:t>
            </w:r>
          </w:p>
        </w:tc>
        <w:tc>
          <w:tcPr>
            <w:tcW w:w="679" w:type="dxa"/>
            <w:vAlign w:val="center"/>
            <w:hideMark/>
          </w:tcPr>
          <w:p w14:paraId="18D60E7F"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0,0925</w:t>
            </w:r>
          </w:p>
        </w:tc>
        <w:tc>
          <w:tcPr>
            <w:tcW w:w="793" w:type="dxa"/>
            <w:vAlign w:val="center"/>
            <w:hideMark/>
          </w:tcPr>
          <w:p w14:paraId="66F6ECF6"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0,723</w:t>
            </w:r>
          </w:p>
        </w:tc>
        <w:tc>
          <w:tcPr>
            <w:tcW w:w="0" w:type="auto"/>
            <w:vAlign w:val="center"/>
            <w:hideMark/>
          </w:tcPr>
          <w:p w14:paraId="29ED7681"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0,226</w:t>
            </w:r>
          </w:p>
        </w:tc>
        <w:tc>
          <w:tcPr>
            <w:tcW w:w="0" w:type="auto"/>
            <w:vAlign w:val="center"/>
            <w:hideMark/>
          </w:tcPr>
          <w:p w14:paraId="15E8043D"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0,0176</w:t>
            </w:r>
          </w:p>
        </w:tc>
      </w:tr>
      <w:tr w:rsidR="00FD4069" w:rsidRPr="00AD55B4" w14:paraId="235DC5B9" w14:textId="77777777" w:rsidTr="003A67CA">
        <w:trPr>
          <w:tblCellSpacing w:w="15" w:type="dxa"/>
        </w:trPr>
        <w:tc>
          <w:tcPr>
            <w:tcW w:w="1515" w:type="dxa"/>
            <w:tcBorders>
              <w:bottom w:val="single" w:sz="4" w:space="0" w:color="auto"/>
            </w:tcBorders>
            <w:vAlign w:val="center"/>
            <w:hideMark/>
          </w:tcPr>
          <w:p w14:paraId="2B9EAC8F"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Eutrophication</w:t>
            </w:r>
          </w:p>
        </w:tc>
        <w:tc>
          <w:tcPr>
            <w:tcW w:w="1245" w:type="dxa"/>
            <w:tcBorders>
              <w:bottom w:val="single" w:sz="4" w:space="0" w:color="auto"/>
            </w:tcBorders>
            <w:vAlign w:val="center"/>
            <w:hideMark/>
          </w:tcPr>
          <w:p w14:paraId="014EB435"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kg PO₄³⁻ eq</w:t>
            </w:r>
          </w:p>
        </w:tc>
        <w:tc>
          <w:tcPr>
            <w:tcW w:w="821" w:type="dxa"/>
            <w:tcBorders>
              <w:bottom w:val="single" w:sz="4" w:space="0" w:color="auto"/>
            </w:tcBorders>
            <w:vAlign w:val="center"/>
            <w:hideMark/>
          </w:tcPr>
          <w:p w14:paraId="43641475"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9,1</w:t>
            </w:r>
          </w:p>
        </w:tc>
        <w:tc>
          <w:tcPr>
            <w:tcW w:w="820" w:type="dxa"/>
            <w:tcBorders>
              <w:bottom w:val="single" w:sz="4" w:space="0" w:color="auto"/>
            </w:tcBorders>
            <w:vAlign w:val="center"/>
            <w:hideMark/>
          </w:tcPr>
          <w:p w14:paraId="71719B5D"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8,3</w:t>
            </w:r>
          </w:p>
        </w:tc>
        <w:tc>
          <w:tcPr>
            <w:tcW w:w="679" w:type="dxa"/>
            <w:tcBorders>
              <w:bottom w:val="single" w:sz="4" w:space="0" w:color="auto"/>
            </w:tcBorders>
            <w:vAlign w:val="center"/>
            <w:hideMark/>
          </w:tcPr>
          <w:p w14:paraId="2E623E17"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0,0034</w:t>
            </w:r>
          </w:p>
        </w:tc>
        <w:tc>
          <w:tcPr>
            <w:tcW w:w="679" w:type="dxa"/>
            <w:tcBorders>
              <w:bottom w:val="single" w:sz="4" w:space="0" w:color="auto"/>
            </w:tcBorders>
            <w:vAlign w:val="center"/>
            <w:hideMark/>
          </w:tcPr>
          <w:p w14:paraId="09F4C336"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0,128</w:t>
            </w:r>
          </w:p>
        </w:tc>
        <w:tc>
          <w:tcPr>
            <w:tcW w:w="793" w:type="dxa"/>
            <w:tcBorders>
              <w:bottom w:val="single" w:sz="4" w:space="0" w:color="auto"/>
            </w:tcBorders>
            <w:vAlign w:val="center"/>
            <w:hideMark/>
          </w:tcPr>
          <w:p w14:paraId="0DF1B3B4"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0,409</w:t>
            </w:r>
          </w:p>
        </w:tc>
        <w:tc>
          <w:tcPr>
            <w:tcW w:w="0" w:type="auto"/>
            <w:tcBorders>
              <w:bottom w:val="single" w:sz="4" w:space="0" w:color="auto"/>
            </w:tcBorders>
            <w:vAlign w:val="center"/>
            <w:hideMark/>
          </w:tcPr>
          <w:p w14:paraId="0C87C601"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0,25</w:t>
            </w:r>
          </w:p>
        </w:tc>
        <w:tc>
          <w:tcPr>
            <w:tcW w:w="0" w:type="auto"/>
            <w:tcBorders>
              <w:bottom w:val="single" w:sz="4" w:space="0" w:color="auto"/>
            </w:tcBorders>
            <w:vAlign w:val="center"/>
            <w:hideMark/>
          </w:tcPr>
          <w:p w14:paraId="4FC3BE06" w14:textId="77777777" w:rsidR="00EC5FE0" w:rsidRPr="00EC5FE0" w:rsidRDefault="00EC5FE0" w:rsidP="00EC5FE0">
            <w:pPr>
              <w:spacing w:after="0" w:line="240" w:lineRule="auto"/>
              <w:rPr>
                <w:rFonts w:ascii="Cambria" w:eastAsia="Times New Roman" w:hAnsi="Cambria" w:cs="Times New Roman"/>
                <w:kern w:val="0"/>
                <w:sz w:val="18"/>
                <w:szCs w:val="18"/>
                <w:lang w:val="en-ID" w:eastAsia="en-ID"/>
                <w14:ligatures w14:val="none"/>
              </w:rPr>
            </w:pPr>
            <w:r w:rsidRPr="00EC5FE0">
              <w:rPr>
                <w:rFonts w:ascii="Cambria" w:eastAsia="Times New Roman" w:hAnsi="Cambria" w:cs="Times New Roman"/>
                <w:kern w:val="0"/>
                <w:sz w:val="18"/>
                <w:szCs w:val="18"/>
                <w:lang w:val="en-ID" w:eastAsia="en-ID"/>
                <w14:ligatures w14:val="none"/>
              </w:rPr>
              <w:t>0,00838</w:t>
            </w:r>
          </w:p>
        </w:tc>
      </w:tr>
    </w:tbl>
    <w:p w14:paraId="3AAA5FE6" w14:textId="77777777" w:rsidR="00EC5FE0" w:rsidRPr="00AD55B4" w:rsidRDefault="00EC5FE0" w:rsidP="001B444D">
      <w:pPr>
        <w:pStyle w:val="IOP-CS-BodyText"/>
        <w:ind w:firstLine="0"/>
        <w:rPr>
          <w:b/>
          <w:bCs/>
          <w:noProof/>
        </w:rPr>
      </w:pPr>
    </w:p>
    <w:p w14:paraId="178E2EBE" w14:textId="631233A3" w:rsidR="00B90EAD" w:rsidRPr="00AD55B4" w:rsidRDefault="00B90EAD" w:rsidP="007C581A">
      <w:pPr>
        <w:pStyle w:val="IOP-CS-BodyText"/>
        <w:ind w:firstLine="0"/>
        <w:jc w:val="center"/>
        <w:rPr>
          <w:b/>
          <w:bCs/>
          <w:noProof/>
        </w:rPr>
      </w:pPr>
      <w:r w:rsidRPr="00AD55B4">
        <w:rPr>
          <w:b/>
          <w:bCs/>
          <w:noProof/>
        </w:rPr>
        <w:drawing>
          <wp:inline distT="0" distB="0" distL="0" distR="0" wp14:anchorId="5B827980" wp14:editId="46F5E9AC">
            <wp:extent cx="4919980" cy="28105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19980" cy="2810510"/>
                    </a:xfrm>
                    <a:prstGeom prst="rect">
                      <a:avLst/>
                    </a:prstGeom>
                    <a:noFill/>
                  </pic:spPr>
                </pic:pic>
              </a:graphicData>
            </a:graphic>
          </wp:inline>
        </w:drawing>
      </w:r>
    </w:p>
    <w:p w14:paraId="5AD20A2A" w14:textId="566F12D9" w:rsidR="007C581A" w:rsidRPr="00AD55B4" w:rsidRDefault="005F4BE0" w:rsidP="007C581A">
      <w:pPr>
        <w:pStyle w:val="IOP-CS-BodyText"/>
        <w:ind w:firstLine="0"/>
        <w:jc w:val="center"/>
        <w:rPr>
          <w:noProof/>
        </w:rPr>
      </w:pPr>
      <w:r w:rsidRPr="00AD55B4">
        <w:rPr>
          <w:b/>
          <w:bCs/>
          <w:noProof/>
        </w:rPr>
        <w:t>Figure 3</w:t>
      </w:r>
      <w:r w:rsidR="007C581A" w:rsidRPr="00AD55B4">
        <w:rPr>
          <w:noProof/>
        </w:rPr>
        <w:t xml:space="preserve">. </w:t>
      </w:r>
      <w:r w:rsidRPr="00AD55B4">
        <w:rPr>
          <w:noProof/>
        </w:rPr>
        <w:t>Environmental impact of tofu production (SimaPro output)</w:t>
      </w:r>
    </w:p>
    <w:p w14:paraId="1BDE76D2" w14:textId="43D1B3AF" w:rsidR="007F2483" w:rsidRPr="00AD55B4" w:rsidRDefault="005F4BE0" w:rsidP="007F2483">
      <w:pPr>
        <w:pStyle w:val="IOP-CS-BodyText"/>
        <w:ind w:firstLine="0"/>
        <w:rPr>
          <w:noProof/>
        </w:rPr>
      </w:pPr>
      <w:r w:rsidRPr="00AD55B4">
        <w:rPr>
          <w:noProof/>
        </w:rPr>
        <w:t>Based on the results presented in Table 2, not all unit processes were identified as separate impact contributors. Notably, the filtration stage does not exhibit any impact values across all analyzed categories. This is attributable to the absence of explicit inputs or outputs including energy consumption and additional material flows entered into the inventory model for that stage. Consequently, the LCA software did not generate characterization values for the filtration stage, and it therefore does not appear in the impact assessment results.</w:t>
      </w:r>
    </w:p>
    <w:p w14:paraId="5EE7086E" w14:textId="77777777" w:rsidR="005F4BE0" w:rsidRPr="00AD55B4" w:rsidRDefault="005F4BE0" w:rsidP="007F2483">
      <w:pPr>
        <w:pStyle w:val="IOP-CS-BodyText"/>
        <w:ind w:firstLine="0"/>
        <w:rPr>
          <w:noProof/>
        </w:rPr>
      </w:pPr>
    </w:p>
    <w:p w14:paraId="0BAEFF76" w14:textId="58471A5A" w:rsidR="002D3404" w:rsidRPr="00AD55B4" w:rsidRDefault="009A6D6A" w:rsidP="00746D2F">
      <w:pPr>
        <w:pStyle w:val="IOP-CS-BodyText"/>
        <w:ind w:firstLine="0"/>
        <w:rPr>
          <w:noProof/>
        </w:rPr>
      </w:pPr>
      <w:r w:rsidRPr="00AD55B4">
        <w:rPr>
          <w:noProof/>
        </w:rPr>
        <w:t xml:space="preserve">a. </w:t>
      </w:r>
      <w:r w:rsidR="00D95E8F" w:rsidRPr="00AD55B4">
        <w:rPr>
          <w:noProof/>
        </w:rPr>
        <w:t>Global Warming Potential</w:t>
      </w:r>
      <w:r w:rsidR="005F4BE0" w:rsidRPr="00AD55B4">
        <w:rPr>
          <w:noProof/>
        </w:rPr>
        <w:t xml:space="preserve"> (GWP)</w:t>
      </w:r>
    </w:p>
    <w:p w14:paraId="0C7E5065" w14:textId="0B25766E" w:rsidR="00132379" w:rsidRPr="00AD55B4" w:rsidRDefault="005F4BE0" w:rsidP="00746D2F">
      <w:pPr>
        <w:pStyle w:val="IOP-CS-BodyText"/>
        <w:ind w:firstLine="0"/>
        <w:rPr>
          <w:noProof/>
        </w:rPr>
      </w:pPr>
      <w:r w:rsidRPr="00AD55B4">
        <w:rPr>
          <w:noProof/>
        </w:rPr>
        <w:lastRenderedPageBreak/>
        <w:t>The Global Warming Potential (GWP100a) of the tofu production system amounts to a total of 5.28 × 10³ kg CO₂ eq. The results demonstrate that the washing stage is the largest contributor, accounting for 3.56 × 10³ kg CO₂ eq, or approximately 67.42% of the total impact, followed by the boiling stage at 1.63 × 10³ kg CO₂ eq (approximately 30.87%). Other stages  including coagulation, grinding, molding and packaging, and soaking contribute relatively minor shares. The dominant contribution of the washing stage is attributed to the large volumes of water consumed, which indirectly require energy for water supply and distribution, thereby generating greenhouse gas emissions. In addition, the liquid waste from washing, which contains organic matter, has the potential to produce methane (CH₄) if not properly treated. The boiling stage exhibits a high environmental impact owing to the combustion of fuel for thermal energy generation during the boiling process. Fuel combustion produces carbon dioxide (CO₂), methane (CH₄), and nitrous oxide (N₂O), all of which contribute to global warming. Consequently, the GWP category in this study is primarily driven by water consumption during washing and fuel combustion during boiling.</w:t>
      </w:r>
    </w:p>
    <w:p w14:paraId="373D18A4" w14:textId="77777777" w:rsidR="0043087D" w:rsidRPr="00AD55B4" w:rsidRDefault="0043087D" w:rsidP="00746D2F">
      <w:pPr>
        <w:pStyle w:val="IOP-CS-BodyText"/>
        <w:ind w:firstLine="0"/>
        <w:rPr>
          <w:noProof/>
        </w:rPr>
      </w:pPr>
    </w:p>
    <w:p w14:paraId="0E2EF7E2" w14:textId="77777777" w:rsidR="009A6D6A" w:rsidRPr="00AD55B4" w:rsidRDefault="009A6D6A" w:rsidP="00746D2F">
      <w:pPr>
        <w:pStyle w:val="IOP-CS-BodyText"/>
        <w:ind w:firstLine="0"/>
        <w:rPr>
          <w:noProof/>
        </w:rPr>
      </w:pPr>
      <w:r w:rsidRPr="00AD55B4">
        <w:rPr>
          <w:noProof/>
        </w:rPr>
        <w:t>b. Ozone Layer Depletion (ODP)</w:t>
      </w:r>
    </w:p>
    <w:p w14:paraId="2403E969" w14:textId="26994AC2" w:rsidR="008D51FF" w:rsidRPr="00AD55B4" w:rsidRDefault="005F4BE0" w:rsidP="00746D2F">
      <w:pPr>
        <w:pStyle w:val="IOP-CS-BodyText"/>
        <w:ind w:firstLine="0"/>
        <w:rPr>
          <w:noProof/>
        </w:rPr>
      </w:pPr>
      <w:r w:rsidRPr="00AD55B4">
        <w:rPr>
          <w:noProof/>
        </w:rPr>
        <w:t>The Ozone Layer Depletion (ODP) of the tofu production system records a total value of 6.11 × 10⁻⁵ kg CFC-11 eq. The washing stage is the dominant contributor at 5.93 × 10⁻⁵ kg CFC-11 eq, representing approximately 97.05% of the total, followed by the boiling stage at 1.07 × 10⁻⁶ kg CFC-11 eq (approximately 1.75%). The high contribution of the washing stage to ODP is associated with the large volumes of water used. In the LCA framework, water consumption is linked to the energy intensive processes of water supply and distribution, thereby generating indirect emissions that contribute to ODP. Consequently, the observed impact does not originate from water per se, but from the supporting infrastructure involved in water provision within the production chain. Although the grinding and boiling stages involve greater water and energy use, a substantial proportion of the water in those stages is utilized within the production process itself.</w:t>
      </w:r>
    </w:p>
    <w:p w14:paraId="61D5C5B2" w14:textId="77777777" w:rsidR="0043087D" w:rsidRPr="00AD55B4" w:rsidRDefault="0043087D" w:rsidP="00746D2F">
      <w:pPr>
        <w:pStyle w:val="IOP-CS-BodyText"/>
        <w:ind w:firstLine="0"/>
        <w:rPr>
          <w:noProof/>
        </w:rPr>
      </w:pPr>
    </w:p>
    <w:p w14:paraId="36667B54" w14:textId="718BAB19" w:rsidR="005564E0" w:rsidRPr="00AD55B4" w:rsidRDefault="00575FDB" w:rsidP="00746D2F">
      <w:pPr>
        <w:pStyle w:val="IOP-CS-BodyText"/>
        <w:ind w:firstLine="0"/>
        <w:rPr>
          <w:noProof/>
        </w:rPr>
      </w:pPr>
      <w:r w:rsidRPr="00AD55B4">
        <w:rPr>
          <w:noProof/>
        </w:rPr>
        <w:t>c.</w:t>
      </w:r>
      <w:r w:rsidR="008D51FF" w:rsidRPr="00AD55B4">
        <w:rPr>
          <w:noProof/>
        </w:rPr>
        <w:t xml:space="preserve"> Fresh Water Aquatic Ecotoxicity</w:t>
      </w:r>
    </w:p>
    <w:p w14:paraId="3820C555" w14:textId="7D4EE549" w:rsidR="00CC2101" w:rsidRPr="00AD55B4" w:rsidRDefault="005F4BE0" w:rsidP="00746D2F">
      <w:pPr>
        <w:pStyle w:val="IOP-CS-BodyText"/>
        <w:ind w:firstLine="0"/>
        <w:rPr>
          <w:noProof/>
        </w:rPr>
      </w:pPr>
      <w:r w:rsidRPr="00AD55B4">
        <w:rPr>
          <w:noProof/>
        </w:rPr>
        <w:t>The Fresh Water Aquatic Ecotoxicity (FAET) of the tofu production system registers a total impact of 1.33 × 10³ kg 1,4-DB eq. The washing stage is the primary contributor at 1.22 × 10³ kg 1,4-DB eq (approximately 91.73%), followed by the boiling stage at 70.6 kg 1,4-DB eq (approximately 5.31%) and the grinding stage at 24.6 kg 1,4-DB eq (approximately 1.85%). The dominance of the washing stage in FAET is driven by the large volumes of wastewater generated during soybean washing. This wastewater contains residual organic matter, dissolved solids, and impurities from the washing process, which have the potential to increase the pollution load on water bodies if discharged without treatment. In the LCA approach, liquid waste released into aquatic environments is characterized as a potential toxicity impact on freshwater organisms. Accordingly, larger volumes of liquid waste generated correspond to proportionally greater contributions to FAET. The boiling stage also contributes significantly, as fuel combustion during boiling generates ash, particulates, and gaseous emissions including nitrogen oxides (NOₓ) and sulfur oxides (SOₓ) which may be deposited into aquatic environments via atmospheric deposition and precipitation, thereby increasing the concentration of hazardous substances and adversely affecting freshwater organisms.</w:t>
      </w:r>
    </w:p>
    <w:p w14:paraId="5E8EA8FB" w14:textId="77777777" w:rsidR="0028569C" w:rsidRPr="00AD55B4" w:rsidRDefault="0028569C" w:rsidP="00746D2F">
      <w:pPr>
        <w:pStyle w:val="IOP-CS-BodyText"/>
        <w:ind w:firstLine="0"/>
        <w:rPr>
          <w:noProof/>
        </w:rPr>
      </w:pPr>
    </w:p>
    <w:p w14:paraId="30AA8B2C" w14:textId="56BF1F19" w:rsidR="008D51FF" w:rsidRPr="00AD55B4" w:rsidRDefault="008D51FF" w:rsidP="00920F37">
      <w:pPr>
        <w:pStyle w:val="IOP-CS-BodyText"/>
        <w:ind w:firstLine="0"/>
        <w:rPr>
          <w:noProof/>
        </w:rPr>
      </w:pPr>
      <w:r w:rsidRPr="00AD55B4">
        <w:rPr>
          <w:noProof/>
        </w:rPr>
        <w:t xml:space="preserve">d. Acidification </w:t>
      </w:r>
    </w:p>
    <w:p w14:paraId="77863DF1" w14:textId="477E70BC" w:rsidR="008D51FF" w:rsidRPr="00AD55B4" w:rsidRDefault="005F4BE0" w:rsidP="00013722">
      <w:pPr>
        <w:pStyle w:val="IOP-CS-BodyText"/>
        <w:ind w:firstLine="0"/>
        <w:rPr>
          <w:noProof/>
        </w:rPr>
      </w:pPr>
      <w:r w:rsidRPr="00AD55B4">
        <w:rPr>
          <w:noProof/>
        </w:rPr>
        <w:lastRenderedPageBreak/>
        <w:t>The Acidification category of the tofu production system records a total impact of 4.59 kg SO₂ eq. The washing stage is the largest contributor at 3.53 kg SO₂ eq (approximately 76.91%), followed by the boiling stage at 0.723 kg SO₂ eq (approximately 15.75%), the coagulation stage at 0.226 kg SO₂ eq (approximately 4.92%), and the grinding stage at 0.0925 kg SO₂ eq (approximately 2.02%). The molding and packaging and soaking stages contribute relatively minor amounts. The high contribution of the washing stage is associated with the large quantities of water consumed during soybean washing. Water use is linked to the processes of water extraction, treatment, and distribution, all of which require energy. Energy provision generates gaseous emissions, including sulfur dioxide (SO₂) and nitrogen oxides (NOₓ), which are the primary precursors of environmental acidification. Furthermore, the organic laden washing wastewater may increase the formation of acidic compounds in the environment if not properly managed. The boiling stage also contributes substantially, as the combustion of firewood produces SO₂, NOₓ, and particulate matter. These gases may react with atmospheric water vapor to form acid rain, potentially degrading soil and water quality.</w:t>
      </w:r>
    </w:p>
    <w:p w14:paraId="58B7A80C" w14:textId="77777777" w:rsidR="005F4BE0" w:rsidRPr="00AD55B4" w:rsidRDefault="005F4BE0" w:rsidP="00013722">
      <w:pPr>
        <w:pStyle w:val="IOP-CS-BodyText"/>
        <w:ind w:firstLine="0"/>
        <w:rPr>
          <w:noProof/>
        </w:rPr>
      </w:pPr>
    </w:p>
    <w:p w14:paraId="73709BEE" w14:textId="4ACB58E5" w:rsidR="008D51FF" w:rsidRPr="00AD55B4" w:rsidRDefault="008D51FF" w:rsidP="00013722">
      <w:pPr>
        <w:pStyle w:val="IOP-CS-BodyText"/>
        <w:ind w:firstLine="0"/>
        <w:rPr>
          <w:noProof/>
        </w:rPr>
      </w:pPr>
      <w:r w:rsidRPr="00AD55B4">
        <w:rPr>
          <w:noProof/>
        </w:rPr>
        <w:t>e. Kategori Eutrophication</w:t>
      </w:r>
    </w:p>
    <w:p w14:paraId="0C5347C6" w14:textId="79A479FB" w:rsidR="005F4BE0" w:rsidRPr="00AD55B4" w:rsidRDefault="005F4BE0" w:rsidP="0043087D">
      <w:pPr>
        <w:pStyle w:val="IOP-CS-SubsectionHeading"/>
        <w:spacing w:before="0"/>
        <w:jc w:val="both"/>
        <w:rPr>
          <w:i w:val="0"/>
          <w:iCs w:val="0"/>
          <w:noProof/>
        </w:rPr>
      </w:pPr>
      <w:r w:rsidRPr="00AD55B4">
        <w:rPr>
          <w:i w:val="0"/>
          <w:iCs w:val="0"/>
          <w:noProof/>
        </w:rPr>
        <w:t>The Eutrophication category of the tofu production system records a total impact of 9.1 kg PO₄³⁻ eq. The washing stage is the largest contributor at 8.3 kg PO₄³⁻ eq (approximately 91.21%), followed by the boiling stage at 0.409 kg PO₄³⁻ eq (approximately 4.49%). The dominant contribution of washing to eutrophication is driven by the large volumes of liquid waste generated during soybean washing, which contains organic matter, suspended solids, and nutrient compounds</w:t>
      </w:r>
      <w:r w:rsidR="0043087D" w:rsidRPr="00AD55B4">
        <w:rPr>
          <w:i w:val="0"/>
          <w:iCs w:val="0"/>
          <w:noProof/>
        </w:rPr>
        <w:t xml:space="preserve">, </w:t>
      </w:r>
      <w:r w:rsidRPr="00AD55B4">
        <w:rPr>
          <w:i w:val="0"/>
          <w:iCs w:val="0"/>
          <w:noProof/>
        </w:rPr>
        <w:t>particularly nitrogen and phosphorus derived from residual impurities and soybean components. In the LCA framework, the discharge of nutrient compounds into aquatic environments is the primary factor triggering eutrophication. This condition may lead to excessive proliferation of algae and microorganisms, resulting in depletion of dissolved oxygen in water bodies and disruption of aquatic life. The boiling stage also contributes to eutrophication through the emission of nitrogen oxides (NOₓ) generated during firewood combustion, which may be deposited into soil and water environments via atmospheric deposition and rainfall, thereby increasing nutrient accumulation. Additionally, upstream activities related to fuel supply within the LCA system indirectly add to the eutrophication burden.</w:t>
      </w:r>
    </w:p>
    <w:p w14:paraId="59BB7728" w14:textId="708DD5E3" w:rsidR="00622F26" w:rsidRPr="00AD55B4" w:rsidRDefault="00622F26" w:rsidP="00622F26">
      <w:pPr>
        <w:pStyle w:val="IOP-CS-SubsectionHeading"/>
      </w:pPr>
      <w:r w:rsidRPr="00AD55B4">
        <w:t>3.</w:t>
      </w:r>
      <w:r w:rsidR="009E79DA" w:rsidRPr="00AD55B4">
        <w:t>2</w:t>
      </w:r>
      <w:r w:rsidRPr="00AD55B4">
        <w:t xml:space="preserve"> </w:t>
      </w:r>
      <w:r w:rsidR="00BA3C49" w:rsidRPr="00AD55B4">
        <w:t>Water us of production</w:t>
      </w:r>
    </w:p>
    <w:p w14:paraId="10F894AB" w14:textId="77777777" w:rsidR="005F4BE0" w:rsidRPr="00AD55B4" w:rsidRDefault="005F4BE0" w:rsidP="002E19DB">
      <w:pPr>
        <w:pStyle w:val="IOP-CS-BodyNoIndent"/>
        <w:rPr>
          <w:noProof/>
        </w:rPr>
      </w:pPr>
      <w:r w:rsidRPr="00AD55B4">
        <w:rPr>
          <w:noProof/>
        </w:rPr>
        <w:t xml:space="preserve">Water use across tofu production stages was assessed using the AWARE method to determine the potential water scarcity (water deprivation) associated with each stage. The AWARE method was selected for its capacity to evaluate water consumption relative to the remaining water availability in a given region after accounting for human and ecosystem demands. Characterization results indicate a total water scarcity impact of 515 m³ world eq for the tofu production system. The boiling stage is the dominant contributor at 294 m³ world eq (approximately 57.09%), reflecting both the direct water consumption for cooking the soybean slurry and the firewood combustion required to maintain boiling temperatures. Within the LCA framework, firewood use is not evaluated solely on the basis of combustion emissions; rather, upstream activities including fuel production, processing, and distribution also involve substantial water consumption, thereby indirectly increasing the water scarcity value. </w:t>
      </w:r>
    </w:p>
    <w:p w14:paraId="3F93406E" w14:textId="44E49A19" w:rsidR="002E19DB" w:rsidRPr="00AD55B4" w:rsidRDefault="005F4BE0" w:rsidP="002E19DB">
      <w:pPr>
        <w:pStyle w:val="IOP-CS-BodyNoIndent"/>
        <w:rPr>
          <w:noProof/>
        </w:rPr>
      </w:pPr>
      <w:r w:rsidRPr="00AD55B4">
        <w:rPr>
          <w:noProof/>
        </w:rPr>
        <w:t xml:space="preserve">The grinding stage contributes the second largest share at 101 m³ world eq (approximately 19.61%), as the grinding process requires continuous water addition to achieve the appropriate slurry consistency and facilitate soybean extraction. The soaking stage contributes 39.3 m³ world eq (approximately 7.63%), the coagulation stage 38.2 m³ world eq (approximately 7.42%), and </w:t>
      </w:r>
      <w:r w:rsidRPr="00AD55B4">
        <w:rPr>
          <w:noProof/>
        </w:rPr>
        <w:lastRenderedPageBreak/>
        <w:t>the washing stage 35.8 m³ world eq (approximately 6.95%). The molding and packaging stage exhibits the smallest contribution at 7.63 m³ world eq (approximately 1.48%). Notably, within the AWARE method, the environmental burden is determined not solely by water volume, but also by the upstream energy system and supply chain associated with each production stage.</w:t>
      </w:r>
    </w:p>
    <w:p w14:paraId="17EEA81F" w14:textId="790E3D6F" w:rsidR="00622F26" w:rsidRPr="00AD55B4" w:rsidRDefault="00622F26" w:rsidP="00DB410C">
      <w:pPr>
        <w:pStyle w:val="IOP-CS-SubsectionHeading"/>
        <w:jc w:val="both"/>
      </w:pPr>
      <w:r w:rsidRPr="00AD55B4">
        <w:t>3.</w:t>
      </w:r>
      <w:r w:rsidR="00C92CCA" w:rsidRPr="00AD55B4">
        <w:t>3</w:t>
      </w:r>
      <w:r w:rsidR="00786BA5" w:rsidRPr="00AD55B4">
        <w:t xml:space="preserve"> </w:t>
      </w:r>
      <w:r w:rsidR="00505F16" w:rsidRPr="00AD55B4">
        <w:t>Normalization</w:t>
      </w:r>
    </w:p>
    <w:p w14:paraId="4395B35C" w14:textId="77777777" w:rsidR="0043087D" w:rsidRPr="00AD55B4" w:rsidRDefault="0043087D" w:rsidP="0043087D">
      <w:pPr>
        <w:pStyle w:val="IOP-CS-BodyText"/>
        <w:ind w:firstLine="0"/>
        <w:rPr>
          <w:noProof/>
        </w:rPr>
      </w:pPr>
      <w:r w:rsidRPr="00AD55B4">
        <w:rPr>
          <w:noProof/>
        </w:rPr>
        <w:t>Normalization was performed using the CML-IA Baseline method to compare the relative contribution of each environmental impact category on a uniform scale. The normalization process aims to facilitate the identification of the most dominant impact category within the tofu production system. Through normalization, characterization results expressed in different units can be directly compared, enabling the significance of each environmental impact to be analyzed more systematically.</w:t>
      </w:r>
    </w:p>
    <w:p w14:paraId="577079E4" w14:textId="58E84C70" w:rsidR="0043087D" w:rsidRPr="00AD55B4" w:rsidRDefault="0043087D" w:rsidP="0043087D">
      <w:pPr>
        <w:pStyle w:val="IOP-CS-BodyText"/>
        <w:ind w:firstLine="0"/>
        <w:rPr>
          <w:noProof/>
        </w:rPr>
      </w:pPr>
      <w:r w:rsidRPr="00AD55B4">
        <w:rPr>
          <w:noProof/>
        </w:rPr>
        <w:t>Based on the normalization results, the Fresh Water Aquatic Ecotoxicity (FAET) category exhibits the highest normalized impact value, followed by Global Warming Potential (GWP), Eutrophication, Acidification, and Ozone Layer Depletion, as presented in Table 4.</w:t>
      </w:r>
      <w:r w:rsidR="009439A8" w:rsidRPr="00AD55B4">
        <w:rPr>
          <w:noProof/>
        </w:rPr>
        <w:t xml:space="preserve">Tabel </w:t>
      </w:r>
    </w:p>
    <w:p w14:paraId="660CD0A7" w14:textId="77777777" w:rsidR="0043087D" w:rsidRPr="00AD55B4" w:rsidRDefault="0043087D" w:rsidP="0043087D">
      <w:pPr>
        <w:rPr>
          <w:rFonts w:ascii="Cambria" w:hAnsi="Cambria"/>
          <w:noProof/>
        </w:rPr>
      </w:pPr>
    </w:p>
    <w:p w14:paraId="6B8B3382" w14:textId="168C70D4" w:rsidR="0043087D" w:rsidRPr="00AD55B4" w:rsidRDefault="0043087D" w:rsidP="0043087D">
      <w:pPr>
        <w:rPr>
          <w:rFonts w:ascii="Cambria" w:hAnsi="Cambria"/>
          <w:noProof/>
        </w:rPr>
      </w:pPr>
    </w:p>
    <w:p w14:paraId="24D12ABE" w14:textId="77777777" w:rsidR="00AD55B4" w:rsidRPr="00AD55B4" w:rsidRDefault="00AD55B4" w:rsidP="0043087D">
      <w:pPr>
        <w:rPr>
          <w:rFonts w:ascii="Cambria" w:hAnsi="Cambria"/>
          <w:noProof/>
        </w:rPr>
      </w:pPr>
    </w:p>
    <w:p w14:paraId="0A8E22BE" w14:textId="77777777" w:rsidR="0043087D" w:rsidRPr="00AD55B4" w:rsidRDefault="0043087D" w:rsidP="0043087D">
      <w:pPr>
        <w:rPr>
          <w:rFonts w:ascii="Cambria" w:hAnsi="Cambria"/>
          <w:noProof/>
        </w:rPr>
      </w:pPr>
    </w:p>
    <w:p w14:paraId="27A8CECD" w14:textId="5644055A" w:rsidR="009439A8" w:rsidRPr="00AD55B4" w:rsidRDefault="0043087D" w:rsidP="00AD55B4">
      <w:pPr>
        <w:jc w:val="center"/>
        <w:rPr>
          <w:rFonts w:ascii="Cambria" w:hAnsi="Cambria"/>
          <w:noProof/>
        </w:rPr>
      </w:pPr>
      <w:r w:rsidRPr="00AD55B4">
        <w:rPr>
          <w:rFonts w:ascii="Cambria" w:hAnsi="Cambria"/>
          <w:b/>
          <w:bCs/>
          <w:noProof/>
        </w:rPr>
        <w:t>Table 4.</w:t>
      </w:r>
      <w:r w:rsidRPr="00AD55B4">
        <w:rPr>
          <w:rFonts w:ascii="Cambria" w:hAnsi="Cambria"/>
          <w:noProof/>
        </w:rPr>
        <w:t xml:space="preserve"> Normalization Results of Tofu Production Environmental Impacts</w:t>
      </w:r>
    </w:p>
    <w:tbl>
      <w:tblPr>
        <w:tblStyle w:val="TableGrid"/>
        <w:tblW w:w="0" w:type="auto"/>
        <w:tblInd w:w="992" w:type="dxa"/>
        <w:tblLook w:val="04A0" w:firstRow="1" w:lastRow="0" w:firstColumn="1" w:lastColumn="0" w:noHBand="0" w:noVBand="1"/>
      </w:tblPr>
      <w:tblGrid>
        <w:gridCol w:w="4508"/>
        <w:gridCol w:w="2433"/>
      </w:tblGrid>
      <w:tr w:rsidR="009439A8" w:rsidRPr="00AD55B4" w14:paraId="1E937267" w14:textId="77777777" w:rsidTr="00AD55B4">
        <w:tc>
          <w:tcPr>
            <w:tcW w:w="4508" w:type="dxa"/>
            <w:tcBorders>
              <w:left w:val="nil"/>
              <w:bottom w:val="single" w:sz="4" w:space="0" w:color="auto"/>
              <w:right w:val="nil"/>
            </w:tcBorders>
          </w:tcPr>
          <w:p w14:paraId="7EEE2C13" w14:textId="1CC46F87" w:rsidR="009439A8" w:rsidRPr="00AD55B4" w:rsidRDefault="0043087D" w:rsidP="0022218F">
            <w:pPr>
              <w:pStyle w:val="IOP-CS-BodyText"/>
              <w:ind w:firstLine="0"/>
              <w:rPr>
                <w:noProof/>
              </w:rPr>
            </w:pPr>
            <w:r w:rsidRPr="00AD55B4">
              <w:rPr>
                <w:noProof/>
              </w:rPr>
              <w:t>Impact Category</w:t>
            </w:r>
          </w:p>
        </w:tc>
        <w:tc>
          <w:tcPr>
            <w:tcW w:w="2433" w:type="dxa"/>
            <w:tcBorders>
              <w:left w:val="nil"/>
              <w:bottom w:val="single" w:sz="4" w:space="0" w:color="auto"/>
              <w:right w:val="nil"/>
            </w:tcBorders>
          </w:tcPr>
          <w:p w14:paraId="121DDC27" w14:textId="755A6197" w:rsidR="009439A8" w:rsidRPr="00AD55B4" w:rsidRDefault="0043087D" w:rsidP="0022218F">
            <w:pPr>
              <w:pStyle w:val="IOP-CS-BodyText"/>
              <w:ind w:firstLine="0"/>
              <w:rPr>
                <w:noProof/>
              </w:rPr>
            </w:pPr>
            <w:r w:rsidRPr="00AD55B4">
              <w:rPr>
                <w:noProof/>
              </w:rPr>
              <w:t>Normalized Value</w:t>
            </w:r>
          </w:p>
        </w:tc>
      </w:tr>
      <w:tr w:rsidR="009439A8" w:rsidRPr="00AD55B4" w14:paraId="16A88BA2" w14:textId="77777777" w:rsidTr="00AD55B4">
        <w:tc>
          <w:tcPr>
            <w:tcW w:w="4508" w:type="dxa"/>
            <w:tcBorders>
              <w:top w:val="single" w:sz="4" w:space="0" w:color="auto"/>
              <w:left w:val="nil"/>
              <w:bottom w:val="nil"/>
              <w:right w:val="nil"/>
            </w:tcBorders>
          </w:tcPr>
          <w:p w14:paraId="19988FAB" w14:textId="7481AEDC" w:rsidR="009439A8" w:rsidRPr="00AD55B4" w:rsidRDefault="009439A8" w:rsidP="009439A8">
            <w:pPr>
              <w:pStyle w:val="IOP-CS-BodyText"/>
              <w:ind w:firstLine="0"/>
              <w:rPr>
                <w:noProof/>
              </w:rPr>
            </w:pPr>
            <w:r w:rsidRPr="00AD55B4">
              <w:rPr>
                <w:noProof/>
              </w:rPr>
              <w:t>Global warning potential (GWP100a)</w:t>
            </w:r>
          </w:p>
        </w:tc>
        <w:tc>
          <w:tcPr>
            <w:tcW w:w="2433" w:type="dxa"/>
            <w:tcBorders>
              <w:top w:val="single" w:sz="4" w:space="0" w:color="auto"/>
              <w:left w:val="nil"/>
              <w:bottom w:val="nil"/>
              <w:right w:val="nil"/>
            </w:tcBorders>
          </w:tcPr>
          <w:p w14:paraId="0CCC5A15" w14:textId="052478F0" w:rsidR="009439A8" w:rsidRPr="00AD55B4" w:rsidRDefault="009439A8" w:rsidP="009439A8">
            <w:pPr>
              <w:pStyle w:val="IOP-CS-BodyText"/>
              <w:ind w:firstLine="0"/>
              <w:rPr>
                <w:noProof/>
              </w:rPr>
            </w:pPr>
            <w:r w:rsidRPr="00AD55B4">
              <w:rPr>
                <w:noProof/>
              </w:rPr>
              <w:t>1,05E-9</w:t>
            </w:r>
          </w:p>
        </w:tc>
      </w:tr>
      <w:tr w:rsidR="009439A8" w:rsidRPr="00AD55B4" w14:paraId="767C3C8B" w14:textId="77777777" w:rsidTr="00AD55B4">
        <w:tc>
          <w:tcPr>
            <w:tcW w:w="4508" w:type="dxa"/>
            <w:tcBorders>
              <w:top w:val="nil"/>
              <w:left w:val="nil"/>
              <w:bottom w:val="nil"/>
              <w:right w:val="nil"/>
            </w:tcBorders>
          </w:tcPr>
          <w:p w14:paraId="5B017B93" w14:textId="55A3018B" w:rsidR="009439A8" w:rsidRPr="00AD55B4" w:rsidRDefault="009439A8" w:rsidP="009439A8">
            <w:pPr>
              <w:pStyle w:val="IOP-CS-BodyText"/>
              <w:ind w:firstLine="0"/>
              <w:rPr>
                <w:noProof/>
              </w:rPr>
            </w:pPr>
            <w:r w:rsidRPr="00AD55B4">
              <w:rPr>
                <w:noProof/>
              </w:rPr>
              <w:t>Ozon layer depletion (ODP)</w:t>
            </w:r>
          </w:p>
        </w:tc>
        <w:tc>
          <w:tcPr>
            <w:tcW w:w="2433" w:type="dxa"/>
            <w:tcBorders>
              <w:top w:val="nil"/>
              <w:left w:val="nil"/>
              <w:bottom w:val="nil"/>
              <w:right w:val="nil"/>
            </w:tcBorders>
          </w:tcPr>
          <w:p w14:paraId="62EE994E" w14:textId="5CF76DD1" w:rsidR="009439A8" w:rsidRPr="00AD55B4" w:rsidRDefault="009439A8" w:rsidP="009439A8">
            <w:pPr>
              <w:pStyle w:val="IOP-CS-BodyText"/>
              <w:ind w:firstLine="0"/>
              <w:rPr>
                <w:noProof/>
              </w:rPr>
            </w:pPr>
            <w:r w:rsidRPr="00AD55B4">
              <w:rPr>
                <w:noProof/>
              </w:rPr>
              <w:t>6,84E-13</w:t>
            </w:r>
          </w:p>
        </w:tc>
      </w:tr>
      <w:tr w:rsidR="009439A8" w:rsidRPr="00AD55B4" w14:paraId="79EC8EB4" w14:textId="77777777" w:rsidTr="00AD55B4">
        <w:tc>
          <w:tcPr>
            <w:tcW w:w="4508" w:type="dxa"/>
            <w:tcBorders>
              <w:top w:val="nil"/>
              <w:left w:val="nil"/>
              <w:bottom w:val="nil"/>
              <w:right w:val="nil"/>
            </w:tcBorders>
          </w:tcPr>
          <w:p w14:paraId="172BA054" w14:textId="697F0DA8" w:rsidR="009439A8" w:rsidRPr="00AD55B4" w:rsidRDefault="009439A8" w:rsidP="009439A8">
            <w:pPr>
              <w:pStyle w:val="IOP-CS-BodyText"/>
              <w:ind w:firstLine="0"/>
              <w:rPr>
                <w:noProof/>
              </w:rPr>
            </w:pPr>
            <w:r w:rsidRPr="00AD55B4">
              <w:rPr>
                <w:noProof/>
              </w:rPr>
              <w:t>Fresh water aquatic ecotoxity</w:t>
            </w:r>
          </w:p>
        </w:tc>
        <w:tc>
          <w:tcPr>
            <w:tcW w:w="2433" w:type="dxa"/>
            <w:tcBorders>
              <w:top w:val="nil"/>
              <w:left w:val="nil"/>
              <w:bottom w:val="nil"/>
              <w:right w:val="nil"/>
            </w:tcBorders>
          </w:tcPr>
          <w:p w14:paraId="7FB2657E" w14:textId="0AE40406" w:rsidR="009439A8" w:rsidRPr="00AD55B4" w:rsidRDefault="009439A8" w:rsidP="009439A8">
            <w:pPr>
              <w:pStyle w:val="IOP-CS-BodyText"/>
              <w:ind w:firstLine="0"/>
              <w:rPr>
                <w:noProof/>
              </w:rPr>
            </w:pPr>
            <w:r w:rsidRPr="00AD55B4">
              <w:rPr>
                <w:noProof/>
              </w:rPr>
              <w:t>2,57E-9</w:t>
            </w:r>
          </w:p>
        </w:tc>
      </w:tr>
      <w:tr w:rsidR="009439A8" w:rsidRPr="00AD55B4" w14:paraId="073F4295" w14:textId="77777777" w:rsidTr="00AD55B4">
        <w:tc>
          <w:tcPr>
            <w:tcW w:w="4508" w:type="dxa"/>
            <w:tcBorders>
              <w:top w:val="nil"/>
              <w:left w:val="nil"/>
              <w:bottom w:val="nil"/>
              <w:right w:val="nil"/>
            </w:tcBorders>
          </w:tcPr>
          <w:p w14:paraId="032B7A05" w14:textId="3D876F3C" w:rsidR="009439A8" w:rsidRPr="00AD55B4" w:rsidRDefault="009439A8" w:rsidP="0022218F">
            <w:pPr>
              <w:pStyle w:val="IOP-CS-BodyText"/>
              <w:ind w:firstLine="0"/>
              <w:rPr>
                <w:noProof/>
              </w:rPr>
            </w:pPr>
            <w:r w:rsidRPr="00AD55B4">
              <w:rPr>
                <w:noProof/>
              </w:rPr>
              <w:t>Acidification</w:t>
            </w:r>
          </w:p>
        </w:tc>
        <w:tc>
          <w:tcPr>
            <w:tcW w:w="2433" w:type="dxa"/>
            <w:tcBorders>
              <w:top w:val="nil"/>
              <w:left w:val="nil"/>
              <w:bottom w:val="nil"/>
              <w:right w:val="nil"/>
            </w:tcBorders>
          </w:tcPr>
          <w:p w14:paraId="35F4B136" w14:textId="6C71F384" w:rsidR="009439A8" w:rsidRPr="00AD55B4" w:rsidRDefault="009439A8" w:rsidP="0022218F">
            <w:pPr>
              <w:pStyle w:val="IOP-CS-BodyText"/>
              <w:ind w:firstLine="0"/>
              <w:rPr>
                <w:noProof/>
              </w:rPr>
            </w:pPr>
            <w:r w:rsidRPr="00AD55B4">
              <w:rPr>
                <w:noProof/>
              </w:rPr>
              <w:t>1,63E-10</w:t>
            </w:r>
          </w:p>
        </w:tc>
      </w:tr>
      <w:tr w:rsidR="009439A8" w:rsidRPr="00AD55B4" w14:paraId="4D7A1378" w14:textId="77777777" w:rsidTr="00AD55B4">
        <w:tc>
          <w:tcPr>
            <w:tcW w:w="4508" w:type="dxa"/>
            <w:tcBorders>
              <w:top w:val="nil"/>
              <w:left w:val="nil"/>
              <w:bottom w:val="single" w:sz="4" w:space="0" w:color="auto"/>
              <w:right w:val="nil"/>
            </w:tcBorders>
          </w:tcPr>
          <w:p w14:paraId="20EA1011" w14:textId="6CF3F95F" w:rsidR="009439A8" w:rsidRPr="00AD55B4" w:rsidRDefault="009439A8" w:rsidP="0022218F">
            <w:pPr>
              <w:pStyle w:val="IOP-CS-BodyText"/>
              <w:ind w:firstLine="0"/>
              <w:rPr>
                <w:noProof/>
              </w:rPr>
            </w:pPr>
            <w:r w:rsidRPr="00AD55B4">
              <w:rPr>
                <w:noProof/>
              </w:rPr>
              <w:t>Eutrophication</w:t>
            </w:r>
          </w:p>
        </w:tc>
        <w:tc>
          <w:tcPr>
            <w:tcW w:w="2433" w:type="dxa"/>
            <w:tcBorders>
              <w:top w:val="nil"/>
              <w:left w:val="nil"/>
              <w:bottom w:val="single" w:sz="4" w:space="0" w:color="auto"/>
              <w:right w:val="nil"/>
            </w:tcBorders>
          </w:tcPr>
          <w:p w14:paraId="4E773005" w14:textId="46559BCC" w:rsidR="009439A8" w:rsidRPr="00AD55B4" w:rsidRDefault="0098500C" w:rsidP="0022218F">
            <w:pPr>
              <w:pStyle w:val="IOP-CS-BodyText"/>
              <w:ind w:firstLine="0"/>
              <w:rPr>
                <w:noProof/>
              </w:rPr>
            </w:pPr>
            <w:r w:rsidRPr="00AD55B4">
              <w:rPr>
                <w:noProof/>
              </w:rPr>
              <w:t>6,89E-10</w:t>
            </w:r>
          </w:p>
        </w:tc>
      </w:tr>
    </w:tbl>
    <w:p w14:paraId="09413386" w14:textId="77777777" w:rsidR="009439A8" w:rsidRPr="00AD55B4" w:rsidRDefault="009439A8" w:rsidP="0022218F">
      <w:pPr>
        <w:pStyle w:val="IOP-CS-BodyText"/>
        <w:ind w:firstLine="0"/>
        <w:rPr>
          <w:noProof/>
        </w:rPr>
      </w:pPr>
    </w:p>
    <w:p w14:paraId="321E05F5" w14:textId="3FF07680" w:rsidR="00A34C98" w:rsidRPr="00AD55B4" w:rsidRDefault="0043087D" w:rsidP="0022218F">
      <w:pPr>
        <w:pStyle w:val="IOP-CS-BodyText"/>
        <w:ind w:firstLine="0"/>
        <w:rPr>
          <w:noProof/>
        </w:rPr>
      </w:pPr>
      <w:r w:rsidRPr="00AD55B4">
        <w:rPr>
          <w:noProof/>
        </w:rPr>
        <w:t>Based on the normalization results, the Fresh Water Aquatic Ecotoxicity (FAET) category exhibits the highest impact value at 1.33 × 10³ kg 1,4-DB eq, followed by Eutrophication at 9.1 kg PO₄³⁻ eq, Global Warming Potential at 5.28 × 10³ kg CO₂ eq, and Acidification at 4.59 kg SO₂ eq. The Ozone Layer Depletion category records the lowest value at 6.11 × 10⁻⁵ kg CFC-11 eq.</w:t>
      </w:r>
    </w:p>
    <w:p w14:paraId="06FED08A" w14:textId="77777777" w:rsidR="0043087D" w:rsidRPr="00AD55B4" w:rsidRDefault="0043087D" w:rsidP="0022218F">
      <w:pPr>
        <w:pStyle w:val="IOP-CS-BodyText"/>
        <w:ind w:firstLine="0"/>
        <w:rPr>
          <w:noProof/>
        </w:rPr>
      </w:pPr>
    </w:p>
    <w:p w14:paraId="6C9DF873" w14:textId="274A6B38" w:rsidR="0043087D" w:rsidRPr="00AD55B4" w:rsidRDefault="0043087D" w:rsidP="0043087D">
      <w:pPr>
        <w:pStyle w:val="IOP-CS-BodyText"/>
        <w:ind w:firstLine="0"/>
        <w:rPr>
          <w:noProof/>
        </w:rPr>
      </w:pPr>
      <w:r w:rsidRPr="00AD55B4">
        <w:rPr>
          <w:noProof/>
        </w:rPr>
        <w:t>The normalization results indicate that the hostpot environmental impact category in the tofu production system is Fresh Water Aquatic Ecotoxicity (FAET). These results indicate that tofu production exerts the greatest pressure on freshwater ecosystems, particularly with respect to the potential toxicity of pollutants such as organic liquid waste, washing effluents, and whey toward freshwater organisms. The dominance of this category affirms that liquid waste management constitutes the most critical aspect of the analyzed tofu production system.</w:t>
      </w:r>
    </w:p>
    <w:p w14:paraId="5DF2F2EE" w14:textId="37E44400" w:rsidR="00622F26" w:rsidRPr="00AD55B4" w:rsidRDefault="0043087D" w:rsidP="0043087D">
      <w:pPr>
        <w:pStyle w:val="IOP-CS-BodyText"/>
        <w:ind w:firstLine="0"/>
        <w:rPr>
          <w:noProof/>
        </w:rPr>
      </w:pPr>
      <w:r w:rsidRPr="00AD55B4">
        <w:rPr>
          <w:noProof/>
        </w:rPr>
        <w:t>The subsequent impact category is Global Warming Potential (GWP). Although GWP frequently receives primary attention in environmental studies, its normalized contribution in this analysis ranks below FAET on the relative impact scale. This finding indicates that, although greenhouse gas emissions from energy use including electricity and fuel remain significant, they do not constitute the dominant contributor in comparison to the freshwater toxicity impacts within this tofu production system.</w:t>
      </w:r>
    </w:p>
    <w:p w14:paraId="4B118872" w14:textId="3EEFDD8E" w:rsidR="0043087D" w:rsidRPr="00AD55B4" w:rsidRDefault="0043087D" w:rsidP="0043087D">
      <w:pPr>
        <w:pStyle w:val="IOP-CS-BodyText"/>
        <w:ind w:firstLine="0"/>
        <w:rPr>
          <w:noProof/>
        </w:rPr>
      </w:pPr>
    </w:p>
    <w:p w14:paraId="79F187D5" w14:textId="3144BE9B" w:rsidR="0043087D" w:rsidRPr="00AD55B4" w:rsidRDefault="0043087D" w:rsidP="0043087D">
      <w:pPr>
        <w:pStyle w:val="IOP-CS-BodyText"/>
        <w:ind w:firstLine="0"/>
        <w:rPr>
          <w:noProof/>
        </w:rPr>
      </w:pPr>
      <w:r w:rsidRPr="00AD55B4">
        <w:rPr>
          <w:noProof/>
        </w:rPr>
        <w:t>Eutrophication reflects the potential for nutrient loading from organic waste — such as dissolved proteins and soybean residues — which may trigger excessive algal proliferation in water bodies. This impact is closely associated with the discharge of liquid waste in the absence of adequate treatment. The Acidification category reflects acidic emissions arising primarily from fuel combustion and electricity consumption; while its relative environmental impact is smaller than those of FAET and GWP, it remains relevant in the context of air quality management. Ozone Layer Depletion exhibits the lowest normalized value, indicating that the contribution of tofu production to stratospheric ozone depletion is negligible within this system. Overall, the normalization results affirm that the primary environmental hotspot in tofu production is freshwater aquatic ecotoxicity, and therefore environmental improvement priorities should be directed toward liquid waste management — encompassing washing effluents, whey, and coagulation waste — rather than air emissions control.</w:t>
      </w:r>
    </w:p>
    <w:p w14:paraId="7343F28E" w14:textId="7D065DAF" w:rsidR="00672C4B" w:rsidRPr="00AD55B4" w:rsidRDefault="00672C4B" w:rsidP="00FC5377">
      <w:pPr>
        <w:pStyle w:val="IOP-CS-BodyText"/>
        <w:ind w:firstLine="0"/>
      </w:pPr>
    </w:p>
    <w:p w14:paraId="329871E4" w14:textId="648B0949" w:rsidR="003736EC" w:rsidRPr="00AD55B4" w:rsidRDefault="00853ED6" w:rsidP="00FC5377">
      <w:pPr>
        <w:pStyle w:val="IOP-CS-BodyText"/>
        <w:ind w:firstLine="0"/>
        <w:rPr>
          <w:i/>
          <w:iCs/>
        </w:rPr>
      </w:pPr>
      <w:r w:rsidRPr="00AD55B4">
        <w:rPr>
          <w:i/>
          <w:iCs/>
        </w:rPr>
        <w:t>3.4</w:t>
      </w:r>
      <w:r w:rsidR="007D304D" w:rsidRPr="00AD55B4">
        <w:rPr>
          <w:i/>
          <w:iCs/>
        </w:rPr>
        <w:t xml:space="preserve"> </w:t>
      </w:r>
      <w:r w:rsidR="0079051A" w:rsidRPr="00AD55B4">
        <w:rPr>
          <w:i/>
          <w:iCs/>
        </w:rPr>
        <w:t>Improvement Opportunities and Mitigation Recommedations</w:t>
      </w:r>
    </w:p>
    <w:p w14:paraId="00ECFD3B" w14:textId="6397AC08" w:rsidR="007D304D" w:rsidRPr="00AD55B4" w:rsidRDefault="003736EC" w:rsidP="00AD55B4">
      <w:pPr>
        <w:pStyle w:val="IOP-CS-BodyText"/>
        <w:spacing w:after="240" w:line="240" w:lineRule="auto"/>
        <w:ind w:firstLine="0"/>
      </w:pPr>
      <w:r w:rsidRPr="00AD55B4">
        <w:t xml:space="preserve">Berdasarkan hasil Life Cycle Impact Assessment (LCIA) dan normalisasi, kategori dampak </w:t>
      </w:r>
      <w:r w:rsidR="0043087D" w:rsidRPr="00AD55B4">
        <w:t>Based on the LCIA results and normalization outcomes, the primary environmental hotspot in tofu production is Fresh Water Aquatic Ecotoxicity (FAET), predominantly caused by the high volume of organic liquid waste from the washing, soaking, and coagulation stages. Significant contributions also arise from Global Warming Potential (GWP), driven by firewood combustion during boiling, as well as smaller contributions to acidification and eutrophication from combustion emissions and nutrient laden liquid waste. Consequently, environmental improvement strategies should focus on two main aspects: liquid waste management and energy use efficiency. The recommended improvement strategies are presented in Table 3</w:t>
      </w:r>
      <w:r w:rsidRPr="00AD55B4">
        <w:t>.</w:t>
      </w:r>
    </w:p>
    <w:p w14:paraId="41704B8B" w14:textId="49918C24" w:rsidR="005B12DC" w:rsidRPr="00AD55B4" w:rsidRDefault="0043087D" w:rsidP="00AD55B4">
      <w:pPr>
        <w:spacing w:after="0"/>
        <w:jc w:val="center"/>
        <w:rPr>
          <w:rFonts w:ascii="Cambria" w:hAnsi="Cambria"/>
        </w:rPr>
      </w:pPr>
      <w:r w:rsidRPr="00AD55B4">
        <w:rPr>
          <w:rFonts w:ascii="Cambria" w:hAnsi="Cambria"/>
        </w:rPr>
        <w:t>Tabel 3. Environmental Improvement Strategies for Tofu Production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5905"/>
        <w:gridCol w:w="933"/>
      </w:tblGrid>
      <w:tr w:rsidR="00831655" w:rsidRPr="00AD55B4" w14:paraId="3880FA97" w14:textId="77777777" w:rsidTr="00831655">
        <w:trPr>
          <w:tblHeader/>
          <w:tblCellSpacing w:w="15" w:type="dxa"/>
        </w:trPr>
        <w:tc>
          <w:tcPr>
            <w:tcW w:w="0" w:type="auto"/>
            <w:tcBorders>
              <w:top w:val="single" w:sz="4" w:space="0" w:color="auto"/>
              <w:bottom w:val="single" w:sz="4" w:space="0" w:color="auto"/>
            </w:tcBorders>
            <w:vAlign w:val="center"/>
            <w:hideMark/>
          </w:tcPr>
          <w:p w14:paraId="3B2D4905" w14:textId="7C2E47E6" w:rsidR="00471805" w:rsidRPr="00471805" w:rsidRDefault="00471805" w:rsidP="00471805">
            <w:pPr>
              <w:spacing w:after="0" w:line="240" w:lineRule="auto"/>
              <w:jc w:val="center"/>
              <w:rPr>
                <w:rFonts w:ascii="Cambria" w:eastAsia="Times New Roman" w:hAnsi="Cambria" w:cs="Times New Roman"/>
                <w:kern w:val="0"/>
                <w:sz w:val="20"/>
                <w:szCs w:val="20"/>
                <w:lang w:val="en-ID" w:eastAsia="en-ID"/>
                <w14:ligatures w14:val="none"/>
              </w:rPr>
            </w:pPr>
            <w:r w:rsidRPr="00471805">
              <w:rPr>
                <w:rFonts w:ascii="Cambria" w:eastAsia="Times New Roman" w:hAnsi="Cambria" w:cs="Times New Roman"/>
                <w:kern w:val="0"/>
                <w:sz w:val="20"/>
                <w:szCs w:val="20"/>
                <w:lang w:val="en-ID" w:eastAsia="en-ID"/>
                <w14:ligatures w14:val="none"/>
              </w:rPr>
              <w:t>Improvement Strate</w:t>
            </w:r>
            <w:r w:rsidR="0043087D" w:rsidRPr="00AD55B4">
              <w:rPr>
                <w:rFonts w:ascii="Cambria" w:eastAsia="Times New Roman" w:hAnsi="Cambria" w:cs="Times New Roman"/>
                <w:kern w:val="0"/>
                <w:sz w:val="20"/>
                <w:szCs w:val="20"/>
                <w:lang w:val="en-ID" w:eastAsia="en-ID"/>
                <w14:ligatures w14:val="none"/>
              </w:rPr>
              <w:t>gy</w:t>
            </w:r>
          </w:p>
        </w:tc>
        <w:tc>
          <w:tcPr>
            <w:tcW w:w="0" w:type="auto"/>
            <w:tcBorders>
              <w:top w:val="single" w:sz="4" w:space="0" w:color="auto"/>
              <w:bottom w:val="single" w:sz="4" w:space="0" w:color="auto"/>
            </w:tcBorders>
            <w:vAlign w:val="center"/>
            <w:hideMark/>
          </w:tcPr>
          <w:p w14:paraId="53571690" w14:textId="77777777" w:rsidR="00471805" w:rsidRPr="00471805" w:rsidRDefault="00471805" w:rsidP="00471805">
            <w:pPr>
              <w:spacing w:after="0" w:line="240" w:lineRule="auto"/>
              <w:jc w:val="center"/>
              <w:rPr>
                <w:rFonts w:ascii="Cambria" w:eastAsia="Times New Roman" w:hAnsi="Cambria" w:cs="Times New Roman"/>
                <w:kern w:val="0"/>
                <w:sz w:val="20"/>
                <w:szCs w:val="20"/>
                <w:lang w:val="en-ID" w:eastAsia="en-ID"/>
                <w14:ligatures w14:val="none"/>
              </w:rPr>
            </w:pPr>
            <w:r w:rsidRPr="00471805">
              <w:rPr>
                <w:rFonts w:ascii="Cambria" w:eastAsia="Times New Roman" w:hAnsi="Cambria" w:cs="Times New Roman"/>
                <w:kern w:val="0"/>
                <w:sz w:val="20"/>
                <w:szCs w:val="20"/>
                <w:lang w:val="en-ID" w:eastAsia="en-ID"/>
                <w14:ligatures w14:val="none"/>
              </w:rPr>
              <w:t>Description</w:t>
            </w:r>
          </w:p>
        </w:tc>
        <w:tc>
          <w:tcPr>
            <w:tcW w:w="0" w:type="auto"/>
            <w:tcBorders>
              <w:top w:val="single" w:sz="4" w:space="0" w:color="auto"/>
              <w:bottom w:val="single" w:sz="4" w:space="0" w:color="auto"/>
            </w:tcBorders>
            <w:vAlign w:val="center"/>
            <w:hideMark/>
          </w:tcPr>
          <w:p w14:paraId="4F0972AB" w14:textId="5FDEC9FF" w:rsidR="00471805" w:rsidRPr="00471805" w:rsidRDefault="0043087D" w:rsidP="00471805">
            <w:pPr>
              <w:spacing w:after="0" w:line="240" w:lineRule="auto"/>
              <w:jc w:val="center"/>
              <w:rPr>
                <w:rFonts w:ascii="Cambria" w:eastAsia="Times New Roman" w:hAnsi="Cambria" w:cs="Times New Roman"/>
                <w:kern w:val="0"/>
                <w:sz w:val="20"/>
                <w:szCs w:val="20"/>
                <w:lang w:val="en-ID" w:eastAsia="en-ID"/>
                <w14:ligatures w14:val="none"/>
              </w:rPr>
            </w:pPr>
            <w:r w:rsidRPr="00AD55B4">
              <w:rPr>
                <w:rFonts w:ascii="Cambria" w:eastAsia="Times New Roman" w:hAnsi="Cambria" w:cs="Times New Roman"/>
                <w:kern w:val="0"/>
                <w:sz w:val="20"/>
                <w:szCs w:val="20"/>
                <w:lang w:val="en-ID" w:eastAsia="en-ID"/>
                <w14:ligatures w14:val="none"/>
              </w:rPr>
              <w:t>Reference</w:t>
            </w:r>
          </w:p>
        </w:tc>
      </w:tr>
      <w:tr w:rsidR="00831655" w:rsidRPr="00AD55B4" w14:paraId="78C475F8" w14:textId="77777777" w:rsidTr="00831655">
        <w:trPr>
          <w:tblCellSpacing w:w="15" w:type="dxa"/>
        </w:trPr>
        <w:tc>
          <w:tcPr>
            <w:tcW w:w="0" w:type="auto"/>
            <w:vAlign w:val="center"/>
            <w:hideMark/>
          </w:tcPr>
          <w:p w14:paraId="471A3EFC" w14:textId="77777777" w:rsidR="00471805" w:rsidRPr="00471805" w:rsidRDefault="00471805" w:rsidP="00BF1CDF">
            <w:pPr>
              <w:spacing w:after="0" w:line="240" w:lineRule="auto"/>
              <w:jc w:val="both"/>
              <w:rPr>
                <w:rFonts w:ascii="Cambria" w:eastAsia="Times New Roman" w:hAnsi="Cambria" w:cs="Times New Roman"/>
                <w:kern w:val="0"/>
                <w:sz w:val="20"/>
                <w:szCs w:val="20"/>
                <w:lang w:val="en-ID" w:eastAsia="en-ID"/>
                <w14:ligatures w14:val="none"/>
              </w:rPr>
            </w:pPr>
            <w:r w:rsidRPr="00471805">
              <w:rPr>
                <w:rFonts w:ascii="Cambria" w:eastAsia="Times New Roman" w:hAnsi="Cambria" w:cs="Times New Roman"/>
                <w:kern w:val="0"/>
                <w:sz w:val="20"/>
                <w:szCs w:val="20"/>
                <w:lang w:val="en-ID" w:eastAsia="en-ID"/>
                <w14:ligatures w14:val="none"/>
              </w:rPr>
              <w:t>Wastewater treatment using anaerobic digestion or biofilter system</w:t>
            </w:r>
          </w:p>
        </w:tc>
        <w:tc>
          <w:tcPr>
            <w:tcW w:w="0" w:type="auto"/>
            <w:vAlign w:val="center"/>
            <w:hideMark/>
          </w:tcPr>
          <w:p w14:paraId="54EF1200" w14:textId="434285ED" w:rsidR="00471805" w:rsidRPr="00471805" w:rsidRDefault="0043087D" w:rsidP="00BF1CDF">
            <w:pPr>
              <w:spacing w:after="0" w:line="240" w:lineRule="auto"/>
              <w:jc w:val="both"/>
              <w:rPr>
                <w:rFonts w:ascii="Cambria" w:eastAsia="Times New Roman" w:hAnsi="Cambria" w:cs="Times New Roman"/>
                <w:kern w:val="0"/>
                <w:sz w:val="20"/>
                <w:szCs w:val="20"/>
                <w:lang w:val="en-ID" w:eastAsia="en-ID"/>
                <w14:ligatures w14:val="none"/>
              </w:rPr>
            </w:pPr>
            <w:r w:rsidRPr="00AD55B4">
              <w:rPr>
                <w:rFonts w:ascii="Cambria" w:eastAsia="Times New Roman" w:hAnsi="Cambria" w:cs="Times New Roman"/>
                <w:kern w:val="0"/>
                <w:sz w:val="20"/>
                <w:szCs w:val="20"/>
                <w:lang w:val="en-ID" w:eastAsia="en-ID"/>
                <w14:ligatures w14:val="none"/>
              </w:rPr>
              <w:t>Implementation of a wastewater treatment system to reduce the organic load (BOD, COD) from washing, soaking, and whey effluents. Anaerobic digestion technology also enables biogas production as a renewable energy source, thereby simultaneously reducing FAET and GWP.</w:t>
            </w:r>
          </w:p>
        </w:tc>
        <w:tc>
          <w:tcPr>
            <w:tcW w:w="0" w:type="auto"/>
            <w:vAlign w:val="center"/>
            <w:hideMark/>
          </w:tcPr>
          <w:p w14:paraId="72927CA3" w14:textId="268BA0F0" w:rsidR="00471805" w:rsidRPr="00471805" w:rsidRDefault="009D4894" w:rsidP="009D4894">
            <w:pPr>
              <w:spacing w:after="0" w:line="240" w:lineRule="auto"/>
              <w:jc w:val="center"/>
              <w:rPr>
                <w:rFonts w:ascii="Cambria" w:eastAsia="Times New Roman" w:hAnsi="Cambria" w:cs="Times New Roman"/>
                <w:kern w:val="0"/>
                <w:sz w:val="20"/>
                <w:szCs w:val="20"/>
                <w:lang w:val="en-ID" w:eastAsia="en-ID"/>
                <w14:ligatures w14:val="none"/>
              </w:rPr>
            </w:pPr>
            <w:r>
              <w:rPr>
                <w:rFonts w:ascii="Cambria" w:eastAsia="Times New Roman" w:hAnsi="Cambria" w:cs="Times New Roman"/>
                <w:kern w:val="0"/>
                <w:sz w:val="20"/>
                <w:szCs w:val="20"/>
                <w:lang w:val="en-ID" w:eastAsia="en-ID"/>
                <w14:ligatures w14:val="none"/>
              </w:rPr>
              <w:t>[13]</w:t>
            </w:r>
          </w:p>
        </w:tc>
      </w:tr>
      <w:tr w:rsidR="00831655" w:rsidRPr="00AD55B4" w14:paraId="7121832C" w14:textId="77777777" w:rsidTr="00831655">
        <w:trPr>
          <w:tblCellSpacing w:w="15" w:type="dxa"/>
        </w:trPr>
        <w:tc>
          <w:tcPr>
            <w:tcW w:w="0" w:type="auto"/>
            <w:vAlign w:val="center"/>
            <w:hideMark/>
          </w:tcPr>
          <w:p w14:paraId="23EE9592" w14:textId="1B3E5894" w:rsidR="00471805" w:rsidRPr="00471805" w:rsidRDefault="00471805" w:rsidP="00BF1CDF">
            <w:pPr>
              <w:spacing w:after="0" w:line="240" w:lineRule="auto"/>
              <w:jc w:val="both"/>
              <w:rPr>
                <w:rFonts w:ascii="Cambria" w:eastAsia="Times New Roman" w:hAnsi="Cambria" w:cs="Times New Roman"/>
                <w:kern w:val="0"/>
                <w:sz w:val="20"/>
                <w:szCs w:val="20"/>
                <w:lang w:val="en-ID" w:eastAsia="en-ID"/>
                <w14:ligatures w14:val="none"/>
              </w:rPr>
            </w:pPr>
            <w:r w:rsidRPr="00471805">
              <w:rPr>
                <w:rFonts w:ascii="Cambria" w:eastAsia="Times New Roman" w:hAnsi="Cambria" w:cs="Times New Roman"/>
                <w:kern w:val="0"/>
                <w:sz w:val="20"/>
                <w:szCs w:val="20"/>
                <w:lang w:val="en-ID" w:eastAsia="en-ID"/>
                <w14:ligatures w14:val="none"/>
              </w:rPr>
              <w:t xml:space="preserve">Water recycling </w:t>
            </w:r>
            <w:r w:rsidR="009164E5" w:rsidRPr="00AD55B4">
              <w:rPr>
                <w:rFonts w:ascii="Cambria" w:eastAsia="Times New Roman" w:hAnsi="Cambria" w:cs="Times New Roman"/>
                <w:kern w:val="0"/>
                <w:sz w:val="20"/>
                <w:szCs w:val="20"/>
                <w:lang w:val="en-ID" w:eastAsia="en-ID"/>
                <w14:ligatures w14:val="none"/>
              </w:rPr>
              <w:t>system</w:t>
            </w:r>
          </w:p>
        </w:tc>
        <w:tc>
          <w:tcPr>
            <w:tcW w:w="0" w:type="auto"/>
            <w:vAlign w:val="center"/>
            <w:hideMark/>
          </w:tcPr>
          <w:p w14:paraId="12ECB9DD" w14:textId="347E18D3" w:rsidR="00471805" w:rsidRPr="00471805" w:rsidRDefault="0043087D" w:rsidP="00BF1CDF">
            <w:pPr>
              <w:spacing w:after="0" w:line="240" w:lineRule="auto"/>
              <w:jc w:val="both"/>
              <w:rPr>
                <w:rFonts w:ascii="Cambria" w:eastAsia="Times New Roman" w:hAnsi="Cambria" w:cs="Times New Roman"/>
                <w:kern w:val="0"/>
                <w:sz w:val="20"/>
                <w:szCs w:val="20"/>
                <w:lang w:val="en-ID" w:eastAsia="en-ID"/>
                <w14:ligatures w14:val="none"/>
              </w:rPr>
            </w:pPr>
            <w:r w:rsidRPr="00AD55B4">
              <w:rPr>
                <w:rFonts w:ascii="Cambria" w:eastAsia="Times New Roman" w:hAnsi="Cambria" w:cs="Times New Roman"/>
                <w:kern w:val="0"/>
                <w:sz w:val="20"/>
                <w:szCs w:val="20"/>
                <w:lang w:val="en-ID" w:eastAsia="en-ID"/>
                <w14:ligatures w14:val="none"/>
              </w:rPr>
              <w:t>Implementation of a water reuse system at the washing and soaking stages to reduce the consumption of clean water.</w:t>
            </w:r>
          </w:p>
        </w:tc>
        <w:tc>
          <w:tcPr>
            <w:tcW w:w="0" w:type="auto"/>
            <w:vAlign w:val="center"/>
            <w:hideMark/>
          </w:tcPr>
          <w:p w14:paraId="1EA31320" w14:textId="1B7988BB" w:rsidR="00471805" w:rsidRPr="00471805" w:rsidRDefault="009D4894" w:rsidP="009D4894">
            <w:pPr>
              <w:spacing w:after="0" w:line="240" w:lineRule="auto"/>
              <w:jc w:val="center"/>
              <w:rPr>
                <w:rFonts w:ascii="Cambria" w:eastAsia="Times New Roman" w:hAnsi="Cambria" w:cs="Times New Roman"/>
                <w:kern w:val="0"/>
                <w:sz w:val="20"/>
                <w:szCs w:val="20"/>
                <w:lang w:val="en-ID" w:eastAsia="en-ID"/>
                <w14:ligatures w14:val="none"/>
              </w:rPr>
            </w:pPr>
            <w:r>
              <w:rPr>
                <w:rFonts w:ascii="Cambria" w:eastAsia="Times New Roman" w:hAnsi="Cambria" w:cs="Times New Roman"/>
                <w:kern w:val="0"/>
                <w:sz w:val="20"/>
                <w:szCs w:val="20"/>
                <w:lang w:val="en-ID" w:eastAsia="en-ID"/>
                <w14:ligatures w14:val="none"/>
              </w:rPr>
              <w:t>[14]</w:t>
            </w:r>
          </w:p>
        </w:tc>
      </w:tr>
      <w:tr w:rsidR="00831655" w:rsidRPr="00AD55B4" w14:paraId="15405EE1" w14:textId="77777777" w:rsidTr="00831655">
        <w:trPr>
          <w:tblCellSpacing w:w="15" w:type="dxa"/>
        </w:trPr>
        <w:tc>
          <w:tcPr>
            <w:tcW w:w="0" w:type="auto"/>
            <w:tcBorders>
              <w:bottom w:val="single" w:sz="4" w:space="0" w:color="auto"/>
            </w:tcBorders>
            <w:vAlign w:val="center"/>
            <w:hideMark/>
          </w:tcPr>
          <w:p w14:paraId="2DB212F1" w14:textId="77777777" w:rsidR="00471805" w:rsidRPr="00471805" w:rsidRDefault="00471805" w:rsidP="00BF1CDF">
            <w:pPr>
              <w:spacing w:after="0" w:line="240" w:lineRule="auto"/>
              <w:jc w:val="both"/>
              <w:rPr>
                <w:rFonts w:ascii="Cambria" w:eastAsia="Times New Roman" w:hAnsi="Cambria" w:cs="Times New Roman"/>
                <w:kern w:val="0"/>
                <w:sz w:val="20"/>
                <w:szCs w:val="20"/>
                <w:lang w:val="en-ID" w:eastAsia="en-ID"/>
                <w14:ligatures w14:val="none"/>
              </w:rPr>
            </w:pPr>
            <w:r w:rsidRPr="00471805">
              <w:rPr>
                <w:rFonts w:ascii="Cambria" w:eastAsia="Times New Roman" w:hAnsi="Cambria" w:cs="Times New Roman"/>
                <w:kern w:val="0"/>
                <w:sz w:val="20"/>
                <w:szCs w:val="20"/>
                <w:lang w:val="en-ID" w:eastAsia="en-ID"/>
                <w14:ligatures w14:val="none"/>
              </w:rPr>
              <w:t>Fuel substitution and energy efficiency improvement in boiling stage</w:t>
            </w:r>
          </w:p>
        </w:tc>
        <w:tc>
          <w:tcPr>
            <w:tcW w:w="0" w:type="auto"/>
            <w:tcBorders>
              <w:bottom w:val="single" w:sz="4" w:space="0" w:color="auto"/>
            </w:tcBorders>
            <w:vAlign w:val="center"/>
            <w:hideMark/>
          </w:tcPr>
          <w:p w14:paraId="238D6704" w14:textId="36C45CB5" w:rsidR="00471805" w:rsidRPr="00471805" w:rsidRDefault="0043087D" w:rsidP="00BF1CDF">
            <w:pPr>
              <w:spacing w:after="0" w:line="240" w:lineRule="auto"/>
              <w:jc w:val="both"/>
              <w:rPr>
                <w:rFonts w:ascii="Cambria" w:eastAsia="Times New Roman" w:hAnsi="Cambria" w:cs="Times New Roman"/>
                <w:kern w:val="0"/>
                <w:sz w:val="20"/>
                <w:szCs w:val="20"/>
                <w:lang w:val="en-ID" w:eastAsia="en-ID"/>
                <w14:ligatures w14:val="none"/>
              </w:rPr>
            </w:pPr>
            <w:r w:rsidRPr="00AD55B4">
              <w:rPr>
                <w:rFonts w:ascii="Cambria" w:eastAsia="Times New Roman" w:hAnsi="Cambria" w:cs="Times New Roman"/>
                <w:kern w:val="0"/>
                <w:sz w:val="20"/>
                <w:szCs w:val="20"/>
                <w:lang w:val="en-ID" w:eastAsia="en-ID"/>
                <w14:ligatures w14:val="none"/>
              </w:rPr>
              <w:t>Replacement of firewood with controlled biomass fuels, LPG, or high efficiency improved biomass stoves.</w:t>
            </w:r>
          </w:p>
        </w:tc>
        <w:tc>
          <w:tcPr>
            <w:tcW w:w="0" w:type="auto"/>
            <w:tcBorders>
              <w:bottom w:val="single" w:sz="4" w:space="0" w:color="auto"/>
            </w:tcBorders>
            <w:vAlign w:val="center"/>
            <w:hideMark/>
          </w:tcPr>
          <w:p w14:paraId="02B5D887" w14:textId="7F4CE813" w:rsidR="00471805" w:rsidRPr="00471805" w:rsidRDefault="009D4894" w:rsidP="009D4894">
            <w:pPr>
              <w:spacing w:after="0" w:line="240" w:lineRule="auto"/>
              <w:jc w:val="center"/>
              <w:rPr>
                <w:rFonts w:ascii="Cambria" w:eastAsia="Times New Roman" w:hAnsi="Cambria" w:cs="Times New Roman"/>
                <w:kern w:val="0"/>
                <w:sz w:val="20"/>
                <w:szCs w:val="20"/>
                <w:lang w:val="en-ID" w:eastAsia="en-ID"/>
                <w14:ligatures w14:val="none"/>
              </w:rPr>
            </w:pPr>
            <w:r>
              <w:rPr>
                <w:rFonts w:ascii="Cambria" w:eastAsia="Times New Roman" w:hAnsi="Cambria" w:cs="Times New Roman"/>
                <w:kern w:val="0"/>
                <w:sz w:val="20"/>
                <w:szCs w:val="20"/>
                <w:lang w:val="en-ID" w:eastAsia="en-ID"/>
                <w14:ligatures w14:val="none"/>
              </w:rPr>
              <w:t>[15]</w:t>
            </w:r>
          </w:p>
        </w:tc>
      </w:tr>
    </w:tbl>
    <w:p w14:paraId="31D30BB3" w14:textId="77777777" w:rsidR="00471805" w:rsidRPr="00AD55B4" w:rsidRDefault="00471805" w:rsidP="00FC5377">
      <w:pPr>
        <w:pStyle w:val="IOP-CS-BodyText"/>
        <w:ind w:firstLine="0"/>
      </w:pPr>
    </w:p>
    <w:p w14:paraId="58F53AD3" w14:textId="3A7F4F21" w:rsidR="0043087D" w:rsidRPr="00AD55B4" w:rsidRDefault="0043087D" w:rsidP="0043087D">
      <w:pPr>
        <w:pStyle w:val="IOP-CS-BodyText"/>
        <w:ind w:firstLine="0"/>
      </w:pPr>
      <w:r w:rsidRPr="00AD55B4">
        <w:t xml:space="preserve">From a technical perspective, the primary improvement priority is the implementation of a wastewater treatment system to reduce the organic load prior to environmental discharge. Established technologies such as anaerobic digestion, constructed wetlands, or a combination of settling tanks and biofilters represent viable and applicable options for SME scale production contexts. These approaches not only reduce COD and BOD concentrations, but also generate biogas that may be utilized as a renewable energy source thereby providing co-benefits in terms of GWP reduction. Furthermore, water use optimization at the washing and soaking stages can be achieved through a water recycling system or counter-current washing approach. These strategies are capable of substantially reducing clean water consumption, thereby decreasing the </w:t>
      </w:r>
      <w:r w:rsidRPr="00AD55B4">
        <w:lastRenderedPageBreak/>
        <w:t>volume of liquid waste generated. The adoption of water efficient equipment and standardized washing procedures would further enhance operational efficiency without compromising product quality.</w:t>
      </w:r>
    </w:p>
    <w:p w14:paraId="6A94C76E" w14:textId="0163ECE8" w:rsidR="006426A4" w:rsidRPr="00AD55B4" w:rsidRDefault="0043087D" w:rsidP="0043087D">
      <w:pPr>
        <w:pStyle w:val="IOP-CS-BodyText"/>
        <w:ind w:firstLine="0"/>
      </w:pPr>
      <w:r w:rsidRPr="00AD55B4">
        <w:t>With respect to energy consumption, the boiling stage identified as the primary contributor to greenhouse gas emissions requires optimization through the substitution of firewood with cleaner energy sources, such as liquefied petroleum gas (LPG), controlled biomass, or high efficiency biomass stoves. Alternative approaches include the adoption of improved boiler systems or insulated boiling tanks to minimize heat loss and reduce fuel consumption. These measures directly reduce CO₂, CH₄, and N₂O emissions, thereby lowering the contributions to GWP, acidification, and eutrophication. The LCA based approach also demonstrates that improvements at the upstream stages of the production chain particularly liquid waste management yield greater environmental reduction benefits compared to end-of-pipe interventions. Therefore, mitigation strategies should be prioritized at the identified hotspots: organic liquid waste and thermal energy use in the boiling process.</w:t>
      </w:r>
    </w:p>
    <w:p w14:paraId="71842DC3" w14:textId="77777777" w:rsidR="0043087D" w:rsidRPr="00AD55B4" w:rsidRDefault="0043087D" w:rsidP="0043087D">
      <w:pPr>
        <w:pStyle w:val="IOP-CS-BodyText"/>
        <w:ind w:firstLine="0"/>
      </w:pPr>
    </w:p>
    <w:p w14:paraId="262875B6" w14:textId="77777777" w:rsidR="0043087D" w:rsidRPr="00AD55B4" w:rsidRDefault="00FC5377" w:rsidP="0043087D">
      <w:pPr>
        <w:pStyle w:val="IOP-CS-BodyText"/>
        <w:ind w:firstLine="0"/>
        <w:rPr>
          <w:b/>
          <w:bCs/>
        </w:rPr>
      </w:pPr>
      <w:r w:rsidRPr="00AD55B4">
        <w:rPr>
          <w:b/>
          <w:bCs/>
        </w:rPr>
        <w:t>4. Conclusion</w:t>
      </w:r>
    </w:p>
    <w:p w14:paraId="35053DFB" w14:textId="34C52B93" w:rsidR="0043087D" w:rsidRPr="00AD55B4" w:rsidRDefault="0043087D" w:rsidP="0043087D">
      <w:pPr>
        <w:pStyle w:val="IOP-CS-BodyText"/>
        <w:ind w:firstLine="0"/>
        <w:rPr>
          <w:b/>
          <w:bCs/>
        </w:rPr>
      </w:pPr>
      <w:r w:rsidRPr="00AD55B4">
        <w:rPr>
          <w:noProof/>
        </w:rPr>
        <w:t>Based on the Life Cycle Assessment (LCA) of tofu production in Semarang City using a gate-to-gate approach, it can be concluded that tofu production generates environmental impacts across several categories: Global Warming Potential (GWP), Ozone Layer Depletion (ODP), Fresh Water Aquatic Ecotoxicity (FAET), Acidification, and Eutrophication. The production stages contributing most significantly to environmental impacts are the washing and boiling stages, driven by high water use and firewood combustion, respectively. Normalization results indicate that Fresh Water Aquatic Ecotoxicity (FAET) is the most dominant impact category, with a value of 1.33 × 10³ kg 1,4-DB eq, confirming that organic liquid waste including washing effluents, whey, and coagulation waste, constitutes the primary environmental hotspot in the production system. Global Warming Potential (GWP) also shows a significant contribution, primarily attributable to fuel combustion during the boiling stage. Acidification and eutrophication exhibit lower but still relevant contributions, while ODP exhibits a negligible impact. Therefore, improvement strategies should focus on liquid waste management and energy efficiency enhancement, including the implementation of wastewater treatment systems, water recycling practices, and fuel substitution. The implementation of these strategies is expected to substantially reduce the environmental impacts of tofu production and enhance its overall sustainability in Semarang City.</w:t>
      </w:r>
    </w:p>
    <w:p w14:paraId="54A6B54F" w14:textId="7A29EA0F" w:rsidR="004B7F0C" w:rsidRPr="00AD55B4" w:rsidRDefault="00C23B8D" w:rsidP="00CF5879">
      <w:pPr>
        <w:pStyle w:val="IOP-CS-SectionHead"/>
      </w:pPr>
      <w:r w:rsidRPr="00AD55B4">
        <w:t>References</w:t>
      </w:r>
      <w:r w:rsidR="00746D2F" w:rsidRPr="00AD55B4">
        <w:t xml:space="preserve"> </w:t>
      </w:r>
    </w:p>
    <w:p w14:paraId="663B88C0" w14:textId="2E68B869" w:rsidR="009D4894" w:rsidRDefault="00C23B8D" w:rsidP="009D4894">
      <w:pPr>
        <w:widowControl w:val="0"/>
        <w:autoSpaceDE w:val="0"/>
        <w:autoSpaceDN w:val="0"/>
        <w:adjustRightInd w:val="0"/>
        <w:spacing w:after="0" w:line="240" w:lineRule="auto"/>
        <w:ind w:left="284" w:hanging="284"/>
        <w:jc w:val="both"/>
        <w:rPr>
          <w:rFonts w:ascii="Cambria" w:hAnsi="Cambria" w:cs="Times New Roman"/>
          <w:noProof/>
          <w:sz w:val="18"/>
          <w:szCs w:val="24"/>
        </w:rPr>
      </w:pPr>
      <w:r w:rsidRPr="00AD55B4">
        <w:rPr>
          <w:rFonts w:ascii="Cambria" w:hAnsi="Cambria"/>
        </w:rPr>
        <w:t>[1]</w:t>
      </w:r>
      <w:r w:rsidR="00B90B9D" w:rsidRPr="00AD55B4">
        <w:rPr>
          <w:rFonts w:ascii="Cambria" w:hAnsi="Cambria"/>
        </w:rPr>
        <w:fldChar w:fldCharType="begin" w:fldLock="1"/>
      </w:r>
      <w:r w:rsidR="00B90B9D" w:rsidRPr="00AD55B4">
        <w:rPr>
          <w:rFonts w:ascii="Cambria" w:hAnsi="Cambria"/>
        </w:rPr>
        <w:instrText xml:space="preserve">ADDIN Mendeley Bibliography CSL_BIBLIOGRAPHY </w:instrText>
      </w:r>
      <w:r w:rsidR="00B90B9D" w:rsidRPr="00AD55B4">
        <w:rPr>
          <w:rFonts w:ascii="Cambria" w:hAnsi="Cambria"/>
        </w:rPr>
        <w:fldChar w:fldCharType="separate"/>
      </w:r>
      <w:r w:rsidR="00AD55B4" w:rsidRPr="00AD55B4">
        <w:rPr>
          <w:rFonts w:ascii="Cambria" w:hAnsi="Cambria" w:cs="Times New Roman"/>
          <w:noProof/>
          <w:sz w:val="18"/>
          <w:szCs w:val="24"/>
        </w:rPr>
        <w:t xml:space="preserve">Ghisellini, P., Cialani, C. and Ulgiati, S. (2016) ‘A review on circular economy: The expected transition to a balanced interplay of environmental and economic systems’, </w:t>
      </w:r>
      <w:r w:rsidR="00AD55B4" w:rsidRPr="00AD55B4">
        <w:rPr>
          <w:rFonts w:ascii="Cambria" w:hAnsi="Cambria" w:cs="Times New Roman"/>
          <w:i/>
          <w:iCs/>
          <w:noProof/>
          <w:sz w:val="18"/>
          <w:szCs w:val="24"/>
        </w:rPr>
        <w:t>Journal of Cleaner Production</w:t>
      </w:r>
      <w:r w:rsidR="00AD55B4" w:rsidRPr="00AD55B4">
        <w:rPr>
          <w:rFonts w:ascii="Cambria" w:hAnsi="Cambria" w:cs="Times New Roman"/>
          <w:noProof/>
          <w:sz w:val="18"/>
          <w:szCs w:val="24"/>
        </w:rPr>
        <w:t>, 114, pp. 11–32. Available at: https://doi.org/10.1016/j.jclepro.2015.09.007.</w:t>
      </w:r>
    </w:p>
    <w:p w14:paraId="027758B5" w14:textId="4A2B286C" w:rsidR="00227A61" w:rsidRDefault="00227A61" w:rsidP="009D4894">
      <w:pPr>
        <w:widowControl w:val="0"/>
        <w:autoSpaceDE w:val="0"/>
        <w:autoSpaceDN w:val="0"/>
        <w:adjustRightInd w:val="0"/>
        <w:spacing w:after="0" w:line="240" w:lineRule="auto"/>
        <w:ind w:left="284" w:hanging="284"/>
        <w:jc w:val="both"/>
        <w:rPr>
          <w:rFonts w:ascii="Cambria" w:hAnsi="Cambria" w:cs="Times New Roman"/>
          <w:noProof/>
          <w:sz w:val="18"/>
          <w:szCs w:val="24"/>
        </w:rPr>
      </w:pPr>
      <w:r>
        <w:rPr>
          <w:rFonts w:ascii="Cambria" w:hAnsi="Cambria" w:cs="Times New Roman"/>
          <w:noProof/>
          <w:sz w:val="18"/>
          <w:szCs w:val="24"/>
        </w:rPr>
        <w:t>[2]</w:t>
      </w:r>
      <w:r w:rsidRPr="00227A61">
        <w:t xml:space="preserve"> </w:t>
      </w:r>
      <w:r w:rsidRPr="00227A61">
        <w:rPr>
          <w:rFonts w:ascii="Cambria" w:hAnsi="Cambria" w:cs="Times New Roman"/>
          <w:noProof/>
          <w:sz w:val="18"/>
          <w:szCs w:val="24"/>
        </w:rPr>
        <w:t>Dewi, A. N., &amp; Setiawan, D. (2024). Bisnis Kuliner ( Studi Kasus CV . Gehu Extra Pedas Chili Hot ). Jurnal Manajemen Dan Bisnis Islam, 1(1), 5–23.</w:t>
      </w:r>
    </w:p>
    <w:p w14:paraId="74BA8D40" w14:textId="18DE52B2" w:rsidR="00227A61" w:rsidRDefault="00227A61" w:rsidP="009D4894">
      <w:pPr>
        <w:widowControl w:val="0"/>
        <w:autoSpaceDE w:val="0"/>
        <w:autoSpaceDN w:val="0"/>
        <w:adjustRightInd w:val="0"/>
        <w:spacing w:after="0" w:line="240" w:lineRule="auto"/>
        <w:ind w:left="284" w:hanging="284"/>
        <w:jc w:val="both"/>
        <w:rPr>
          <w:rFonts w:ascii="Cambria" w:hAnsi="Cambria" w:cs="Times New Roman"/>
          <w:noProof/>
          <w:sz w:val="18"/>
          <w:szCs w:val="24"/>
        </w:rPr>
      </w:pPr>
      <w:r>
        <w:rPr>
          <w:rFonts w:ascii="Cambria" w:hAnsi="Cambria" w:cs="Times New Roman"/>
          <w:noProof/>
          <w:sz w:val="18"/>
          <w:szCs w:val="24"/>
        </w:rPr>
        <w:t xml:space="preserve">[3] </w:t>
      </w:r>
      <w:r w:rsidRPr="00227A61">
        <w:rPr>
          <w:rFonts w:ascii="Cambria" w:hAnsi="Cambria" w:cs="Times New Roman"/>
          <w:noProof/>
          <w:sz w:val="18"/>
          <w:szCs w:val="24"/>
        </w:rPr>
        <w:t>Rosyidah, M., Masruri, A., &amp; Putra, R. A. (2020). Assessment ( LCA ) Method On Tofu Production. International Journal of Science, Technology &amp; Management, 1(4), 428–435. https://ijstm.inarah.co.id/index.php/ijstm/article/view/73/62</w:t>
      </w:r>
    </w:p>
    <w:p w14:paraId="2417317C" w14:textId="29362D16" w:rsidR="00227A61" w:rsidRDefault="00227A61" w:rsidP="009D4894">
      <w:pPr>
        <w:widowControl w:val="0"/>
        <w:autoSpaceDE w:val="0"/>
        <w:autoSpaceDN w:val="0"/>
        <w:adjustRightInd w:val="0"/>
        <w:spacing w:after="0" w:line="240" w:lineRule="auto"/>
        <w:ind w:left="284" w:hanging="284"/>
        <w:jc w:val="both"/>
        <w:rPr>
          <w:rFonts w:ascii="Cambria" w:hAnsi="Cambria" w:cs="Times New Roman"/>
          <w:noProof/>
          <w:sz w:val="18"/>
          <w:szCs w:val="24"/>
        </w:rPr>
      </w:pPr>
      <w:r>
        <w:rPr>
          <w:rFonts w:ascii="Cambria" w:hAnsi="Cambria" w:cs="Times New Roman"/>
          <w:noProof/>
          <w:sz w:val="18"/>
          <w:szCs w:val="24"/>
        </w:rPr>
        <w:t xml:space="preserve">[4] </w:t>
      </w:r>
      <w:r w:rsidRPr="00227A61">
        <w:rPr>
          <w:rFonts w:ascii="Cambria" w:hAnsi="Cambria" w:cs="Times New Roman"/>
          <w:noProof/>
          <w:sz w:val="18"/>
          <w:szCs w:val="24"/>
        </w:rPr>
        <w:t>Sjafruddin, R., Agustang, A., &amp; Pertiwi, N. (2022). Estimasi Limbah Industri Tahu Dan Kajian Penerapan Sistem Produksi Bersih. Jurnal Ilmiah Mandala Education, 8(2), 1229–1237. https://doi.org/10.36312/jime.v8i2.2826</w:t>
      </w:r>
    </w:p>
    <w:p w14:paraId="1E6C72C5" w14:textId="473B72B2" w:rsidR="00227A61" w:rsidRDefault="00227A61" w:rsidP="009D4894">
      <w:pPr>
        <w:widowControl w:val="0"/>
        <w:autoSpaceDE w:val="0"/>
        <w:autoSpaceDN w:val="0"/>
        <w:adjustRightInd w:val="0"/>
        <w:spacing w:after="0" w:line="240" w:lineRule="auto"/>
        <w:ind w:left="284" w:hanging="284"/>
        <w:jc w:val="both"/>
        <w:rPr>
          <w:rFonts w:ascii="Cambria" w:hAnsi="Cambria" w:cs="Times New Roman"/>
          <w:noProof/>
          <w:sz w:val="18"/>
          <w:szCs w:val="24"/>
        </w:rPr>
      </w:pPr>
      <w:r>
        <w:rPr>
          <w:rFonts w:ascii="Cambria" w:hAnsi="Cambria" w:cs="Times New Roman"/>
          <w:noProof/>
          <w:sz w:val="18"/>
          <w:szCs w:val="24"/>
        </w:rPr>
        <w:t xml:space="preserve">[5] </w:t>
      </w:r>
      <w:r w:rsidRPr="00227A61">
        <w:rPr>
          <w:rFonts w:ascii="Cambria" w:hAnsi="Cambria" w:cs="Times New Roman"/>
          <w:noProof/>
          <w:sz w:val="18"/>
          <w:szCs w:val="24"/>
        </w:rPr>
        <w:t>Islami, M. C. P. A., &amp; Harnaningrum, R. N. (2025). Integration of Waste Management and Environmental Impact Assessment for Sustainable Manufacturing in Sukolego Tofu Production. 06(2), 71–77.</w:t>
      </w:r>
    </w:p>
    <w:p w14:paraId="4EABFAFE" w14:textId="3F134DA2" w:rsidR="00227A61" w:rsidRDefault="00227A61" w:rsidP="009D4894">
      <w:pPr>
        <w:widowControl w:val="0"/>
        <w:autoSpaceDE w:val="0"/>
        <w:autoSpaceDN w:val="0"/>
        <w:adjustRightInd w:val="0"/>
        <w:spacing w:after="0" w:line="240" w:lineRule="auto"/>
        <w:ind w:left="284" w:hanging="284"/>
        <w:jc w:val="both"/>
        <w:rPr>
          <w:rFonts w:ascii="Cambria" w:hAnsi="Cambria" w:cs="Times New Roman"/>
          <w:noProof/>
          <w:sz w:val="18"/>
          <w:szCs w:val="24"/>
        </w:rPr>
      </w:pPr>
      <w:r>
        <w:rPr>
          <w:rFonts w:ascii="Cambria" w:hAnsi="Cambria" w:cs="Times New Roman"/>
          <w:noProof/>
          <w:sz w:val="18"/>
          <w:szCs w:val="24"/>
        </w:rPr>
        <w:t xml:space="preserve">[6] </w:t>
      </w:r>
      <w:r w:rsidRPr="00227A61">
        <w:rPr>
          <w:rFonts w:ascii="Cambria" w:hAnsi="Cambria" w:cs="Times New Roman"/>
          <w:noProof/>
          <w:sz w:val="18"/>
          <w:szCs w:val="24"/>
        </w:rPr>
        <w:t>Hauschild, M. Z., Rosenbaum, R. K., &amp; Olsen, S. I. (2017). Life Cycle Assessment: Theory and Practice. In Life Cycle Assessment: Theory and Practice. https://doi.org/10.1007/978-3-319-56475-3</w:t>
      </w:r>
    </w:p>
    <w:p w14:paraId="62962394" w14:textId="6211677E" w:rsidR="00227A61" w:rsidRDefault="00227A61" w:rsidP="009D4894">
      <w:pPr>
        <w:widowControl w:val="0"/>
        <w:autoSpaceDE w:val="0"/>
        <w:autoSpaceDN w:val="0"/>
        <w:adjustRightInd w:val="0"/>
        <w:spacing w:after="0" w:line="240" w:lineRule="auto"/>
        <w:ind w:left="284" w:hanging="284"/>
        <w:jc w:val="both"/>
        <w:rPr>
          <w:rFonts w:ascii="Cambria" w:hAnsi="Cambria" w:cs="Times New Roman"/>
          <w:noProof/>
          <w:sz w:val="18"/>
          <w:szCs w:val="24"/>
        </w:rPr>
      </w:pPr>
      <w:r>
        <w:rPr>
          <w:rFonts w:ascii="Cambria" w:hAnsi="Cambria" w:cs="Times New Roman"/>
          <w:noProof/>
          <w:sz w:val="18"/>
          <w:szCs w:val="24"/>
        </w:rPr>
        <w:t xml:space="preserve">[7] </w:t>
      </w:r>
      <w:r w:rsidRPr="00227A61">
        <w:rPr>
          <w:rFonts w:ascii="Cambria" w:hAnsi="Cambria" w:cs="Times New Roman"/>
          <w:noProof/>
          <w:sz w:val="18"/>
          <w:szCs w:val="24"/>
        </w:rPr>
        <w:t xml:space="preserve">Chitaka, T. Y., &amp; Goga, T. (2023). The evolution of life cycle assessment in the food and beverage industry: A review. </w:t>
      </w:r>
      <w:r w:rsidRPr="00227A61">
        <w:rPr>
          <w:rFonts w:ascii="Cambria" w:hAnsi="Cambria" w:cs="Times New Roman"/>
          <w:noProof/>
          <w:sz w:val="18"/>
          <w:szCs w:val="24"/>
        </w:rPr>
        <w:lastRenderedPageBreak/>
        <w:t>Cambridge Prisms: Plastics, 1, 1–6. https://doi.org/10.1017/plc.2023.4</w:t>
      </w:r>
    </w:p>
    <w:p w14:paraId="50BC2BDB" w14:textId="60AC4B61" w:rsidR="00227A61" w:rsidRDefault="00227A61" w:rsidP="009D4894">
      <w:pPr>
        <w:widowControl w:val="0"/>
        <w:autoSpaceDE w:val="0"/>
        <w:autoSpaceDN w:val="0"/>
        <w:adjustRightInd w:val="0"/>
        <w:spacing w:after="0" w:line="240" w:lineRule="auto"/>
        <w:ind w:left="284" w:hanging="284"/>
        <w:jc w:val="both"/>
        <w:rPr>
          <w:rFonts w:ascii="Cambria" w:hAnsi="Cambria" w:cs="Times New Roman"/>
          <w:noProof/>
          <w:sz w:val="18"/>
          <w:szCs w:val="24"/>
        </w:rPr>
      </w:pPr>
      <w:r>
        <w:rPr>
          <w:rFonts w:ascii="Cambria" w:hAnsi="Cambria" w:cs="Times New Roman"/>
          <w:noProof/>
          <w:sz w:val="18"/>
          <w:szCs w:val="24"/>
        </w:rPr>
        <w:t xml:space="preserve">[8] </w:t>
      </w:r>
      <w:r w:rsidRPr="00227A61">
        <w:rPr>
          <w:rFonts w:ascii="Cambria" w:hAnsi="Cambria" w:cs="Times New Roman"/>
          <w:noProof/>
          <w:sz w:val="18"/>
          <w:szCs w:val="24"/>
        </w:rPr>
        <w:t>Nugroho, M. E., Setyono, P., &amp; Rachmawati, S. (2024). Analisis Emisi Gas Rumah Kaca dengan Life Cycle Assessment (LCA) dan Analytical Hierarchy Process (AHP) Industri Tahu. Jurnal Ilmu Lingkungan, 22(6), 1504–1512. https://doi.org/10.14710/jil.22.6.1504-1512</w:t>
      </w:r>
    </w:p>
    <w:p w14:paraId="4CD4B3C3" w14:textId="2A81C4A6" w:rsidR="00227A61" w:rsidRDefault="00227A61" w:rsidP="009D4894">
      <w:pPr>
        <w:widowControl w:val="0"/>
        <w:autoSpaceDE w:val="0"/>
        <w:autoSpaceDN w:val="0"/>
        <w:adjustRightInd w:val="0"/>
        <w:spacing w:after="0" w:line="240" w:lineRule="auto"/>
        <w:ind w:left="284" w:hanging="284"/>
        <w:jc w:val="both"/>
        <w:rPr>
          <w:rFonts w:ascii="Cambria" w:hAnsi="Cambria" w:cs="Times New Roman"/>
          <w:noProof/>
          <w:sz w:val="18"/>
          <w:szCs w:val="24"/>
        </w:rPr>
      </w:pPr>
      <w:r>
        <w:rPr>
          <w:rFonts w:ascii="Cambria" w:hAnsi="Cambria" w:cs="Times New Roman"/>
          <w:noProof/>
          <w:sz w:val="18"/>
          <w:szCs w:val="24"/>
        </w:rPr>
        <w:t xml:space="preserve">[9] </w:t>
      </w:r>
      <w:r w:rsidRPr="00227A61">
        <w:rPr>
          <w:rFonts w:ascii="Cambria" w:hAnsi="Cambria" w:cs="Times New Roman"/>
          <w:noProof/>
          <w:sz w:val="18"/>
          <w:szCs w:val="24"/>
        </w:rPr>
        <w:t>Kartika Wardana, S., Cucikodana, Y., Almaniar, S., Dwijayanti, A., Maulana, F., &amp; Muhlisoh, N. A. (2024). Penilaian Dampak Lingkungan Dengan Menggunakan Life Cycle Assesment (Lca) Pada Industri Tahu Kampung Jangkar Kulon, Cilegon Banten. Jurnal Teknologi Kimia Unimal, 13(2), 97–106. https://doi.org/10.29103/jtku.v13i2.16429</w:t>
      </w:r>
    </w:p>
    <w:p w14:paraId="4F61EF31" w14:textId="1F82AC84" w:rsidR="00227A61" w:rsidRDefault="00CE0207" w:rsidP="009D4894">
      <w:pPr>
        <w:widowControl w:val="0"/>
        <w:autoSpaceDE w:val="0"/>
        <w:autoSpaceDN w:val="0"/>
        <w:adjustRightInd w:val="0"/>
        <w:spacing w:after="0" w:line="240" w:lineRule="auto"/>
        <w:ind w:left="284" w:hanging="284"/>
        <w:jc w:val="both"/>
        <w:rPr>
          <w:rFonts w:ascii="Cambria" w:hAnsi="Cambria" w:cs="Times New Roman"/>
          <w:noProof/>
          <w:sz w:val="18"/>
          <w:szCs w:val="24"/>
        </w:rPr>
      </w:pPr>
      <w:r>
        <w:rPr>
          <w:rFonts w:ascii="Cambria" w:hAnsi="Cambria" w:cs="Times New Roman"/>
          <w:noProof/>
          <w:sz w:val="18"/>
          <w:szCs w:val="24"/>
        </w:rPr>
        <w:t>[10]B</w:t>
      </w:r>
      <w:r w:rsidRPr="00CE0207">
        <w:rPr>
          <w:rFonts w:ascii="Cambria" w:hAnsi="Cambria" w:cs="Times New Roman"/>
          <w:noProof/>
          <w:sz w:val="18"/>
          <w:szCs w:val="24"/>
        </w:rPr>
        <w:t>jørnbet, M. M., &amp; Vildåsen, S. S. (2021). Life cycle assessment to ensure sustainability of circular business models in manufacturing. Sustainability (Switzerland), 13(19). https://doi.org/10.3390/su131911014</w:t>
      </w:r>
    </w:p>
    <w:p w14:paraId="45F78DD6" w14:textId="73211912" w:rsidR="00CE0207" w:rsidRDefault="00CE0207" w:rsidP="009D4894">
      <w:pPr>
        <w:widowControl w:val="0"/>
        <w:autoSpaceDE w:val="0"/>
        <w:autoSpaceDN w:val="0"/>
        <w:adjustRightInd w:val="0"/>
        <w:spacing w:after="0" w:line="240" w:lineRule="auto"/>
        <w:ind w:left="284" w:hanging="284"/>
        <w:jc w:val="both"/>
        <w:rPr>
          <w:rFonts w:ascii="Cambria" w:hAnsi="Cambria" w:cs="Times New Roman"/>
          <w:noProof/>
          <w:sz w:val="18"/>
          <w:szCs w:val="24"/>
        </w:rPr>
      </w:pPr>
      <w:r>
        <w:rPr>
          <w:rFonts w:ascii="Cambria" w:hAnsi="Cambria" w:cs="Times New Roman"/>
          <w:noProof/>
          <w:sz w:val="18"/>
          <w:szCs w:val="24"/>
        </w:rPr>
        <w:t>[11]</w:t>
      </w:r>
      <w:r w:rsidRPr="00CE0207">
        <w:rPr>
          <w:rFonts w:ascii="Cambria" w:hAnsi="Cambria" w:cs="Times New Roman"/>
          <w:noProof/>
          <w:sz w:val="18"/>
          <w:szCs w:val="24"/>
        </w:rPr>
        <w:t>Saavedra-Rubio, K., Thonemann, N., Crenna, E., Lemoine, B., Caliandro, P., &amp; Laurent, A. (2022). Stepwise guidance for data collection in the life cycle inventory (LCI) phase: Building technology-related LCI blocks. Journal of Cleaner Production, 366(June), 132903. https://doi.org/10.1016/j.jclepro.2022.132903</w:t>
      </w:r>
    </w:p>
    <w:p w14:paraId="57CBAE90" w14:textId="612D89DB" w:rsidR="00CE0207" w:rsidRDefault="00CE0207" w:rsidP="009D4894">
      <w:pPr>
        <w:widowControl w:val="0"/>
        <w:autoSpaceDE w:val="0"/>
        <w:autoSpaceDN w:val="0"/>
        <w:adjustRightInd w:val="0"/>
        <w:spacing w:after="0" w:line="240" w:lineRule="auto"/>
        <w:ind w:left="284" w:hanging="284"/>
        <w:jc w:val="both"/>
        <w:rPr>
          <w:rFonts w:ascii="Cambria" w:hAnsi="Cambria" w:cs="Times New Roman"/>
          <w:noProof/>
          <w:sz w:val="18"/>
          <w:szCs w:val="24"/>
        </w:rPr>
      </w:pPr>
      <w:r>
        <w:rPr>
          <w:rFonts w:ascii="Cambria" w:hAnsi="Cambria" w:cs="Times New Roman"/>
          <w:noProof/>
          <w:sz w:val="18"/>
          <w:szCs w:val="24"/>
        </w:rPr>
        <w:t>[12]</w:t>
      </w:r>
      <w:r w:rsidRPr="00CE0207">
        <w:t xml:space="preserve"> </w:t>
      </w:r>
      <w:r w:rsidRPr="00CE0207">
        <w:rPr>
          <w:rFonts w:ascii="Cambria" w:hAnsi="Cambria" w:cs="Times New Roman"/>
          <w:noProof/>
          <w:sz w:val="18"/>
          <w:szCs w:val="24"/>
        </w:rPr>
        <w:t>Rasyid, M., &amp; Anggriani, R. (2024). Penerapan Life Cycle Assessment (LCA) Pada Proses Produksi Minyak Kayu Putih Di Desa Sawa-Namlea. Journal Of Social Science Research, 4(3), 18970–18984.</w:t>
      </w:r>
    </w:p>
    <w:p w14:paraId="38BC1F2F" w14:textId="77777777" w:rsidR="009D4894" w:rsidRDefault="009D4894" w:rsidP="009D4894">
      <w:pPr>
        <w:widowControl w:val="0"/>
        <w:autoSpaceDE w:val="0"/>
        <w:autoSpaceDN w:val="0"/>
        <w:adjustRightInd w:val="0"/>
        <w:spacing w:after="0" w:line="240" w:lineRule="auto"/>
        <w:ind w:left="284" w:hanging="284"/>
        <w:jc w:val="both"/>
        <w:rPr>
          <w:rFonts w:ascii="Cambria" w:hAnsi="Cambria" w:cs="Times New Roman"/>
          <w:noProof/>
          <w:sz w:val="18"/>
          <w:szCs w:val="24"/>
        </w:rPr>
      </w:pPr>
      <w:r>
        <w:rPr>
          <w:rFonts w:ascii="Cambria" w:hAnsi="Cambria" w:cs="Times New Roman"/>
          <w:noProof/>
          <w:sz w:val="18"/>
          <w:szCs w:val="24"/>
        </w:rPr>
        <w:t>[13]</w:t>
      </w:r>
      <w:r w:rsidRPr="00AD55B4">
        <w:rPr>
          <w:rFonts w:ascii="Cambria" w:hAnsi="Cambria" w:cs="Times New Roman"/>
          <w:noProof/>
          <w:sz w:val="18"/>
          <w:szCs w:val="24"/>
        </w:rPr>
        <w:t xml:space="preserve">Seroja, R., Effendi, H. and Hariyadi, S. (2018) ‘Tofu wastewater treatment using vetiver grass (Vetiveria zizanioides) and zeliac’, </w:t>
      </w:r>
      <w:r w:rsidRPr="00AD55B4">
        <w:rPr>
          <w:rFonts w:ascii="Cambria" w:hAnsi="Cambria" w:cs="Times New Roman"/>
          <w:i/>
          <w:iCs/>
          <w:noProof/>
          <w:sz w:val="18"/>
          <w:szCs w:val="24"/>
        </w:rPr>
        <w:t>Applied Water Science</w:t>
      </w:r>
      <w:r w:rsidRPr="00AD55B4">
        <w:rPr>
          <w:rFonts w:ascii="Cambria" w:hAnsi="Cambria" w:cs="Times New Roman"/>
          <w:noProof/>
          <w:sz w:val="18"/>
          <w:szCs w:val="24"/>
        </w:rPr>
        <w:t>, 8(1), pp. 1–6. Available at: https://doi.org/10.1007/s13201-018-0640-y.</w:t>
      </w:r>
    </w:p>
    <w:p w14:paraId="1C6975DF" w14:textId="77777777" w:rsidR="009D4894" w:rsidRDefault="009D4894" w:rsidP="009D4894">
      <w:pPr>
        <w:widowControl w:val="0"/>
        <w:autoSpaceDE w:val="0"/>
        <w:autoSpaceDN w:val="0"/>
        <w:adjustRightInd w:val="0"/>
        <w:spacing w:after="0" w:line="240" w:lineRule="auto"/>
        <w:ind w:left="284" w:hanging="284"/>
        <w:jc w:val="both"/>
        <w:rPr>
          <w:rFonts w:ascii="Cambria" w:hAnsi="Cambria" w:cs="Times New Roman"/>
          <w:noProof/>
          <w:sz w:val="18"/>
          <w:szCs w:val="24"/>
        </w:rPr>
      </w:pPr>
      <w:r>
        <w:rPr>
          <w:rFonts w:ascii="Cambria" w:hAnsi="Cambria" w:cs="Times New Roman"/>
          <w:noProof/>
          <w:sz w:val="18"/>
          <w:szCs w:val="24"/>
        </w:rPr>
        <w:t>[14]</w:t>
      </w:r>
      <w:r w:rsidR="00AD55B4" w:rsidRPr="00AD55B4">
        <w:rPr>
          <w:rFonts w:ascii="Cambria" w:hAnsi="Cambria" w:cs="Times New Roman"/>
          <w:noProof/>
          <w:sz w:val="18"/>
          <w:szCs w:val="24"/>
        </w:rPr>
        <w:t xml:space="preserve">Satar, I. and Permadi, A. (2022) ‘Indonesian Journal of Environmental Management and Sustainability Treating The Tofu Wastewater (TWW) using a Green Technology of Microbial Fuel Cell (MFC) System’, </w:t>
      </w:r>
      <w:r w:rsidR="00AD55B4" w:rsidRPr="00AD55B4">
        <w:rPr>
          <w:rFonts w:ascii="Cambria" w:hAnsi="Cambria" w:cs="Times New Roman"/>
          <w:i/>
          <w:iCs/>
          <w:noProof/>
          <w:sz w:val="18"/>
          <w:szCs w:val="24"/>
        </w:rPr>
        <w:t>Indonesia Journal of Environmental Management and Sustainability</w:t>
      </w:r>
      <w:r w:rsidR="00AD55B4" w:rsidRPr="00AD55B4">
        <w:rPr>
          <w:rFonts w:ascii="Cambria" w:hAnsi="Cambria" w:cs="Times New Roman"/>
          <w:noProof/>
          <w:sz w:val="18"/>
          <w:szCs w:val="24"/>
        </w:rPr>
        <w:t>, 6(1), pp. 162–167.</w:t>
      </w:r>
      <w:r>
        <w:rPr>
          <w:rFonts w:ascii="Cambria" w:hAnsi="Cambria" w:cs="Times New Roman"/>
          <w:noProof/>
          <w:sz w:val="18"/>
          <w:szCs w:val="24"/>
        </w:rPr>
        <w:t xml:space="preserve"> </w:t>
      </w:r>
    </w:p>
    <w:p w14:paraId="75ED3C96" w14:textId="75D8E22B" w:rsidR="009D4894" w:rsidRPr="009D4894" w:rsidRDefault="009D4894" w:rsidP="009D4894">
      <w:pPr>
        <w:widowControl w:val="0"/>
        <w:autoSpaceDE w:val="0"/>
        <w:autoSpaceDN w:val="0"/>
        <w:adjustRightInd w:val="0"/>
        <w:spacing w:after="0" w:line="240" w:lineRule="auto"/>
        <w:ind w:left="284" w:hanging="284"/>
        <w:jc w:val="both"/>
        <w:rPr>
          <w:rFonts w:ascii="Cambria" w:hAnsi="Cambria" w:cs="Times New Roman"/>
          <w:noProof/>
          <w:sz w:val="18"/>
          <w:szCs w:val="24"/>
        </w:rPr>
      </w:pPr>
      <w:r>
        <w:rPr>
          <w:rFonts w:cs="Times New Roman"/>
          <w:noProof/>
          <w:szCs w:val="24"/>
        </w:rPr>
        <w:t>[15]</w:t>
      </w:r>
      <w:r w:rsidRPr="00AD55B4">
        <w:rPr>
          <w:rFonts w:ascii="Cambria" w:hAnsi="Cambria" w:cs="Times New Roman"/>
          <w:noProof/>
          <w:sz w:val="18"/>
          <w:szCs w:val="24"/>
        </w:rPr>
        <w:t>Apriyanti, D., Pratikno, F.A. and Hertadi, C.D.P. (2025) ‘Penilaian Dampak Lingkungan Menggunakan Life Cycle</w:t>
      </w:r>
      <w:r>
        <w:rPr>
          <w:rFonts w:cs="Times New Roman"/>
          <w:noProof/>
          <w:szCs w:val="24"/>
        </w:rPr>
        <w:t xml:space="preserve"> </w:t>
      </w:r>
      <w:r w:rsidRPr="00AD55B4">
        <w:rPr>
          <w:rFonts w:ascii="Cambria" w:hAnsi="Cambria" w:cs="Times New Roman"/>
          <w:noProof/>
          <w:sz w:val="18"/>
          <w:szCs w:val="24"/>
        </w:rPr>
        <w:t xml:space="preserve">Assessment (Lca) Pada Proses Produksi Tempe Di Siks’, </w:t>
      </w:r>
      <w:r w:rsidRPr="00AD55B4">
        <w:rPr>
          <w:rFonts w:ascii="Cambria" w:hAnsi="Cambria" w:cs="Times New Roman"/>
          <w:i/>
          <w:iCs/>
          <w:noProof/>
          <w:sz w:val="18"/>
          <w:szCs w:val="24"/>
        </w:rPr>
        <w:t>Jurnal Mitra Teknik Industri</w:t>
      </w:r>
      <w:r w:rsidRPr="00AD55B4">
        <w:rPr>
          <w:rFonts w:ascii="Cambria" w:hAnsi="Cambria" w:cs="Times New Roman"/>
          <w:noProof/>
          <w:sz w:val="18"/>
          <w:szCs w:val="24"/>
        </w:rPr>
        <w:t>, 4(1), pp. 19–27. Available at: https://doi.org/10.24912/jmti.v4i1.34600.</w:t>
      </w:r>
    </w:p>
    <w:p w14:paraId="2F066073" w14:textId="293A3F94" w:rsidR="00AD55B4" w:rsidRPr="00AD55B4" w:rsidRDefault="00AD55B4" w:rsidP="009D4894">
      <w:pPr>
        <w:widowControl w:val="0"/>
        <w:autoSpaceDE w:val="0"/>
        <w:autoSpaceDN w:val="0"/>
        <w:adjustRightInd w:val="0"/>
        <w:spacing w:after="0" w:line="240" w:lineRule="auto"/>
        <w:ind w:left="284" w:hanging="284"/>
        <w:jc w:val="both"/>
        <w:rPr>
          <w:rFonts w:ascii="Cambria" w:hAnsi="Cambria" w:cs="Times New Roman"/>
          <w:noProof/>
          <w:sz w:val="18"/>
          <w:szCs w:val="24"/>
        </w:rPr>
      </w:pPr>
    </w:p>
    <w:p w14:paraId="676AA5CA" w14:textId="3E92E935" w:rsidR="00746D2F" w:rsidRPr="00AD55B4" w:rsidRDefault="00B90B9D" w:rsidP="009D4894">
      <w:pPr>
        <w:pStyle w:val="IOP-CS-ReferenceText"/>
        <w:jc w:val="both"/>
      </w:pPr>
      <w:r w:rsidRPr="00AD55B4">
        <w:fldChar w:fldCharType="end"/>
      </w:r>
    </w:p>
    <w:sectPr w:rsidR="00746D2F" w:rsidRPr="00AD55B4" w:rsidSect="00CB34FC">
      <w:pgSz w:w="11906" w:h="16838"/>
      <w:pgMar w:top="2268" w:right="1440" w:bottom="1531"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A66B9"/>
    <w:multiLevelType w:val="hybridMultilevel"/>
    <w:tmpl w:val="0336A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37804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6FE"/>
    <w:rsid w:val="000005F6"/>
    <w:rsid w:val="0000603F"/>
    <w:rsid w:val="00012C6F"/>
    <w:rsid w:val="00013722"/>
    <w:rsid w:val="00030688"/>
    <w:rsid w:val="0004372D"/>
    <w:rsid w:val="00045185"/>
    <w:rsid w:val="00056A5A"/>
    <w:rsid w:val="00061A1F"/>
    <w:rsid w:val="000624D4"/>
    <w:rsid w:val="00074515"/>
    <w:rsid w:val="00083A96"/>
    <w:rsid w:val="000845DB"/>
    <w:rsid w:val="00086CBA"/>
    <w:rsid w:val="00090952"/>
    <w:rsid w:val="00097D6B"/>
    <w:rsid w:val="000B2CB3"/>
    <w:rsid w:val="000B2CE3"/>
    <w:rsid w:val="000B36DB"/>
    <w:rsid w:val="000C2A6C"/>
    <w:rsid w:val="000C2BCF"/>
    <w:rsid w:val="000D366D"/>
    <w:rsid w:val="000D6070"/>
    <w:rsid w:val="000F2B4D"/>
    <w:rsid w:val="000F3204"/>
    <w:rsid w:val="000F5271"/>
    <w:rsid w:val="00110800"/>
    <w:rsid w:val="0011107A"/>
    <w:rsid w:val="0011132F"/>
    <w:rsid w:val="00115B0F"/>
    <w:rsid w:val="0012552E"/>
    <w:rsid w:val="00132379"/>
    <w:rsid w:val="00145E91"/>
    <w:rsid w:val="001476C2"/>
    <w:rsid w:val="00153A97"/>
    <w:rsid w:val="00153AFD"/>
    <w:rsid w:val="00162E79"/>
    <w:rsid w:val="0019245F"/>
    <w:rsid w:val="001A2DA8"/>
    <w:rsid w:val="001A4ADF"/>
    <w:rsid w:val="001B444D"/>
    <w:rsid w:val="001C0B6C"/>
    <w:rsid w:val="001C1BFD"/>
    <w:rsid w:val="001D0859"/>
    <w:rsid w:val="001E4A90"/>
    <w:rsid w:val="001F1038"/>
    <w:rsid w:val="001F6204"/>
    <w:rsid w:val="00203EA9"/>
    <w:rsid w:val="002057E0"/>
    <w:rsid w:val="00207B84"/>
    <w:rsid w:val="00211BF7"/>
    <w:rsid w:val="00216EB7"/>
    <w:rsid w:val="00217122"/>
    <w:rsid w:val="00217B9C"/>
    <w:rsid w:val="00221578"/>
    <w:rsid w:val="0022201B"/>
    <w:rsid w:val="0022218F"/>
    <w:rsid w:val="0022243A"/>
    <w:rsid w:val="00227A61"/>
    <w:rsid w:val="00234FD7"/>
    <w:rsid w:val="002354D2"/>
    <w:rsid w:val="00236FEB"/>
    <w:rsid w:val="00237C8F"/>
    <w:rsid w:val="00241538"/>
    <w:rsid w:val="002430A2"/>
    <w:rsid w:val="00250ADF"/>
    <w:rsid w:val="00257301"/>
    <w:rsid w:val="00280551"/>
    <w:rsid w:val="0028569C"/>
    <w:rsid w:val="0028596A"/>
    <w:rsid w:val="00291182"/>
    <w:rsid w:val="002977D7"/>
    <w:rsid w:val="002D0B1A"/>
    <w:rsid w:val="002D1705"/>
    <w:rsid w:val="002D3404"/>
    <w:rsid w:val="002E19DB"/>
    <w:rsid w:val="002E451C"/>
    <w:rsid w:val="002E5544"/>
    <w:rsid w:val="002F264E"/>
    <w:rsid w:val="00306804"/>
    <w:rsid w:val="00325622"/>
    <w:rsid w:val="0035672D"/>
    <w:rsid w:val="00360E40"/>
    <w:rsid w:val="003647B5"/>
    <w:rsid w:val="003736EC"/>
    <w:rsid w:val="00374E0D"/>
    <w:rsid w:val="00391E53"/>
    <w:rsid w:val="00397DEF"/>
    <w:rsid w:val="003A2624"/>
    <w:rsid w:val="003A2A35"/>
    <w:rsid w:val="003A4000"/>
    <w:rsid w:val="003A67CA"/>
    <w:rsid w:val="003B0331"/>
    <w:rsid w:val="003B5C8F"/>
    <w:rsid w:val="003B6E96"/>
    <w:rsid w:val="003C7B9D"/>
    <w:rsid w:val="003D1563"/>
    <w:rsid w:val="003D179D"/>
    <w:rsid w:val="003E0897"/>
    <w:rsid w:val="003E630A"/>
    <w:rsid w:val="003E707E"/>
    <w:rsid w:val="003F0FE1"/>
    <w:rsid w:val="003F655B"/>
    <w:rsid w:val="004020F0"/>
    <w:rsid w:val="004127C0"/>
    <w:rsid w:val="00426ED7"/>
    <w:rsid w:val="0043072A"/>
    <w:rsid w:val="0043087D"/>
    <w:rsid w:val="00434F04"/>
    <w:rsid w:val="00435857"/>
    <w:rsid w:val="0044041D"/>
    <w:rsid w:val="0044327D"/>
    <w:rsid w:val="00445E50"/>
    <w:rsid w:val="0046685F"/>
    <w:rsid w:val="00471805"/>
    <w:rsid w:val="00480D6D"/>
    <w:rsid w:val="004860AF"/>
    <w:rsid w:val="004A2048"/>
    <w:rsid w:val="004A3F0A"/>
    <w:rsid w:val="004A67FE"/>
    <w:rsid w:val="004B12DD"/>
    <w:rsid w:val="004B2068"/>
    <w:rsid w:val="004B409F"/>
    <w:rsid w:val="004B7F0C"/>
    <w:rsid w:val="004C276D"/>
    <w:rsid w:val="004C72EA"/>
    <w:rsid w:val="004D2D12"/>
    <w:rsid w:val="004D391B"/>
    <w:rsid w:val="004D5A2D"/>
    <w:rsid w:val="004E065C"/>
    <w:rsid w:val="004F6613"/>
    <w:rsid w:val="004F66C7"/>
    <w:rsid w:val="00500E23"/>
    <w:rsid w:val="00504A9D"/>
    <w:rsid w:val="00505F16"/>
    <w:rsid w:val="00507042"/>
    <w:rsid w:val="00507689"/>
    <w:rsid w:val="00510486"/>
    <w:rsid w:val="00510A4D"/>
    <w:rsid w:val="00525699"/>
    <w:rsid w:val="0053678D"/>
    <w:rsid w:val="00542468"/>
    <w:rsid w:val="005437A6"/>
    <w:rsid w:val="005451D6"/>
    <w:rsid w:val="0055379B"/>
    <w:rsid w:val="005564E0"/>
    <w:rsid w:val="0057248E"/>
    <w:rsid w:val="005756C0"/>
    <w:rsid w:val="0057596E"/>
    <w:rsid w:val="00575FDB"/>
    <w:rsid w:val="00584605"/>
    <w:rsid w:val="00584FE5"/>
    <w:rsid w:val="0058710B"/>
    <w:rsid w:val="0059110E"/>
    <w:rsid w:val="00594B5D"/>
    <w:rsid w:val="00597604"/>
    <w:rsid w:val="005A1E35"/>
    <w:rsid w:val="005A7890"/>
    <w:rsid w:val="005B12DC"/>
    <w:rsid w:val="005B27F5"/>
    <w:rsid w:val="005B4232"/>
    <w:rsid w:val="005B5D16"/>
    <w:rsid w:val="005B6A57"/>
    <w:rsid w:val="005C66DB"/>
    <w:rsid w:val="005C75D8"/>
    <w:rsid w:val="005D4735"/>
    <w:rsid w:val="005D48B5"/>
    <w:rsid w:val="005D53A8"/>
    <w:rsid w:val="005D6AE2"/>
    <w:rsid w:val="005D7B79"/>
    <w:rsid w:val="005E10A0"/>
    <w:rsid w:val="005E546B"/>
    <w:rsid w:val="005E6843"/>
    <w:rsid w:val="005F313E"/>
    <w:rsid w:val="005F4BAB"/>
    <w:rsid w:val="005F4BE0"/>
    <w:rsid w:val="00603525"/>
    <w:rsid w:val="0060651D"/>
    <w:rsid w:val="0061134C"/>
    <w:rsid w:val="00613806"/>
    <w:rsid w:val="00616691"/>
    <w:rsid w:val="00622F26"/>
    <w:rsid w:val="006246DF"/>
    <w:rsid w:val="00626EFA"/>
    <w:rsid w:val="00634C2E"/>
    <w:rsid w:val="00640396"/>
    <w:rsid w:val="006426A4"/>
    <w:rsid w:val="00646B36"/>
    <w:rsid w:val="00654CF6"/>
    <w:rsid w:val="00657F67"/>
    <w:rsid w:val="00665585"/>
    <w:rsid w:val="0066754C"/>
    <w:rsid w:val="00672C4B"/>
    <w:rsid w:val="00681D37"/>
    <w:rsid w:val="00685572"/>
    <w:rsid w:val="00693D29"/>
    <w:rsid w:val="00696085"/>
    <w:rsid w:val="006B3D2B"/>
    <w:rsid w:val="006B5CEB"/>
    <w:rsid w:val="006B63A5"/>
    <w:rsid w:val="006C7C0F"/>
    <w:rsid w:val="006E1A2C"/>
    <w:rsid w:val="006E27EC"/>
    <w:rsid w:val="006E4AFF"/>
    <w:rsid w:val="007045B5"/>
    <w:rsid w:val="00712BCC"/>
    <w:rsid w:val="0072254E"/>
    <w:rsid w:val="00733CFB"/>
    <w:rsid w:val="00734E4D"/>
    <w:rsid w:val="00742EF1"/>
    <w:rsid w:val="00746D2F"/>
    <w:rsid w:val="00757D68"/>
    <w:rsid w:val="00761682"/>
    <w:rsid w:val="0076232D"/>
    <w:rsid w:val="00766D3E"/>
    <w:rsid w:val="00783DE2"/>
    <w:rsid w:val="00786BA5"/>
    <w:rsid w:val="0079051A"/>
    <w:rsid w:val="00790705"/>
    <w:rsid w:val="0079689B"/>
    <w:rsid w:val="0079792A"/>
    <w:rsid w:val="007A09E1"/>
    <w:rsid w:val="007B4F47"/>
    <w:rsid w:val="007B56C8"/>
    <w:rsid w:val="007C23FC"/>
    <w:rsid w:val="007C581A"/>
    <w:rsid w:val="007D304D"/>
    <w:rsid w:val="007D69D9"/>
    <w:rsid w:val="007D74C3"/>
    <w:rsid w:val="007E262D"/>
    <w:rsid w:val="007E773B"/>
    <w:rsid w:val="007F2483"/>
    <w:rsid w:val="007F30D1"/>
    <w:rsid w:val="007F52A8"/>
    <w:rsid w:val="00801BA9"/>
    <w:rsid w:val="00815223"/>
    <w:rsid w:val="008163F7"/>
    <w:rsid w:val="00823C51"/>
    <w:rsid w:val="00825615"/>
    <w:rsid w:val="00827BB0"/>
    <w:rsid w:val="00831655"/>
    <w:rsid w:val="008323AC"/>
    <w:rsid w:val="00834AD7"/>
    <w:rsid w:val="00841070"/>
    <w:rsid w:val="008460F3"/>
    <w:rsid w:val="00847151"/>
    <w:rsid w:val="008534FB"/>
    <w:rsid w:val="00853ED6"/>
    <w:rsid w:val="0085670B"/>
    <w:rsid w:val="0085762F"/>
    <w:rsid w:val="00866277"/>
    <w:rsid w:val="00881E3E"/>
    <w:rsid w:val="00890A2C"/>
    <w:rsid w:val="008960E6"/>
    <w:rsid w:val="00896999"/>
    <w:rsid w:val="008A7594"/>
    <w:rsid w:val="008C7A1F"/>
    <w:rsid w:val="008D1A28"/>
    <w:rsid w:val="008D32F7"/>
    <w:rsid w:val="008D51FF"/>
    <w:rsid w:val="008E0B84"/>
    <w:rsid w:val="008F1E83"/>
    <w:rsid w:val="008F26C1"/>
    <w:rsid w:val="008F5FEF"/>
    <w:rsid w:val="008F67C8"/>
    <w:rsid w:val="009164E5"/>
    <w:rsid w:val="00920F37"/>
    <w:rsid w:val="00921C66"/>
    <w:rsid w:val="00923246"/>
    <w:rsid w:val="00930E41"/>
    <w:rsid w:val="009371CA"/>
    <w:rsid w:val="009439A8"/>
    <w:rsid w:val="00946414"/>
    <w:rsid w:val="00946713"/>
    <w:rsid w:val="009476D6"/>
    <w:rsid w:val="00956412"/>
    <w:rsid w:val="00965F53"/>
    <w:rsid w:val="009660F1"/>
    <w:rsid w:val="0098500C"/>
    <w:rsid w:val="009863B9"/>
    <w:rsid w:val="00994B8F"/>
    <w:rsid w:val="009A6D6A"/>
    <w:rsid w:val="009B5C9D"/>
    <w:rsid w:val="009B7F9A"/>
    <w:rsid w:val="009D1566"/>
    <w:rsid w:val="009D4894"/>
    <w:rsid w:val="009E63E3"/>
    <w:rsid w:val="009E79DA"/>
    <w:rsid w:val="009F10EF"/>
    <w:rsid w:val="009F1E5F"/>
    <w:rsid w:val="00A05FF8"/>
    <w:rsid w:val="00A21BB0"/>
    <w:rsid w:val="00A22FA2"/>
    <w:rsid w:val="00A34C98"/>
    <w:rsid w:val="00A4736F"/>
    <w:rsid w:val="00A50C39"/>
    <w:rsid w:val="00A662B6"/>
    <w:rsid w:val="00A73804"/>
    <w:rsid w:val="00A73AC0"/>
    <w:rsid w:val="00A750F0"/>
    <w:rsid w:val="00A761A2"/>
    <w:rsid w:val="00A81A70"/>
    <w:rsid w:val="00A832AA"/>
    <w:rsid w:val="00A84DE3"/>
    <w:rsid w:val="00A85F24"/>
    <w:rsid w:val="00A96848"/>
    <w:rsid w:val="00A9762E"/>
    <w:rsid w:val="00A97DA2"/>
    <w:rsid w:val="00AA2383"/>
    <w:rsid w:val="00AA3BA0"/>
    <w:rsid w:val="00AA582A"/>
    <w:rsid w:val="00AB28BA"/>
    <w:rsid w:val="00AB3268"/>
    <w:rsid w:val="00AC3DB0"/>
    <w:rsid w:val="00AC4CA0"/>
    <w:rsid w:val="00AD2BE4"/>
    <w:rsid w:val="00AD55B4"/>
    <w:rsid w:val="00AD6409"/>
    <w:rsid w:val="00AD74B4"/>
    <w:rsid w:val="00AD774E"/>
    <w:rsid w:val="00AD7EA7"/>
    <w:rsid w:val="00AF089F"/>
    <w:rsid w:val="00AF0ABE"/>
    <w:rsid w:val="00AF4B52"/>
    <w:rsid w:val="00AF7C63"/>
    <w:rsid w:val="00B01164"/>
    <w:rsid w:val="00B111CD"/>
    <w:rsid w:val="00B1738A"/>
    <w:rsid w:val="00B21EF1"/>
    <w:rsid w:val="00B22803"/>
    <w:rsid w:val="00B474A7"/>
    <w:rsid w:val="00B51B69"/>
    <w:rsid w:val="00B54424"/>
    <w:rsid w:val="00B614F7"/>
    <w:rsid w:val="00B61FD3"/>
    <w:rsid w:val="00B63A38"/>
    <w:rsid w:val="00B71D8D"/>
    <w:rsid w:val="00B72131"/>
    <w:rsid w:val="00B73E60"/>
    <w:rsid w:val="00B82384"/>
    <w:rsid w:val="00B90B9D"/>
    <w:rsid w:val="00B90EAD"/>
    <w:rsid w:val="00B914E5"/>
    <w:rsid w:val="00BA3C49"/>
    <w:rsid w:val="00BA4040"/>
    <w:rsid w:val="00BD1559"/>
    <w:rsid w:val="00BD6779"/>
    <w:rsid w:val="00BE4626"/>
    <w:rsid w:val="00BF1CDF"/>
    <w:rsid w:val="00BF7225"/>
    <w:rsid w:val="00C013B8"/>
    <w:rsid w:val="00C03442"/>
    <w:rsid w:val="00C03CCA"/>
    <w:rsid w:val="00C11184"/>
    <w:rsid w:val="00C11E06"/>
    <w:rsid w:val="00C14DA0"/>
    <w:rsid w:val="00C15FCB"/>
    <w:rsid w:val="00C23B8D"/>
    <w:rsid w:val="00C37606"/>
    <w:rsid w:val="00C41098"/>
    <w:rsid w:val="00C42B49"/>
    <w:rsid w:val="00C454B8"/>
    <w:rsid w:val="00C4692C"/>
    <w:rsid w:val="00C60D38"/>
    <w:rsid w:val="00C6630B"/>
    <w:rsid w:val="00C66A2B"/>
    <w:rsid w:val="00C66A67"/>
    <w:rsid w:val="00C67B45"/>
    <w:rsid w:val="00C81265"/>
    <w:rsid w:val="00C8641F"/>
    <w:rsid w:val="00C86980"/>
    <w:rsid w:val="00C86A8C"/>
    <w:rsid w:val="00C86CE2"/>
    <w:rsid w:val="00C92CCA"/>
    <w:rsid w:val="00C94899"/>
    <w:rsid w:val="00C964EA"/>
    <w:rsid w:val="00CA574D"/>
    <w:rsid w:val="00CA7853"/>
    <w:rsid w:val="00CA7F9A"/>
    <w:rsid w:val="00CB34FC"/>
    <w:rsid w:val="00CC12B5"/>
    <w:rsid w:val="00CC2101"/>
    <w:rsid w:val="00CC6F42"/>
    <w:rsid w:val="00CD26FB"/>
    <w:rsid w:val="00CD704C"/>
    <w:rsid w:val="00CE0207"/>
    <w:rsid w:val="00CF5879"/>
    <w:rsid w:val="00D01D8D"/>
    <w:rsid w:val="00D05FDA"/>
    <w:rsid w:val="00D0613A"/>
    <w:rsid w:val="00D10691"/>
    <w:rsid w:val="00D1709E"/>
    <w:rsid w:val="00D222C3"/>
    <w:rsid w:val="00D23AA0"/>
    <w:rsid w:val="00D25E3D"/>
    <w:rsid w:val="00D360C6"/>
    <w:rsid w:val="00D4463B"/>
    <w:rsid w:val="00D51080"/>
    <w:rsid w:val="00D7392A"/>
    <w:rsid w:val="00D741CB"/>
    <w:rsid w:val="00D811B1"/>
    <w:rsid w:val="00D81510"/>
    <w:rsid w:val="00D87167"/>
    <w:rsid w:val="00D95B6E"/>
    <w:rsid w:val="00D95E8F"/>
    <w:rsid w:val="00DA2190"/>
    <w:rsid w:val="00DA3FCB"/>
    <w:rsid w:val="00DA439C"/>
    <w:rsid w:val="00DA60B1"/>
    <w:rsid w:val="00DB410C"/>
    <w:rsid w:val="00DB4FD2"/>
    <w:rsid w:val="00DD2823"/>
    <w:rsid w:val="00DD5000"/>
    <w:rsid w:val="00DD5313"/>
    <w:rsid w:val="00DE3F3B"/>
    <w:rsid w:val="00E0458B"/>
    <w:rsid w:val="00E1335B"/>
    <w:rsid w:val="00E13BB8"/>
    <w:rsid w:val="00E13E0E"/>
    <w:rsid w:val="00E52BDD"/>
    <w:rsid w:val="00E52E91"/>
    <w:rsid w:val="00E5641A"/>
    <w:rsid w:val="00E60B7D"/>
    <w:rsid w:val="00E620A3"/>
    <w:rsid w:val="00E7202A"/>
    <w:rsid w:val="00E734F2"/>
    <w:rsid w:val="00E83932"/>
    <w:rsid w:val="00E90B95"/>
    <w:rsid w:val="00EA4EEF"/>
    <w:rsid w:val="00EB75E4"/>
    <w:rsid w:val="00EB7BB4"/>
    <w:rsid w:val="00EC59D1"/>
    <w:rsid w:val="00EC5FE0"/>
    <w:rsid w:val="00EF28FC"/>
    <w:rsid w:val="00EF3E4C"/>
    <w:rsid w:val="00EF46FE"/>
    <w:rsid w:val="00F0061D"/>
    <w:rsid w:val="00F011EE"/>
    <w:rsid w:val="00F20801"/>
    <w:rsid w:val="00F358F2"/>
    <w:rsid w:val="00F363F6"/>
    <w:rsid w:val="00F3712B"/>
    <w:rsid w:val="00F40D22"/>
    <w:rsid w:val="00F43CE1"/>
    <w:rsid w:val="00F4510D"/>
    <w:rsid w:val="00F55AF3"/>
    <w:rsid w:val="00F62A9A"/>
    <w:rsid w:val="00F70EEF"/>
    <w:rsid w:val="00F711BE"/>
    <w:rsid w:val="00F83A80"/>
    <w:rsid w:val="00F945C2"/>
    <w:rsid w:val="00FA56A2"/>
    <w:rsid w:val="00FA6F05"/>
    <w:rsid w:val="00FB4CEA"/>
    <w:rsid w:val="00FC5377"/>
    <w:rsid w:val="00FD4069"/>
    <w:rsid w:val="00FD64C0"/>
    <w:rsid w:val="00FE110F"/>
    <w:rsid w:val="00FE6A66"/>
    <w:rsid w:val="00FF1B8B"/>
    <w:rsid w:val="00FF291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49C95"/>
  <w15:chartTrackingRefBased/>
  <w15:docId w15:val="{4479E423-A0CA-474F-8E42-2B2BE1E6F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1" w:defUIPriority="99" w:defSemiHidden="0" w:defUnhideWhenUsed="0" w:defQFormat="0" w:count="376">
    <w:lsdException w:name="Normal" w:locked="0"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locked="0"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lsdException w:name="Subtle Reference" w:semiHidden="1" w:uiPriority="31"/>
    <w:lsdException w:name="Intense Reference"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semiHidden/>
    <w:rsid w:val="00A96848"/>
  </w:style>
  <w:style w:type="paragraph" w:styleId="Heading1">
    <w:name w:val="heading 1"/>
    <w:basedOn w:val="Normal"/>
    <w:next w:val="Normal"/>
    <w:link w:val="Heading1Char"/>
    <w:uiPriority w:val="9"/>
    <w:semiHidden/>
    <w:locked/>
    <w:rsid w:val="00EF4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locked/>
    <w:rsid w:val="00EF4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qFormat/>
    <w:locked/>
    <w:rsid w:val="00EF4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qFormat/>
    <w:locked/>
    <w:rsid w:val="00EF4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qFormat/>
    <w:locked/>
    <w:rsid w:val="00EF4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qFormat/>
    <w:locked/>
    <w:rsid w:val="00EF4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locked/>
    <w:rsid w:val="00EF4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locked/>
    <w:rsid w:val="00EF4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locked/>
    <w:rsid w:val="00EF4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A96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848"/>
    <w:rPr>
      <w:rFonts w:eastAsiaTheme="majorEastAsia" w:cstheme="majorBidi"/>
      <w:color w:val="272727" w:themeColor="text1" w:themeTint="D8"/>
    </w:rPr>
  </w:style>
  <w:style w:type="paragraph" w:customStyle="1" w:styleId="IOP-CS-TableText">
    <w:name w:val="IOP-CS-TableText"/>
    <w:basedOn w:val="IOP-CS-CaptionText"/>
    <w:link w:val="IOP-CS-TableTextChar"/>
    <w:qFormat/>
    <w:rsid w:val="00734E4D"/>
    <w:rPr>
      <w:sz w:val="16"/>
    </w:rPr>
  </w:style>
  <w:style w:type="character" w:customStyle="1" w:styleId="IOP-CS-TableTextChar">
    <w:name w:val="IOP-CS-TableText Char"/>
    <w:basedOn w:val="IOP-CS-CaptionTextChar"/>
    <w:link w:val="IOP-CS-TableText"/>
    <w:rsid w:val="00734E4D"/>
    <w:rPr>
      <w:rFonts w:ascii="Cambria" w:hAnsi="Cambria"/>
      <w:sz w:val="16"/>
    </w:rPr>
  </w:style>
  <w:style w:type="paragraph" w:customStyle="1" w:styleId="IOP-CS-ReferenceText">
    <w:name w:val="IOP-CS-ReferenceText"/>
    <w:link w:val="IOP-CS-ReferenceTextChar"/>
    <w:qFormat/>
    <w:rsid w:val="004B7F0C"/>
    <w:pPr>
      <w:spacing w:after="0"/>
    </w:pPr>
    <w:rPr>
      <w:rFonts w:ascii="Cambria" w:hAnsi="Cambria"/>
      <w:sz w:val="18"/>
    </w:rPr>
  </w:style>
  <w:style w:type="character" w:customStyle="1" w:styleId="IOP-CS-ReferenceTextChar">
    <w:name w:val="IOP-CS-ReferenceText Char"/>
    <w:basedOn w:val="DefaultParagraphFont"/>
    <w:link w:val="IOP-CS-ReferenceText"/>
    <w:rsid w:val="004B7F0C"/>
    <w:rPr>
      <w:rFonts w:ascii="Cambria" w:hAnsi="Cambria"/>
      <w:sz w:val="18"/>
    </w:rPr>
  </w:style>
  <w:style w:type="paragraph" w:styleId="Quote">
    <w:name w:val="Quote"/>
    <w:basedOn w:val="Normal"/>
    <w:next w:val="Normal"/>
    <w:link w:val="QuoteChar"/>
    <w:uiPriority w:val="29"/>
    <w:semiHidden/>
    <w:locked/>
    <w:rsid w:val="00EF46FE"/>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96848"/>
    <w:rPr>
      <w:i/>
      <w:iCs/>
      <w:color w:val="404040" w:themeColor="text1" w:themeTint="BF"/>
    </w:rPr>
  </w:style>
  <w:style w:type="paragraph" w:styleId="ListParagraph">
    <w:name w:val="List Paragraph"/>
    <w:basedOn w:val="Normal"/>
    <w:uiPriority w:val="34"/>
    <w:semiHidden/>
    <w:locked/>
    <w:rsid w:val="00EF46FE"/>
    <w:pPr>
      <w:ind w:left="720"/>
      <w:contextualSpacing/>
    </w:pPr>
  </w:style>
  <w:style w:type="character" w:styleId="IntenseEmphasis">
    <w:name w:val="Intense Emphasis"/>
    <w:basedOn w:val="DefaultParagraphFont"/>
    <w:uiPriority w:val="21"/>
    <w:semiHidden/>
    <w:locked/>
    <w:rsid w:val="00EF46FE"/>
    <w:rPr>
      <w:i/>
      <w:iCs/>
      <w:color w:val="0F4761" w:themeColor="accent1" w:themeShade="BF"/>
    </w:rPr>
  </w:style>
  <w:style w:type="paragraph" w:styleId="IntenseQuote">
    <w:name w:val="Intense Quote"/>
    <w:basedOn w:val="Normal"/>
    <w:next w:val="Normal"/>
    <w:link w:val="IntenseQuoteChar"/>
    <w:uiPriority w:val="30"/>
    <w:semiHidden/>
    <w:locked/>
    <w:rsid w:val="00EF4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A96848"/>
    <w:rPr>
      <w:i/>
      <w:iCs/>
      <w:color w:val="0F4761" w:themeColor="accent1" w:themeShade="BF"/>
    </w:rPr>
  </w:style>
  <w:style w:type="character" w:styleId="IntenseReference">
    <w:name w:val="Intense Reference"/>
    <w:basedOn w:val="DefaultParagraphFont"/>
    <w:uiPriority w:val="32"/>
    <w:semiHidden/>
    <w:locked/>
    <w:rsid w:val="00EF46FE"/>
    <w:rPr>
      <w:b/>
      <w:bCs/>
      <w:smallCaps/>
      <w:color w:val="0F4761" w:themeColor="accent1" w:themeShade="BF"/>
      <w:spacing w:val="5"/>
    </w:rPr>
  </w:style>
  <w:style w:type="paragraph" w:customStyle="1" w:styleId="IOP-CS-Title">
    <w:name w:val="IOP-CS-Title"/>
    <w:basedOn w:val="Normal"/>
    <w:link w:val="IOP-CS-TitleChar"/>
    <w:qFormat/>
    <w:rsid w:val="000845DB"/>
    <w:pPr>
      <w:spacing w:after="480"/>
    </w:pPr>
    <w:rPr>
      <w:rFonts w:asciiTheme="minorBidi" w:hAnsiTheme="minorBidi"/>
      <w:b/>
      <w:sz w:val="36"/>
      <w:szCs w:val="36"/>
    </w:rPr>
  </w:style>
  <w:style w:type="character" w:customStyle="1" w:styleId="IOP-CS-TitleChar">
    <w:name w:val="IOP-CS-Title Char"/>
    <w:basedOn w:val="DefaultParagraphFont"/>
    <w:link w:val="IOP-CS-Title"/>
    <w:rsid w:val="000845DB"/>
    <w:rPr>
      <w:rFonts w:asciiTheme="minorBidi" w:hAnsiTheme="minorBidi"/>
      <w:b/>
      <w:sz w:val="36"/>
      <w:szCs w:val="36"/>
    </w:rPr>
  </w:style>
  <w:style w:type="paragraph" w:customStyle="1" w:styleId="IOP-CS-Author">
    <w:name w:val="IOP-CS-Author"/>
    <w:basedOn w:val="Normal"/>
    <w:link w:val="IOP-CS-AuthorChar"/>
    <w:qFormat/>
    <w:rsid w:val="00A662B6"/>
    <w:pPr>
      <w:spacing w:after="240"/>
      <w:ind w:left="1418"/>
    </w:pPr>
    <w:rPr>
      <w:rFonts w:ascii="Cambria" w:hAnsi="Cambria"/>
      <w:b/>
      <w:bCs/>
    </w:rPr>
  </w:style>
  <w:style w:type="character" w:customStyle="1" w:styleId="IOP-CS-AuthorChar">
    <w:name w:val="IOP-CS-Author Char"/>
    <w:basedOn w:val="DefaultParagraphFont"/>
    <w:link w:val="IOP-CS-Author"/>
    <w:rsid w:val="00A662B6"/>
    <w:rPr>
      <w:rFonts w:ascii="Cambria" w:hAnsi="Cambria"/>
      <w:b/>
      <w:bCs/>
    </w:rPr>
  </w:style>
  <w:style w:type="paragraph" w:customStyle="1" w:styleId="IOP-CS-Affiliation">
    <w:name w:val="IOP-CS-Affiliation"/>
    <w:basedOn w:val="Normal"/>
    <w:link w:val="IOP-CS-AffiliationChar"/>
    <w:qFormat/>
    <w:rsid w:val="000B2CE3"/>
    <w:pPr>
      <w:spacing w:after="0"/>
      <w:ind w:left="1418"/>
    </w:pPr>
    <w:rPr>
      <w:rFonts w:ascii="Cambria" w:hAnsi="Cambria"/>
      <w:sz w:val="20"/>
      <w:szCs w:val="20"/>
    </w:rPr>
  </w:style>
  <w:style w:type="character" w:customStyle="1" w:styleId="IOP-CS-AffiliationChar">
    <w:name w:val="IOP-CS-Affiliation Char"/>
    <w:basedOn w:val="DefaultParagraphFont"/>
    <w:link w:val="IOP-CS-Affiliation"/>
    <w:rsid w:val="000B2CE3"/>
    <w:rPr>
      <w:rFonts w:ascii="Cambria" w:hAnsi="Cambria"/>
      <w:sz w:val="20"/>
      <w:szCs w:val="20"/>
    </w:rPr>
  </w:style>
  <w:style w:type="character" w:styleId="Hyperlink">
    <w:name w:val="Hyperlink"/>
    <w:basedOn w:val="DefaultParagraphFont"/>
    <w:uiPriority w:val="99"/>
    <w:semiHidden/>
    <w:locked/>
    <w:rsid w:val="005D53A8"/>
    <w:rPr>
      <w:color w:val="467886" w:themeColor="hyperlink"/>
      <w:u w:val="single"/>
    </w:rPr>
  </w:style>
  <w:style w:type="character" w:styleId="UnresolvedMention">
    <w:name w:val="Unresolved Mention"/>
    <w:basedOn w:val="DefaultParagraphFont"/>
    <w:uiPriority w:val="99"/>
    <w:semiHidden/>
    <w:locked/>
    <w:rsid w:val="005D53A8"/>
    <w:rPr>
      <w:color w:val="605E5C"/>
      <w:shd w:val="clear" w:color="auto" w:fill="E1DFDD"/>
    </w:rPr>
  </w:style>
  <w:style w:type="paragraph" w:customStyle="1" w:styleId="IOP-CS-Abstract">
    <w:name w:val="IOP-CS-Abstract"/>
    <w:basedOn w:val="IOP-CS-Affiliation"/>
    <w:link w:val="IOP-CS-AbstractChar"/>
    <w:qFormat/>
    <w:rsid w:val="00480D6D"/>
    <w:pPr>
      <w:spacing w:after="360"/>
      <w:jc w:val="both"/>
    </w:pPr>
    <w:rPr>
      <w:sz w:val="22"/>
      <w:szCs w:val="22"/>
    </w:rPr>
  </w:style>
  <w:style w:type="character" w:customStyle="1" w:styleId="IOP-CS-AbstractChar">
    <w:name w:val="IOP-CS-Abstract Char"/>
    <w:basedOn w:val="IOP-CS-AffiliationChar"/>
    <w:link w:val="IOP-CS-Abstract"/>
    <w:rsid w:val="00480D6D"/>
    <w:rPr>
      <w:rFonts w:ascii="Cambria" w:hAnsi="Cambria"/>
      <w:sz w:val="20"/>
      <w:szCs w:val="20"/>
    </w:rPr>
  </w:style>
  <w:style w:type="paragraph" w:customStyle="1" w:styleId="IOP-CS-SectionHead">
    <w:name w:val="IOP-CS-SectionHead"/>
    <w:next w:val="IOP-CS-BodyNoIndent"/>
    <w:link w:val="IOP-CS-SectionHeadChar"/>
    <w:qFormat/>
    <w:rsid w:val="005C75D8"/>
    <w:pPr>
      <w:spacing w:before="360" w:after="120"/>
    </w:pPr>
    <w:rPr>
      <w:rFonts w:ascii="Cambria" w:hAnsi="Cambria"/>
      <w:b/>
      <w:bCs/>
    </w:rPr>
  </w:style>
  <w:style w:type="character" w:customStyle="1" w:styleId="IOP-CS-SectionHeadChar">
    <w:name w:val="IOP-CS-SectionHead Char"/>
    <w:basedOn w:val="IOP-CS-AffiliationChar"/>
    <w:link w:val="IOP-CS-SectionHead"/>
    <w:rsid w:val="005C75D8"/>
    <w:rPr>
      <w:rFonts w:ascii="Cambria" w:hAnsi="Cambria"/>
      <w:b/>
      <w:bCs/>
      <w:sz w:val="20"/>
      <w:szCs w:val="20"/>
    </w:rPr>
  </w:style>
  <w:style w:type="paragraph" w:customStyle="1" w:styleId="IOP-CS-BodyText">
    <w:name w:val="IOP-CS-BodyText"/>
    <w:link w:val="IOP-CS-BodyTextChar"/>
    <w:qFormat/>
    <w:rsid w:val="00480D6D"/>
    <w:pPr>
      <w:spacing w:after="0"/>
      <w:ind w:firstLine="425"/>
      <w:jc w:val="both"/>
    </w:pPr>
    <w:rPr>
      <w:rFonts w:ascii="Cambria" w:hAnsi="Cambria"/>
    </w:rPr>
  </w:style>
  <w:style w:type="character" w:customStyle="1" w:styleId="IOP-CS-BodyTextChar">
    <w:name w:val="IOP-CS-BodyText Char"/>
    <w:basedOn w:val="IOP-CS-AffiliationChar"/>
    <w:link w:val="IOP-CS-BodyText"/>
    <w:rsid w:val="00480D6D"/>
    <w:rPr>
      <w:rFonts w:ascii="Cambria" w:hAnsi="Cambria"/>
      <w:sz w:val="20"/>
      <w:szCs w:val="20"/>
    </w:rPr>
  </w:style>
  <w:style w:type="paragraph" w:customStyle="1" w:styleId="IOP-CS-SubsectionHeading">
    <w:name w:val="IOP-CS-SubsectionHeading"/>
    <w:next w:val="IOP-CS-BodyNoIndent"/>
    <w:link w:val="IOP-CS-SubsectionHeadingChar"/>
    <w:qFormat/>
    <w:rsid w:val="00AD74B4"/>
    <w:pPr>
      <w:spacing w:before="160" w:after="0"/>
    </w:pPr>
    <w:rPr>
      <w:rFonts w:ascii="Cambria" w:hAnsi="Cambria"/>
      <w:i/>
      <w:iCs/>
    </w:rPr>
  </w:style>
  <w:style w:type="character" w:customStyle="1" w:styleId="IOP-CS-SubsectionHeadingChar">
    <w:name w:val="IOP-CS-SubsectionHeading Char"/>
    <w:basedOn w:val="IOP-CS-BodyTextChar"/>
    <w:link w:val="IOP-CS-SubsectionHeading"/>
    <w:rsid w:val="00AD74B4"/>
    <w:rPr>
      <w:rFonts w:ascii="Cambria" w:hAnsi="Cambria"/>
      <w:i/>
      <w:iCs/>
      <w:sz w:val="20"/>
      <w:szCs w:val="20"/>
    </w:rPr>
  </w:style>
  <w:style w:type="paragraph" w:customStyle="1" w:styleId="IOP-CS-BodyNoIndent">
    <w:name w:val="IOP-CS-BodyNoIndent"/>
    <w:basedOn w:val="IOP-CS-BodyText"/>
    <w:next w:val="IOP-CS-BodyText"/>
    <w:link w:val="IOP-CS-BodyNoIndentChar"/>
    <w:qFormat/>
    <w:rsid w:val="00480D6D"/>
    <w:pPr>
      <w:ind w:firstLine="0"/>
    </w:pPr>
  </w:style>
  <w:style w:type="character" w:customStyle="1" w:styleId="IOP-CS-BodyNoIndentChar">
    <w:name w:val="IOP-CS-BodyNoIndent Char"/>
    <w:basedOn w:val="IOP-CS-BodyTextChar"/>
    <w:link w:val="IOP-CS-BodyNoIndent"/>
    <w:rsid w:val="00480D6D"/>
    <w:rPr>
      <w:rFonts w:ascii="Cambria" w:hAnsi="Cambria"/>
      <w:sz w:val="20"/>
      <w:szCs w:val="20"/>
    </w:rPr>
  </w:style>
  <w:style w:type="paragraph" w:customStyle="1" w:styleId="IOP-CS-CaptionText">
    <w:name w:val="IOP-CS-CaptionText"/>
    <w:link w:val="IOP-CS-CaptionTextChar"/>
    <w:qFormat/>
    <w:rsid w:val="004860AF"/>
    <w:rPr>
      <w:rFonts w:ascii="Cambria" w:hAnsi="Cambria"/>
      <w:sz w:val="20"/>
    </w:rPr>
  </w:style>
  <w:style w:type="character" w:customStyle="1" w:styleId="IOP-CS-CaptionTextChar">
    <w:name w:val="IOP-CS-CaptionText Char"/>
    <w:basedOn w:val="DefaultParagraphFont"/>
    <w:link w:val="IOP-CS-CaptionText"/>
    <w:rsid w:val="004860AF"/>
    <w:rPr>
      <w:rFonts w:ascii="Cambria" w:hAnsi="Cambria"/>
      <w:sz w:val="20"/>
    </w:rPr>
  </w:style>
  <w:style w:type="table" w:styleId="TableGrid">
    <w:name w:val="Table Grid"/>
    <w:basedOn w:val="TableNormal"/>
    <w:uiPriority w:val="59"/>
    <w:locked/>
    <w:rsid w:val="00BF7225"/>
    <w:pPr>
      <w:spacing w:after="0" w:line="240" w:lineRule="auto"/>
    </w:pPr>
    <w:rPr>
      <w:rFonts w:ascii="Arial" w:eastAsia="Times New Roman" w:hAnsi="Arial"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P-CS-TableFootnote">
    <w:name w:val="IOP-CS-TableFootnote"/>
    <w:basedOn w:val="Normal"/>
    <w:link w:val="IOP-CS-TableFootnoteChar"/>
    <w:qFormat/>
    <w:rsid w:val="006246DF"/>
    <w:pPr>
      <w:spacing w:after="200" w:line="276" w:lineRule="auto"/>
    </w:pPr>
    <w:rPr>
      <w:rFonts w:ascii="Cambria" w:eastAsia="Times New Roman" w:hAnsi="Cambria" w:cs="Arial"/>
      <w:kern w:val="0"/>
      <w:sz w:val="18"/>
      <w:szCs w:val="16"/>
      <w14:ligatures w14:val="none"/>
    </w:rPr>
  </w:style>
  <w:style w:type="character" w:customStyle="1" w:styleId="IOP-CS-TableFootnoteChar">
    <w:name w:val="IOP-CS-TableFootnote Char"/>
    <w:basedOn w:val="DefaultParagraphFont"/>
    <w:link w:val="IOP-CS-TableFootnote"/>
    <w:rsid w:val="006246DF"/>
    <w:rPr>
      <w:rFonts w:ascii="Cambria" w:eastAsia="Times New Roman" w:hAnsi="Cambria" w:cs="Arial"/>
      <w:kern w:val="0"/>
      <w:sz w:val="18"/>
      <w:szCs w:val="16"/>
      <w14:ligatures w14:val="none"/>
    </w:rPr>
  </w:style>
  <w:style w:type="paragraph" w:customStyle="1" w:styleId="IOP-CS-TableLeftColumn">
    <w:name w:val="IOP-CS-TableLeftColumn"/>
    <w:basedOn w:val="Normal"/>
    <w:link w:val="IOP-CS-TableLeftColumnChar"/>
    <w:qFormat/>
    <w:rsid w:val="006246DF"/>
    <w:pPr>
      <w:spacing w:after="0" w:line="240" w:lineRule="auto"/>
    </w:pPr>
    <w:rPr>
      <w:rFonts w:ascii="Cambria" w:eastAsia="Times New Roman" w:hAnsi="Cambria" w:cs="Arial"/>
      <w:kern w:val="0"/>
      <w:sz w:val="20"/>
      <w:szCs w:val="20"/>
      <w14:ligatures w14:val="none"/>
    </w:rPr>
  </w:style>
  <w:style w:type="paragraph" w:customStyle="1" w:styleId="IOP-CS-TableContent">
    <w:name w:val="IOP-CS-TableContent"/>
    <w:basedOn w:val="Normal"/>
    <w:link w:val="IOP-CS-TableContentChar"/>
    <w:qFormat/>
    <w:rsid w:val="006246DF"/>
    <w:pPr>
      <w:spacing w:after="0" w:line="240" w:lineRule="auto"/>
      <w:jc w:val="center"/>
    </w:pPr>
    <w:rPr>
      <w:rFonts w:ascii="Cambria" w:eastAsia="Times New Roman" w:hAnsi="Cambria" w:cs="Arial"/>
      <w:kern w:val="0"/>
      <w:sz w:val="20"/>
      <w:szCs w:val="20"/>
      <w14:ligatures w14:val="none"/>
    </w:rPr>
  </w:style>
  <w:style w:type="character" w:customStyle="1" w:styleId="IOP-CS-TableLeftColumnChar">
    <w:name w:val="IOP-CS-TableLeftColumn Char"/>
    <w:basedOn w:val="DefaultParagraphFont"/>
    <w:link w:val="IOP-CS-TableLeftColumn"/>
    <w:rsid w:val="006246DF"/>
    <w:rPr>
      <w:rFonts w:ascii="Cambria" w:eastAsia="Times New Roman" w:hAnsi="Cambria" w:cs="Arial"/>
      <w:kern w:val="0"/>
      <w:sz w:val="20"/>
      <w:szCs w:val="20"/>
      <w14:ligatures w14:val="none"/>
    </w:rPr>
  </w:style>
  <w:style w:type="character" w:customStyle="1" w:styleId="IOP-CS-TableContentChar">
    <w:name w:val="IOP-CS-TableContent Char"/>
    <w:basedOn w:val="DefaultParagraphFont"/>
    <w:link w:val="IOP-CS-TableContent"/>
    <w:rsid w:val="006246DF"/>
    <w:rPr>
      <w:rFonts w:ascii="Cambria" w:eastAsia="Times New Roman" w:hAnsi="Cambria" w:cs="Arial"/>
      <w:kern w:val="0"/>
      <w:sz w:val="20"/>
      <w:szCs w:val="20"/>
      <w14:ligatures w14:val="none"/>
    </w:rPr>
  </w:style>
  <w:style w:type="paragraph" w:styleId="NormalWeb">
    <w:name w:val="Normal (Web)"/>
    <w:basedOn w:val="Normal"/>
    <w:uiPriority w:val="99"/>
    <w:semiHidden/>
    <w:unhideWhenUsed/>
    <w:locked/>
    <w:rsid w:val="000B36DB"/>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character" w:styleId="Emphasis">
    <w:name w:val="Emphasis"/>
    <w:basedOn w:val="DefaultParagraphFont"/>
    <w:uiPriority w:val="20"/>
    <w:qFormat/>
    <w:locked/>
    <w:rsid w:val="00234FD7"/>
    <w:rPr>
      <w:i/>
      <w:iCs/>
    </w:rPr>
  </w:style>
  <w:style w:type="character" w:styleId="Strong">
    <w:name w:val="Strong"/>
    <w:basedOn w:val="DefaultParagraphFont"/>
    <w:uiPriority w:val="22"/>
    <w:qFormat/>
    <w:locked/>
    <w:rsid w:val="004F66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5486">
      <w:bodyDiv w:val="1"/>
      <w:marLeft w:val="0"/>
      <w:marRight w:val="0"/>
      <w:marTop w:val="0"/>
      <w:marBottom w:val="0"/>
      <w:divBdr>
        <w:top w:val="none" w:sz="0" w:space="0" w:color="auto"/>
        <w:left w:val="none" w:sz="0" w:space="0" w:color="auto"/>
        <w:bottom w:val="none" w:sz="0" w:space="0" w:color="auto"/>
        <w:right w:val="none" w:sz="0" w:space="0" w:color="auto"/>
      </w:divBdr>
    </w:div>
    <w:div w:id="162287408">
      <w:bodyDiv w:val="1"/>
      <w:marLeft w:val="0"/>
      <w:marRight w:val="0"/>
      <w:marTop w:val="0"/>
      <w:marBottom w:val="0"/>
      <w:divBdr>
        <w:top w:val="none" w:sz="0" w:space="0" w:color="auto"/>
        <w:left w:val="none" w:sz="0" w:space="0" w:color="auto"/>
        <w:bottom w:val="none" w:sz="0" w:space="0" w:color="auto"/>
        <w:right w:val="none" w:sz="0" w:space="0" w:color="auto"/>
      </w:divBdr>
    </w:div>
    <w:div w:id="1148865904">
      <w:bodyDiv w:val="1"/>
      <w:marLeft w:val="0"/>
      <w:marRight w:val="0"/>
      <w:marTop w:val="0"/>
      <w:marBottom w:val="0"/>
      <w:divBdr>
        <w:top w:val="none" w:sz="0" w:space="0" w:color="auto"/>
        <w:left w:val="none" w:sz="0" w:space="0" w:color="auto"/>
        <w:bottom w:val="none" w:sz="0" w:space="0" w:color="auto"/>
        <w:right w:val="none" w:sz="0" w:space="0" w:color="auto"/>
      </w:divBdr>
    </w:div>
    <w:div w:id="1282689018">
      <w:bodyDiv w:val="1"/>
      <w:marLeft w:val="0"/>
      <w:marRight w:val="0"/>
      <w:marTop w:val="0"/>
      <w:marBottom w:val="0"/>
      <w:divBdr>
        <w:top w:val="none" w:sz="0" w:space="0" w:color="auto"/>
        <w:left w:val="none" w:sz="0" w:space="0" w:color="auto"/>
        <w:bottom w:val="none" w:sz="0" w:space="0" w:color="auto"/>
        <w:right w:val="none" w:sz="0" w:space="0" w:color="auto"/>
      </w:divBdr>
    </w:div>
    <w:div w:id="1457261670">
      <w:bodyDiv w:val="1"/>
      <w:marLeft w:val="0"/>
      <w:marRight w:val="0"/>
      <w:marTop w:val="0"/>
      <w:marBottom w:val="0"/>
      <w:divBdr>
        <w:top w:val="none" w:sz="0" w:space="0" w:color="auto"/>
        <w:left w:val="none" w:sz="0" w:space="0" w:color="auto"/>
        <w:bottom w:val="none" w:sz="0" w:space="0" w:color="auto"/>
        <w:right w:val="none" w:sz="0" w:space="0" w:color="auto"/>
      </w:divBdr>
    </w:div>
    <w:div w:id="1646623919">
      <w:bodyDiv w:val="1"/>
      <w:marLeft w:val="0"/>
      <w:marRight w:val="0"/>
      <w:marTop w:val="0"/>
      <w:marBottom w:val="0"/>
      <w:divBdr>
        <w:top w:val="none" w:sz="0" w:space="0" w:color="auto"/>
        <w:left w:val="none" w:sz="0" w:space="0" w:color="auto"/>
        <w:bottom w:val="none" w:sz="0" w:space="0" w:color="auto"/>
        <w:right w:val="none" w:sz="0" w:space="0" w:color="auto"/>
      </w:divBdr>
    </w:div>
    <w:div w:id="1678117491">
      <w:bodyDiv w:val="1"/>
      <w:marLeft w:val="0"/>
      <w:marRight w:val="0"/>
      <w:marTop w:val="0"/>
      <w:marBottom w:val="0"/>
      <w:divBdr>
        <w:top w:val="none" w:sz="0" w:space="0" w:color="auto"/>
        <w:left w:val="none" w:sz="0" w:space="0" w:color="auto"/>
        <w:bottom w:val="none" w:sz="0" w:space="0" w:color="auto"/>
        <w:right w:val="none" w:sz="0" w:space="0" w:color="auto"/>
      </w:divBdr>
    </w:div>
    <w:div w:id="1754206915">
      <w:bodyDiv w:val="1"/>
      <w:marLeft w:val="0"/>
      <w:marRight w:val="0"/>
      <w:marTop w:val="0"/>
      <w:marBottom w:val="0"/>
      <w:divBdr>
        <w:top w:val="none" w:sz="0" w:space="0" w:color="auto"/>
        <w:left w:val="none" w:sz="0" w:space="0" w:color="auto"/>
        <w:bottom w:val="none" w:sz="0" w:space="0" w:color="auto"/>
        <w:right w:val="none" w:sz="0" w:space="0" w:color="auto"/>
      </w:divBdr>
    </w:div>
    <w:div w:id="1791313898">
      <w:bodyDiv w:val="1"/>
      <w:marLeft w:val="0"/>
      <w:marRight w:val="0"/>
      <w:marTop w:val="0"/>
      <w:marBottom w:val="0"/>
      <w:divBdr>
        <w:top w:val="none" w:sz="0" w:space="0" w:color="auto"/>
        <w:left w:val="none" w:sz="0" w:space="0" w:color="auto"/>
        <w:bottom w:val="none" w:sz="0" w:space="0" w:color="auto"/>
        <w:right w:val="none" w:sz="0" w:space="0" w:color="auto"/>
      </w:divBdr>
    </w:div>
    <w:div w:id="2006786339">
      <w:bodyDiv w:val="1"/>
      <w:marLeft w:val="0"/>
      <w:marRight w:val="0"/>
      <w:marTop w:val="0"/>
      <w:marBottom w:val="0"/>
      <w:divBdr>
        <w:top w:val="none" w:sz="0" w:space="0" w:color="auto"/>
        <w:left w:val="none" w:sz="0" w:space="0" w:color="auto"/>
        <w:bottom w:val="none" w:sz="0" w:space="0" w:color="auto"/>
        <w:right w:val="none" w:sz="0" w:space="0" w:color="auto"/>
      </w:divBdr>
    </w:div>
    <w:div w:id="2065910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d0ca077-4a5a-44b3-8225-e973392463e8">
      <Terms xmlns="http://schemas.microsoft.com/office/infopath/2007/PartnerControls"/>
    </lcf76f155ced4ddcb4097134ff3c332f>
    <TaxCatchAll xmlns="cd0cb0cd-f387-4546-b6ee-941c869211de" xsi:nil="true"/>
    <MediaLengthInSeconds xmlns="0d0ca077-4a5a-44b3-8225-e973392463e8" xsi:nil="true"/>
    <SharedWithUsers xmlns="cd0cb0cd-f387-4546-b6ee-941c869211de">
      <UserInfo>
        <DisplayName>Chris Ingle</DisplayName>
        <AccountId>15</AccountId>
        <AccountType/>
      </UserInfo>
      <UserInfo>
        <DisplayName>Rosalind Barrett</DisplayName>
        <AccountId>41</AccountId>
        <AccountType/>
      </UserInfo>
      <UserInfo>
        <DisplayName>Caroline Fitzgerald</DisplayName>
        <AccountId>25</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184C1F9DAC6447BDEA3721DE969FCB" ma:contentTypeVersion="18" ma:contentTypeDescription="Create a new document." ma:contentTypeScope="" ma:versionID="793b80367c14023430c193f947ce3f0e">
  <xsd:schema xmlns:xsd="http://www.w3.org/2001/XMLSchema" xmlns:xs="http://www.w3.org/2001/XMLSchema" xmlns:p="http://schemas.microsoft.com/office/2006/metadata/properties" xmlns:ns2="0d0ca077-4a5a-44b3-8225-e973392463e8" xmlns:ns3="cd0cb0cd-f387-4546-b6ee-941c869211de" targetNamespace="http://schemas.microsoft.com/office/2006/metadata/properties" ma:root="true" ma:fieldsID="304ec480d0c6d264986323110b7a94b1" ns2:_="" ns3:_="">
    <xsd:import namespace="0d0ca077-4a5a-44b3-8225-e973392463e8"/>
    <xsd:import namespace="cd0cb0cd-f387-4546-b6ee-941c869211d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ca077-4a5a-44b3-8225-e973392463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bac101e-57d3-4c9a-80e2-242aca2484e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0cb0cd-f387-4546-b6ee-941c869211d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e5b8886-a63d-4c83-afab-b7ecbcac4760}" ma:internalName="TaxCatchAll" ma:showField="CatchAllData" ma:web="cd0cb0cd-f387-4546-b6ee-941c869211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C064DB-E98E-412C-AF48-DFED7351B3B6}">
  <ds:schemaRefs>
    <ds:schemaRef ds:uri="http://schemas.microsoft.com/office/2006/metadata/properties"/>
    <ds:schemaRef ds:uri="http://schemas.microsoft.com/office/infopath/2007/PartnerControls"/>
    <ds:schemaRef ds:uri="0d0ca077-4a5a-44b3-8225-e973392463e8"/>
    <ds:schemaRef ds:uri="cd0cb0cd-f387-4546-b6ee-941c869211de"/>
  </ds:schemaRefs>
</ds:datastoreItem>
</file>

<file path=customXml/itemProps2.xml><?xml version="1.0" encoding="utf-8"?>
<ds:datastoreItem xmlns:ds="http://schemas.openxmlformats.org/officeDocument/2006/customXml" ds:itemID="{83A6A22A-9C14-46B9-AD3D-D6F73AC43EE6}">
  <ds:schemaRefs>
    <ds:schemaRef ds:uri="http://schemas.microsoft.com/sharepoint/v3/contenttype/forms"/>
  </ds:schemaRefs>
</ds:datastoreItem>
</file>

<file path=customXml/itemProps3.xml><?xml version="1.0" encoding="utf-8"?>
<ds:datastoreItem xmlns:ds="http://schemas.openxmlformats.org/officeDocument/2006/customXml" ds:itemID="{858A8F9A-2B86-4366-B5C0-20C41A4411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ca077-4a5a-44b3-8225-e973392463e8"/>
    <ds:schemaRef ds:uri="cd0cb0cd-f387-4546-b6ee-941c869211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2835C62-DE3E-4794-AA22-9180B4E33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11</Pages>
  <Words>5067</Words>
  <Characters>28886</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IOP Publishing</dc:creator>
  <cp:keywords/>
  <dc:description/>
  <cp:lastModifiedBy>Lenovo Thinkpad</cp:lastModifiedBy>
  <cp:revision>7</cp:revision>
  <cp:lastPrinted>2026-05-20T01:29:00Z</cp:lastPrinted>
  <dcterms:created xsi:type="dcterms:W3CDTF">2026-05-20T01:32:00Z</dcterms:created>
  <dcterms:modified xsi:type="dcterms:W3CDTF">2026-05-20T08:57:00Z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0x01010032184C1F9DAC6447BDEA3721DE969FCB</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{"FileActivityType":"9","FileActivityTimeStamp":"2024-02-09T10:33:50.630Z","FileActivityUsersOnPage":[{"DisplayName":"Chris Ingle","Id":"chris.ingle@ioppublishing.org"},{"DisplayName":"Rosalind Barrett","Id":"rosalind.barrett@ioppublishing.org"},{"DisplayName":"Caroline Fitzgerald","Id":"caroline.fitzgerald@ioppublishing.org"},{"DisplayName":"Chris Ingle","Id":"chris.ingle@ioppublishing.org"}],"FileActivityNavigationId":null}</vt:lpwstr>
  </property>
  <property fmtid="{D5CDD505-2E9C-101B-9397-08002B2CF9AE}" pid="9" name="TriggerFlowInfo">
    <vt:lpwstr/>
  </property>
  <property fmtid="{D5CDD505-2E9C-101B-9397-08002B2CF9AE}" pid="10" name="Mendeley Recent Style Id 0_1">
    <vt:lpwstr>http://www.zotero.org/styles/american-medical-association</vt:lpwstr>
  </property>
  <property fmtid="{D5CDD505-2E9C-101B-9397-08002B2CF9AE}" pid="11" name="Mendeley Recent Style Name 0_1">
    <vt:lpwstr>American Medical Association 11th edition</vt:lpwstr>
  </property>
  <property fmtid="{D5CDD505-2E9C-101B-9397-08002B2CF9AE}" pid="12" name="Mendeley Recent Style Id 1_1">
    <vt:lpwstr>http://www.zotero.org/styles/american-political-science-association</vt:lpwstr>
  </property>
  <property fmtid="{D5CDD505-2E9C-101B-9397-08002B2CF9AE}" pid="13" name="Mendeley Recent Style Name 1_1">
    <vt:lpwstr>American Political Science Association</vt:lpwstr>
  </property>
  <property fmtid="{D5CDD505-2E9C-101B-9397-08002B2CF9AE}" pid="14" name="Mendeley Recent Style Id 2_1">
    <vt:lpwstr>http://www.zotero.org/styles/apa</vt:lpwstr>
  </property>
  <property fmtid="{D5CDD505-2E9C-101B-9397-08002B2CF9AE}" pid="15" name="Mendeley Recent Style Name 2_1">
    <vt:lpwstr>American Psychological Association 7th edition</vt:lpwstr>
  </property>
  <property fmtid="{D5CDD505-2E9C-101B-9397-08002B2CF9AE}" pid="16" name="Mendeley Recent Style Id 3_1">
    <vt:lpwstr>http://www.zotero.org/styles/american-sociological-association</vt:lpwstr>
  </property>
  <property fmtid="{D5CDD505-2E9C-101B-9397-08002B2CF9AE}" pid="17" name="Mendeley Recent Style Name 3_1">
    <vt:lpwstr>American Sociological Association 6th/7th edition</vt:lpwstr>
  </property>
  <property fmtid="{D5CDD505-2E9C-101B-9397-08002B2CF9AE}" pid="18" name="Mendeley Recent Style Id 4_1">
    <vt:lpwstr>http://www.zotero.org/styles/chicago-author-date</vt:lpwstr>
  </property>
  <property fmtid="{D5CDD505-2E9C-101B-9397-08002B2CF9AE}" pid="19" name="Mendeley Recent Style Name 4_1">
    <vt:lpwstr>Chicago Manual of Style 18th edition (author-date)</vt:lpwstr>
  </property>
  <property fmtid="{D5CDD505-2E9C-101B-9397-08002B2CF9AE}" pid="20" name="Mendeley Recent Style Id 5_1">
    <vt:lpwstr>http://www.zotero.org/styles/harvard-cite-them-right</vt:lpwstr>
  </property>
  <property fmtid="{D5CDD505-2E9C-101B-9397-08002B2CF9AE}" pid="21" name="Mendeley Recent Style Name 5_1">
    <vt:lpwstr>Cite Them Right 12th edition - Harvard</vt:lpwstr>
  </property>
  <property fmtid="{D5CDD505-2E9C-101B-9397-08002B2CF9AE}" pid="22" name="Mendeley Recent Style Id 6_1">
    <vt:lpwstr>http://www.zotero.org/styles/ieee</vt:lpwstr>
  </property>
  <property fmtid="{D5CDD505-2E9C-101B-9397-08002B2CF9AE}" pid="23" name="Mendeley Recent Style Name 6_1">
    <vt:lpwstr>IEEE</vt:lpwstr>
  </property>
  <property fmtid="{D5CDD505-2E9C-101B-9397-08002B2CF9AE}" pid="24" name="Mendeley Recent Style Id 7_1">
    <vt:lpwstr>http://www.zotero.org/styles/modern-humanities-research-association</vt:lpwstr>
  </property>
  <property fmtid="{D5CDD505-2E9C-101B-9397-08002B2CF9AE}" pid="25" name="Mendeley Recent Style Name 7_1">
    <vt:lpwstr>Modern Humanities Research Association 3rd edition (note with bibliography)</vt:lpwstr>
  </property>
  <property fmtid="{D5CDD505-2E9C-101B-9397-08002B2CF9AE}" pid="26" name="Mendeley Recent Style Id 8_1">
    <vt:lpwstr>http://www.zotero.org/styles/modern-language-association</vt:lpwstr>
  </property>
  <property fmtid="{D5CDD505-2E9C-101B-9397-08002B2CF9AE}" pid="27" name="Mendeley Recent Style Name 8_1">
    <vt:lpwstr>Modern Language Association 9th edition</vt:lpwstr>
  </property>
  <property fmtid="{D5CDD505-2E9C-101B-9397-08002B2CF9AE}" pid="28" name="Mendeley Recent Style Id 9_1">
    <vt:lpwstr>http://www.zotero.org/styles/nature</vt:lpwstr>
  </property>
  <property fmtid="{D5CDD505-2E9C-101B-9397-08002B2CF9AE}" pid="29" name="Mendeley Recent Style Name 9_1">
    <vt:lpwstr>Nature</vt:lpwstr>
  </property>
  <property fmtid="{D5CDD505-2E9C-101B-9397-08002B2CF9AE}" pid="30" name="Mendeley Document_1">
    <vt:lpwstr>True</vt:lpwstr>
  </property>
  <property fmtid="{D5CDD505-2E9C-101B-9397-08002B2CF9AE}" pid="31" name="Mendeley Unique User Id_1">
    <vt:lpwstr>f0eb1d1d-5ead-32a7-a131-9cbf068813ed</vt:lpwstr>
  </property>
  <property fmtid="{D5CDD505-2E9C-101B-9397-08002B2CF9AE}" pid="32" name="Mendeley Citation Style_1">
    <vt:lpwstr>http://www.zotero.org/styles/harvard-cite-them-right</vt:lpwstr>
  </property>
  <property fmtid="{D5CDD505-2E9C-101B-9397-08002B2CF9AE}" pid="33" name="GrammarlyDocumentId">
    <vt:lpwstr>6232834f-576d-4aa6-bdcd-767f23cf24b0</vt:lpwstr>
  </property>
</Properties>
</file>