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E5723" w14:textId="516419F5" w:rsidR="002F28F3" w:rsidRPr="009E5C01" w:rsidRDefault="00012498" w:rsidP="009E5C01">
      <w:pPr>
        <w:spacing w:after="0" w:line="240" w:lineRule="auto"/>
        <w:jc w:val="both"/>
        <w:rPr>
          <w:rFonts w:ascii="Cambria" w:hAnsi="Cambria"/>
          <w:b/>
          <w:bCs/>
          <w:sz w:val="22"/>
          <w:szCs w:val="22"/>
        </w:rPr>
      </w:pPr>
      <w:r w:rsidRPr="009E5C01">
        <w:rPr>
          <w:rFonts w:ascii="Cambria" w:hAnsi="Cambria"/>
          <w:b/>
          <w:bCs/>
          <w:sz w:val="22"/>
          <w:szCs w:val="22"/>
        </w:rPr>
        <w:t>Environmental Impact Assessment of Small-Scale Tofu Production Using Life Cycle Assessment: Evidence of Freshwater Ecotoxicity Hotspot in Semarang, Indonesia</w:t>
      </w:r>
    </w:p>
    <w:p w14:paraId="371AA2E9" w14:textId="77777777" w:rsidR="004441E6" w:rsidRPr="004441E6" w:rsidRDefault="004441E6" w:rsidP="009E5C01">
      <w:pPr>
        <w:spacing w:after="0" w:line="240" w:lineRule="auto"/>
        <w:jc w:val="both"/>
        <w:rPr>
          <w:rFonts w:ascii="Cambria" w:hAnsi="Cambria"/>
          <w:sz w:val="22"/>
          <w:szCs w:val="22"/>
        </w:rPr>
      </w:pPr>
    </w:p>
    <w:p w14:paraId="4BC66AB6" w14:textId="044A7296" w:rsidR="00012498" w:rsidRPr="00012498" w:rsidRDefault="00012498" w:rsidP="009E5C01">
      <w:pPr>
        <w:spacing w:after="0" w:line="240" w:lineRule="auto"/>
        <w:jc w:val="both"/>
        <w:rPr>
          <w:rFonts w:ascii="Cambria" w:hAnsi="Cambria"/>
          <w:sz w:val="22"/>
          <w:szCs w:val="22"/>
          <w:lang w:val="it-IT"/>
        </w:rPr>
      </w:pPr>
      <w:r w:rsidRPr="00012498">
        <w:rPr>
          <w:rFonts w:ascii="Cambria" w:hAnsi="Cambria"/>
          <w:sz w:val="22"/>
          <w:szCs w:val="22"/>
          <w:lang w:val="it-IT"/>
        </w:rPr>
        <w:t>Abdul Jabbar, Putri Alifa Kholil, Desiana</w:t>
      </w:r>
      <w:r w:rsidR="00644C93">
        <w:rPr>
          <w:rFonts w:ascii="Cambria" w:hAnsi="Cambria"/>
          <w:sz w:val="22"/>
          <w:szCs w:val="22"/>
          <w:lang w:val="it-IT"/>
        </w:rPr>
        <w:t xml:space="preserve"> Fitri Awati</w:t>
      </w:r>
    </w:p>
    <w:p w14:paraId="471263CB" w14:textId="6AA562A9"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Department of Environmental Science, Universitas Negeri Semarang,</w:t>
      </w:r>
      <w:r w:rsidRPr="00012498">
        <w:rPr>
          <w:rFonts w:ascii="Cambria" w:hAnsi="Cambria"/>
          <w:sz w:val="22"/>
          <w:szCs w:val="22"/>
        </w:rPr>
        <w:t xml:space="preserve"> Semarang, Indonesia</w:t>
      </w:r>
    </w:p>
    <w:p w14:paraId="449431E2" w14:textId="77777777" w:rsidR="004441E6" w:rsidRDefault="004441E6" w:rsidP="009E5C01">
      <w:pPr>
        <w:spacing w:after="0" w:line="240" w:lineRule="auto"/>
        <w:jc w:val="both"/>
        <w:rPr>
          <w:rFonts w:ascii="Cambria" w:hAnsi="Cambria"/>
          <w:sz w:val="22"/>
          <w:szCs w:val="22"/>
        </w:rPr>
      </w:pPr>
    </w:p>
    <w:p w14:paraId="4323089A" w14:textId="59EBC292" w:rsidR="009E5C01" w:rsidRPr="004441E6" w:rsidRDefault="009E5C01" w:rsidP="009E5C01">
      <w:pPr>
        <w:spacing w:after="0" w:line="240" w:lineRule="auto"/>
        <w:jc w:val="both"/>
        <w:rPr>
          <w:rFonts w:ascii="Cambria" w:hAnsi="Cambria"/>
          <w:b/>
          <w:bCs/>
        </w:rPr>
      </w:pPr>
      <w:r w:rsidRPr="004441E6">
        <w:rPr>
          <w:rFonts w:ascii="Cambria" w:hAnsi="Cambria"/>
          <w:b/>
          <w:bCs/>
        </w:rPr>
        <w:t>Abstract</w:t>
      </w:r>
    </w:p>
    <w:p w14:paraId="3098EA4B" w14:textId="565C52AF" w:rsidR="00012498" w:rsidRPr="004441E6" w:rsidRDefault="009E5C01" w:rsidP="009E5C01">
      <w:pPr>
        <w:spacing w:after="0" w:line="240" w:lineRule="auto"/>
        <w:jc w:val="both"/>
        <w:rPr>
          <w:rFonts w:ascii="Cambria" w:hAnsi="Cambria"/>
        </w:rPr>
      </w:pPr>
      <w:r w:rsidRPr="004441E6">
        <w:rPr>
          <w:rFonts w:ascii="Cambria" w:hAnsi="Cambria"/>
        </w:rPr>
        <w:t>The environmental impact assessment of small-scale urban food industries reveals significant ecological pressures on local ecosystems. This study comprehensively evaluates the environmental burden of small-scale tofu production facilities in Semarang, Indonesia. A life cycle assessment approach with a gate-to-gate system boundary was applied to quantify global warming potential, ozone layer depletion, freshwater aquatic ecotoxicity, acidification, eutrophication, and regional water scarcity. The findings demonstrate that the soybean washing and boiling stages act as the primary environmental pollution hotspots. Based on inventory data normalization, strong evidence of a freshwater ecotoxicity hotspot emerged as the most dominant impact category. This acute degradation of aquatic ecosystems is driven by the direct discharge of highly concentrated organic liquid waste during the washing and coagulation processes without prior treatment. Furthermore, the global warming potential ranks as the second-largest contributor, primarily stemming from greenhouse gas emissions generated by conventional firewood combustion during the boiling phase. Notably, the water footprint of this firewood supply chain also exacerbates local water scarcity. These findings underscore the critical need to shift from end-of-pipe waste management to upstream eco-efficiency strategies, highlighting biofilter technologies and clean energy substitution to achieve sustainable food agro-industries.</w:t>
      </w:r>
    </w:p>
    <w:p w14:paraId="5A185AA1" w14:textId="77777777" w:rsidR="004441E6" w:rsidRDefault="004441E6" w:rsidP="009E5C01">
      <w:pPr>
        <w:spacing w:after="0" w:line="240" w:lineRule="auto"/>
        <w:jc w:val="both"/>
        <w:rPr>
          <w:rFonts w:ascii="Cambria" w:hAnsi="Cambria"/>
          <w:b/>
          <w:bCs/>
          <w:sz w:val="22"/>
          <w:szCs w:val="22"/>
        </w:rPr>
      </w:pPr>
    </w:p>
    <w:p w14:paraId="75611E8D" w14:textId="13E883E3" w:rsidR="00012498" w:rsidRPr="00012498" w:rsidRDefault="00012498" w:rsidP="009E5C01">
      <w:pPr>
        <w:spacing w:after="0" w:line="240" w:lineRule="auto"/>
        <w:jc w:val="both"/>
        <w:rPr>
          <w:rFonts w:ascii="Cambria" w:hAnsi="Cambria"/>
          <w:b/>
          <w:bCs/>
          <w:sz w:val="22"/>
          <w:szCs w:val="22"/>
        </w:rPr>
      </w:pPr>
      <w:r w:rsidRPr="00012498">
        <w:rPr>
          <w:rFonts w:ascii="Cambria" w:hAnsi="Cambria"/>
          <w:b/>
          <w:bCs/>
          <w:sz w:val="22"/>
          <w:szCs w:val="22"/>
        </w:rPr>
        <w:t>1. Introduction</w:t>
      </w:r>
    </w:p>
    <w:p w14:paraId="29DE093A" w14:textId="58816988"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 xml:space="preserve">The expansion of small and medium-sized enterprises (SMEs) in the food processing sector constitutes a central pillar of industrial development in emerging economies, yet it simultaneously imposes substantial pressure on natural resources and local ecosystems </w:t>
      </w:r>
      <w:r w:rsidR="0099520E">
        <w:rPr>
          <w:rFonts w:ascii="Cambria" w:hAnsi="Cambria"/>
          <w:sz w:val="22"/>
          <w:szCs w:val="22"/>
        </w:rPr>
        <w:fldChar w:fldCharType="begin" w:fldLock="1"/>
      </w:r>
      <w:r w:rsidR="004441E6">
        <w:rPr>
          <w:rFonts w:ascii="Cambria" w:hAnsi="Cambria"/>
          <w:sz w:val="22"/>
          <w:szCs w:val="22"/>
        </w:rPr>
        <w:instrText>ADDIN CSL_CITATION {"citationItems":[{"id":"ITEM-1","itemData":{"ISSN":"0959-6526","author":[{"dropping-particle":"","family":"Ghisellini","given":"Patrizia","non-dropping-particle":"","parse-names":false,"suffix":""},{"dropping-particle":"","family":"Cialani","given":"Catia","non-dropping-particle":"","parse-names":false,"suffix":""},{"dropping-particle":"","family":"Ulgiati","given":"Sergio","non-dropping-particle":"","parse-names":false,"suffix":""}],"container-title":"Journal of Cleaner production","id":"ITEM-1","issued":{"date-parts":[["2016"]]},"page":"11-32","publisher":"Elsevier","title":"A review on circular economy: the expected transition to a balanced interplay of environmental and economic systems","type":"article-journal","volume":"114"},"uris":["http://www.mendeley.com/documents/?uuid=4baa0acc-e087-4fa4-ad84-94194621f544"]}],"mendeley":{"formattedCitation":"[1]","plainTextFormattedCitation":"[1]","previouslyFormattedCitation":"(Ghisellini et al., 2016)"},"properties":{"noteIndex":0},"schema":"https://github.com/citation-style-language/schema/raw/master/csl-citation.json"}</w:instrText>
      </w:r>
      <w:r w:rsidR="0099520E">
        <w:rPr>
          <w:rFonts w:ascii="Cambria" w:hAnsi="Cambria"/>
          <w:sz w:val="22"/>
          <w:szCs w:val="22"/>
        </w:rPr>
        <w:fldChar w:fldCharType="separate"/>
      </w:r>
      <w:r w:rsidR="004441E6" w:rsidRPr="004441E6">
        <w:rPr>
          <w:rFonts w:ascii="Cambria" w:hAnsi="Cambria"/>
          <w:noProof/>
          <w:sz w:val="22"/>
          <w:szCs w:val="22"/>
        </w:rPr>
        <w:t>[1]</w:t>
      </w:r>
      <w:r w:rsidR="0099520E">
        <w:rPr>
          <w:rFonts w:ascii="Cambria" w:hAnsi="Cambria"/>
          <w:sz w:val="22"/>
          <w:szCs w:val="22"/>
        </w:rPr>
        <w:fldChar w:fldCharType="end"/>
      </w:r>
      <w:r w:rsidRPr="00012498">
        <w:rPr>
          <w:rFonts w:ascii="Cambria" w:hAnsi="Cambria"/>
          <w:sz w:val="22"/>
          <w:szCs w:val="22"/>
        </w:rPr>
        <w:t xml:space="preserve">[1]. In Indonesia, the food and beverage industry ranks among the top contributors to freshwater pollution, with statistical data consistently identifying it as one of the sectors with the highest potential to degrade surface water quality through unmanaged effluent discharge </w:t>
      </w:r>
      <w:r w:rsidR="0099520E">
        <w:rPr>
          <w:rFonts w:ascii="Cambria" w:hAnsi="Cambria"/>
          <w:sz w:val="22"/>
          <w:szCs w:val="22"/>
        </w:rPr>
        <w:fldChar w:fldCharType="begin" w:fldLock="1"/>
      </w:r>
      <w:r w:rsidR="004441E6">
        <w:rPr>
          <w:rFonts w:ascii="Cambria" w:hAnsi="Cambria"/>
          <w:sz w:val="22"/>
          <w:szCs w:val="22"/>
        </w:rPr>
        <w:instrText>ADDIN CSL_CITATION {"citationItems":[{"id":"ITEM-1","itemData":{"ISBN":"1755-1307","author":[{"dropping-particle":"","family":"Widiatami","given":"A K","non-dropping-particle":"","parse-names":false,"suffix":""},{"dropping-particle":"","family":"Solikhah","given":"B","non-dropping-particle":"","parse-names":false,"suffix":""},{"dropping-particle":"","family":"Setiyani","given":"R","non-dropping-particle":"","parse-names":false,"suffix":""},{"dropping-particle":"","family":"Yanitama","given":"A","non-dropping-particle":"","parse-names":false,"suffix":""}],"container-title":"IOP Conference Series: Earth and Environmental Science","id":"ITEM-1","issue":"1","issued":{"date-parts":[["2021"]]},"page":"12018","publisher":"IOP Publishing","title":"The effect of environmental management disclosure and green innovation on the Indonesian food and beverages industry’s sales growth","type":"paper-conference","volume":"896"},"uris":["http://www.mendeley.com/documents/?uuid=08da32c1-8ce8-4268-9591-cff1a626911c"]}],"mendeley":{"formattedCitation":"[2]","plainTextFormattedCitation":"[2]","previouslyFormattedCitation":"(Widiatami et al., 2021)"},"properties":{"noteIndex":0},"schema":"https://github.com/citation-style-language/schema/raw/master/csl-citation.json"}</w:instrText>
      </w:r>
      <w:r w:rsidR="0099520E">
        <w:rPr>
          <w:rFonts w:ascii="Cambria" w:hAnsi="Cambria"/>
          <w:sz w:val="22"/>
          <w:szCs w:val="22"/>
        </w:rPr>
        <w:fldChar w:fldCharType="separate"/>
      </w:r>
      <w:r w:rsidR="004441E6" w:rsidRPr="004441E6">
        <w:rPr>
          <w:rFonts w:ascii="Cambria" w:hAnsi="Cambria"/>
          <w:noProof/>
          <w:sz w:val="22"/>
          <w:szCs w:val="22"/>
        </w:rPr>
        <w:t>[2]</w:t>
      </w:r>
      <w:r w:rsidR="0099520E">
        <w:rPr>
          <w:rFonts w:ascii="Cambria" w:hAnsi="Cambria"/>
          <w:sz w:val="22"/>
          <w:szCs w:val="22"/>
        </w:rPr>
        <w:fldChar w:fldCharType="end"/>
      </w:r>
      <w:r w:rsidRPr="00012498">
        <w:rPr>
          <w:rFonts w:ascii="Cambria" w:hAnsi="Cambria"/>
          <w:sz w:val="22"/>
          <w:szCs w:val="22"/>
        </w:rPr>
        <w:t xml:space="preserve">[14]. This environmental burden is compounded by the proliferation of urban food industries operating with limited infrastructure for waste treatment, a condition that has been documented to elevate biochemical oxygen demand (BOD) and chemical oxygen demand (COD) concentrations in receiving water bodies well beyond regulatory thresholds stipulated under Government Regulation No. 22 of 2021 on Water Quality Management. As urban industrial activity intensifies, the cumulative discharge of untreated organic wastewater has been recognized as a primary driver of freshwater ecosystem degradation across multiple river systems in Java and beyond </w:t>
      </w:r>
      <w:r w:rsidR="0099520E">
        <w:rPr>
          <w:rFonts w:ascii="Cambria" w:hAnsi="Cambria"/>
          <w:sz w:val="22"/>
          <w:szCs w:val="22"/>
        </w:rPr>
        <w:fldChar w:fldCharType="begin" w:fldLock="1"/>
      </w:r>
      <w:r w:rsidR="004441E6">
        <w:rPr>
          <w:rFonts w:ascii="Cambria" w:hAnsi="Cambria"/>
          <w:sz w:val="22"/>
          <w:szCs w:val="22"/>
        </w:rPr>
        <w:instrText>ADDIN CSL_CITATION {"citationItems":[{"id":"ITEM-1","itemData":{"ISSN":"1230-1485","author":[{"dropping-particle":"","family":"Basuki","given":"Tyas Mutiara","non-dropping-particle":"","parse-names":false,"suffix":""},{"dropping-particle":"","family":"Indrawati","given":"Dewi Retna","non-dropping-particle":"","parse-names":false,"suffix":""},{"dropping-particle":"","family":"Nugroho","given":"Hunggul Yudono Setio Hadi","non-dropping-particle":"","parse-names":false,"suffix":""},{"dropping-particle":"","family":"Pramono","given":"Irfan Budi","non-dropping-particle":"","parse-names":false,"suffix":""},{"dropping-particle":"","family":"Setiawan","given":"Ogi","non-dropping-particle":"","parse-names":false,"suffix":""},{"dropping-particle":"","family":"Nugroho","given":"Nunung Puji","non-dropping-particle":"","parse-names":false,"suffix":""},{"dropping-particle":"","family":"Nada","given":"Firda Maftukhakh Hilmya","non-dropping-particle":"","parse-names":false,"suffix":""},{"dropping-particle":"","family":"Nandini","given":"Ryke","non-dropping-particle":"","parse-names":false,"suffix":""},{"dropping-particle":"","family":"Savitri","given":"Endang","non-dropping-particle":"","parse-names":false,"suffix":""},{"dropping-particle":"","family":"Adi","given":"Rahardyan Nugroho","non-dropping-particle":"","parse-names":false,"suffix":""}],"container-title":"Polish Journal of Environmental Studies","id":"ITEM-1","issue":"4","issued":{"date-parts":[["2024"]]},"page":"3515-3530","publisher":"HARD Publishing sc Jerzy Radecki, Hanna Radecka","title":"Water pollution of some major rivers in Indonesia: The status, institution, regulation, and recommendation for its mitigation","type":"article-journal","volume":"33"},"uris":["http://www.mendeley.com/documents/?uuid=cc56e24e-b106-46e7-be59-ffd65476e190"]}],"mendeley":{"formattedCitation":"[3]","plainTextFormattedCitation":"[3]","previouslyFormattedCitation":"(Basuki et al., 2024)"},"properties":{"noteIndex":0},"schema":"https://github.com/citation-style-language/schema/raw/master/csl-citation.json"}</w:instrText>
      </w:r>
      <w:r w:rsidR="0099520E">
        <w:rPr>
          <w:rFonts w:ascii="Cambria" w:hAnsi="Cambria"/>
          <w:sz w:val="22"/>
          <w:szCs w:val="22"/>
        </w:rPr>
        <w:fldChar w:fldCharType="separate"/>
      </w:r>
      <w:r w:rsidR="004441E6" w:rsidRPr="004441E6">
        <w:rPr>
          <w:rFonts w:ascii="Cambria" w:hAnsi="Cambria"/>
          <w:noProof/>
          <w:sz w:val="22"/>
          <w:szCs w:val="22"/>
        </w:rPr>
        <w:t>[3]</w:t>
      </w:r>
      <w:r w:rsidR="0099520E">
        <w:rPr>
          <w:rFonts w:ascii="Cambria" w:hAnsi="Cambria"/>
          <w:sz w:val="22"/>
          <w:szCs w:val="22"/>
        </w:rPr>
        <w:fldChar w:fldCharType="end"/>
      </w:r>
      <w:r w:rsidRPr="00012498">
        <w:rPr>
          <w:rFonts w:ascii="Cambria" w:hAnsi="Cambria"/>
          <w:sz w:val="22"/>
          <w:szCs w:val="22"/>
        </w:rPr>
        <w:t>.</w:t>
      </w:r>
    </w:p>
    <w:p w14:paraId="4614AF3E" w14:textId="26312D1B"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 xml:space="preserve">Within this context, the tofu industry occupies a strategically significant position in Indonesia's food production landscape. Tofu is a protein-rich staple consumed at an average rate of approximately 0.163 kg per capita per week, sustaining consistently high production volumes across thousands of household-scale and SME-level enterprises nationwide </w:t>
      </w:r>
      <w:r w:rsidR="00253685">
        <w:rPr>
          <w:rFonts w:ascii="Cambria" w:hAnsi="Cambria"/>
          <w:sz w:val="22"/>
          <w:szCs w:val="22"/>
        </w:rPr>
        <w:fldChar w:fldCharType="begin" w:fldLock="1"/>
      </w:r>
      <w:r w:rsidR="004441E6">
        <w:rPr>
          <w:rFonts w:ascii="Cambria" w:hAnsi="Cambria"/>
          <w:sz w:val="22"/>
          <w:szCs w:val="22"/>
        </w:rPr>
        <w:instrText>ADDIN CSL_CITATION {"citationItems":[{"id":"ITEM-1","itemData":{"author":[{"dropping-particle":"","family":"Badan Pusat Statistik","given":"","non-dropping-particle":"","parse-names":false,"suffix":""}],"id":"ITEM-1","issued":{"date-parts":[["2026"]]},"publisher-place":"Jakarta","title":"Rata-Rata Konsumsi per Kapita Seminggu Beberapa Macam Bahan Makanan Penting 2007-2025","type":"report"},"uris":["http://www.mendeley.com/documents/?uuid=ec67f9e9-780b-4ad6-b713-6017a54b2ffb"]}],"mendeley":{"formattedCitation":"[4]","plainTextFormattedCitation":"[4]","previouslyFormattedCitation":"(Badan Pusat Statistik, 2026)"},"properties":{"noteIndex":0},"schema":"https://github.com/citation-style-language/schema/raw/master/csl-citation.json"}</w:instrText>
      </w:r>
      <w:r w:rsidR="00253685">
        <w:rPr>
          <w:rFonts w:ascii="Cambria" w:hAnsi="Cambria"/>
          <w:sz w:val="22"/>
          <w:szCs w:val="22"/>
        </w:rPr>
        <w:fldChar w:fldCharType="separate"/>
      </w:r>
      <w:r w:rsidR="004441E6" w:rsidRPr="004441E6">
        <w:rPr>
          <w:rFonts w:ascii="Cambria" w:hAnsi="Cambria"/>
          <w:noProof/>
          <w:sz w:val="22"/>
          <w:szCs w:val="22"/>
        </w:rPr>
        <w:t>[4]</w:t>
      </w:r>
      <w:r w:rsidR="00253685">
        <w:rPr>
          <w:rFonts w:ascii="Cambria" w:hAnsi="Cambria"/>
          <w:sz w:val="22"/>
          <w:szCs w:val="22"/>
        </w:rPr>
        <w:fldChar w:fldCharType="end"/>
      </w:r>
      <w:r w:rsidRPr="00012498">
        <w:rPr>
          <w:rFonts w:ascii="Cambria" w:hAnsi="Cambria"/>
          <w:sz w:val="22"/>
          <w:szCs w:val="22"/>
        </w:rPr>
        <w:t xml:space="preserve">. This high demand drives continuous production activity that generates substantial quantities of liquid waste characterized by elevated organic loads, including dissolved proteins, suspended solids, and soybean residues, which are frequently discharged into waterways without adequate pretreatment </w:t>
      </w:r>
      <w:r w:rsidR="00253685">
        <w:rPr>
          <w:rFonts w:ascii="Cambria" w:hAnsi="Cambria"/>
          <w:sz w:val="22"/>
          <w:szCs w:val="22"/>
        </w:rPr>
        <w:fldChar w:fldCharType="begin" w:fldLock="1"/>
      </w:r>
      <w:r w:rsidR="004441E6">
        <w:rPr>
          <w:rFonts w:ascii="Cambria" w:hAnsi="Cambria"/>
          <w:sz w:val="22"/>
          <w:szCs w:val="22"/>
        </w:rPr>
        <w:instrText>ADDIN CSL_CITATION {"citationItems":[{"id":"ITEM-1","itemData":{"ISSN":"2722-4015","author":[{"dropping-particle":"","family":"Masayu","given":"Rosyidah","non-dropping-particle":"","parse-names":false,"suffix":""},{"dropping-particle":"","family":"Masruri","given":"Ansyori","non-dropping-particle":"","parse-names":false,"suffix":""},{"dropping-particle":"","family":"Putra","given":"Romyzar Arya","non-dropping-particle":"","parse-names":false,"suffix":""}],"container-title":"International Journal of Science, Technology &amp; Management","id":"ITEM-1","issue":"4","issued":{"date-parts":[["2020"]]},"page":"428-435","title":"Analysis Of Environmental Impact With The Life Cycle Assessment (LCA) Method On Tofu Production","type":"article-journal","volume":"1"},"uris":["http://www.mendeley.com/documents/?uuid=3d602caa-4075-466f-bfa0-f772dd4aeb38"]}],"mendeley":{"formattedCitation":"[5]","plainTextFormattedCitation":"[5]","previouslyFormattedCitation":"(Masayu et al., 2020)"},"properties":{"noteIndex":0},"schema":"https://github.com/citation-style-language/schema/raw/master/csl-citation.json"}</w:instrText>
      </w:r>
      <w:r w:rsidR="00253685">
        <w:rPr>
          <w:rFonts w:ascii="Cambria" w:hAnsi="Cambria"/>
          <w:sz w:val="22"/>
          <w:szCs w:val="22"/>
        </w:rPr>
        <w:fldChar w:fldCharType="separate"/>
      </w:r>
      <w:r w:rsidR="004441E6" w:rsidRPr="004441E6">
        <w:rPr>
          <w:rFonts w:ascii="Cambria" w:hAnsi="Cambria"/>
          <w:noProof/>
          <w:sz w:val="22"/>
          <w:szCs w:val="22"/>
        </w:rPr>
        <w:t>[5]</w:t>
      </w:r>
      <w:r w:rsidR="00253685">
        <w:rPr>
          <w:rFonts w:ascii="Cambria" w:hAnsi="Cambria"/>
          <w:sz w:val="22"/>
          <w:szCs w:val="22"/>
        </w:rPr>
        <w:fldChar w:fldCharType="end"/>
      </w:r>
      <w:r w:rsidRPr="00012498">
        <w:rPr>
          <w:rFonts w:ascii="Cambria" w:hAnsi="Cambria"/>
          <w:sz w:val="22"/>
          <w:szCs w:val="22"/>
        </w:rPr>
        <w:t>. Beyond liquid waste, firewood combustion for thermal energy during boiling generates greenhouse gas emissions and acidifying pollutants that further compound the environmental burden of this sector</w:t>
      </w:r>
      <w:r w:rsidR="00253685">
        <w:rPr>
          <w:rFonts w:ascii="Cambria" w:hAnsi="Cambria"/>
          <w:sz w:val="22"/>
          <w:szCs w:val="22"/>
        </w:rPr>
        <w:t xml:space="preserve"> </w:t>
      </w:r>
      <w:r w:rsidR="00253685">
        <w:rPr>
          <w:rFonts w:ascii="Cambria" w:hAnsi="Cambria"/>
          <w:sz w:val="22"/>
          <w:szCs w:val="22"/>
        </w:rPr>
        <w:fldChar w:fldCharType="begin" w:fldLock="1"/>
      </w:r>
      <w:r w:rsidR="004441E6">
        <w:rPr>
          <w:rFonts w:ascii="Cambria" w:hAnsi="Cambria"/>
          <w:sz w:val="22"/>
          <w:szCs w:val="22"/>
        </w:rPr>
        <w:instrText>ADDIN CSL_CITATION {"citationItems":[{"id":"ITEM-1","itemData":{"author":[{"dropping-particle":"","family":"Sjafruddin","given":"Rahmiah","non-dropping-particle":"","parse-names":false,"suffix":""},{"dropping-particle":"","family":"Agustang","given":"Andi","non-dropping-particle":"","parse-names":false,"suffix":""},{"dropping-particle":"","family":"Pertiwi","given":"Nurlita","non-dropping-particle":"","parse-names":false,"suffix":""}],"container-title":"Jurnal Ilmiah Mandala Education","id":"ITEM-1","issue":"2","issued":{"date-parts":[["2022"]]},"title":"Estimasi limbah industri tahu dan kajian penerapan sistem produksi bersih","type":"article-journal","volume":"8"},"uris":["http://www.mendeley.com/documents/?uuid=0696090c-f959-400a-a81b-956fdd8511ab"]}],"mendeley":{"formattedCitation":"[6]","plainTextFormattedCitation":"[6]","previouslyFormattedCitation":"(Sjafruddin et al., 2022)"},"properties":{"noteIndex":0},"schema":"https://github.com/citation-style-language/schema/raw/master/csl-citation.json"}</w:instrText>
      </w:r>
      <w:r w:rsidR="00253685">
        <w:rPr>
          <w:rFonts w:ascii="Cambria" w:hAnsi="Cambria"/>
          <w:sz w:val="22"/>
          <w:szCs w:val="22"/>
        </w:rPr>
        <w:fldChar w:fldCharType="separate"/>
      </w:r>
      <w:r w:rsidR="004441E6" w:rsidRPr="004441E6">
        <w:rPr>
          <w:rFonts w:ascii="Cambria" w:hAnsi="Cambria"/>
          <w:noProof/>
          <w:sz w:val="22"/>
          <w:szCs w:val="22"/>
        </w:rPr>
        <w:t>[6]</w:t>
      </w:r>
      <w:r w:rsidR="00253685">
        <w:rPr>
          <w:rFonts w:ascii="Cambria" w:hAnsi="Cambria"/>
          <w:sz w:val="22"/>
          <w:szCs w:val="22"/>
        </w:rPr>
        <w:fldChar w:fldCharType="end"/>
      </w:r>
      <w:r w:rsidRPr="00012498">
        <w:rPr>
          <w:rFonts w:ascii="Cambria" w:hAnsi="Cambria"/>
          <w:sz w:val="22"/>
          <w:szCs w:val="22"/>
        </w:rPr>
        <w:t xml:space="preserve">. Despite the breadth of these impacts, the environmental profile of tofu production has rarely been evaluated in a comprehensive, multi-category </w:t>
      </w:r>
      <w:r w:rsidRPr="00012498">
        <w:rPr>
          <w:rFonts w:ascii="Cambria" w:hAnsi="Cambria"/>
          <w:sz w:val="22"/>
          <w:szCs w:val="22"/>
        </w:rPr>
        <w:lastRenderedPageBreak/>
        <w:t>framework that simultaneously accounts for water quality, atmospheric emissions, and ecosystem toxicity across all stages of the production chain.</w:t>
      </w:r>
    </w:p>
    <w:p w14:paraId="2293A7B4" w14:textId="08038702"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 xml:space="preserve">Life Cycle Assessment (LCA) has been established as the most rigorous and internationally standardized methodology for quantifying environmental impacts across the full range of inputs and outputs associated with a defined production system </w:t>
      </w:r>
      <w:r w:rsidR="00644C93">
        <w:rPr>
          <w:rFonts w:ascii="Cambria" w:hAnsi="Cambria"/>
          <w:sz w:val="22"/>
          <w:szCs w:val="22"/>
        </w:rPr>
        <w:fldChar w:fldCharType="begin" w:fldLock="1"/>
      </w:r>
      <w:r w:rsidR="004441E6">
        <w:rPr>
          <w:rFonts w:ascii="Cambria" w:hAnsi="Cambria"/>
          <w:sz w:val="22"/>
          <w:szCs w:val="22"/>
        </w:rPr>
        <w:instrText>ADDIN CSL_CITATION {"citationItems":[{"id":"ITEM-1","itemData":{"DOI":"10.1016/j.resconrec.2022.106836","ISSN":"09213449 (ISSN)","author":[{"dropping-particle":"","family":"Kara","given":"S","non-dropping-particle":"","parse-names":false,"suffix":""},{"dropping-particle":"","family":"Herrmann","given":"C","non-dropping-particle":"","parse-names":false,"suffix":""},{"dropping-particle":"","family":"Hauschild","given":"M","non-dropping-particle":"","parse-names":false,"suffix":""}],"container-title":"Resources, Conservation and Recycling","id":"ITEM-1","issued":{"date-parts":[["2023"]]},"language":"English","note":"Export Date: 10 January 2024; Cited By: 5; Correspondence Address: S. Kara; Sustainability in Manufacturing &amp;amp; Life Cycle Engineering Research Group, School of Mechanical &amp;amp; Manufacturing Engineering, The University of New South Wales, Sydney, Australia; email: S.Kara@unsw.edu.au; CODEN: RCREE","publisher":"Elsevier B.V.","publisher-place":"Sustainability in Manufacturing &amp; Life Cycle Engineering Research Group, School of Mechanical &amp; Manufacturing Engineering, The University of New South Wales, Sydney, Australia","title":"Operationalization of life cycle engineering","type":"article-journal","volume":"190"},"uris":["http://www.mendeley.com/documents/?uuid=41cc2663-c836-4638-8da8-b2f9ec9b09cd"]}],"mendeley":{"formattedCitation":"[7]","plainTextFormattedCitation":"[7]","previouslyFormattedCitation":"(Kara et al., 2023)"},"properties":{"noteIndex":0},"schema":"https://github.com/citation-style-language/schema/raw/master/csl-citation.json"}</w:instrText>
      </w:r>
      <w:r w:rsidR="00644C93">
        <w:rPr>
          <w:rFonts w:ascii="Cambria" w:hAnsi="Cambria"/>
          <w:sz w:val="22"/>
          <w:szCs w:val="22"/>
        </w:rPr>
        <w:fldChar w:fldCharType="separate"/>
      </w:r>
      <w:r w:rsidR="004441E6" w:rsidRPr="004441E6">
        <w:rPr>
          <w:rFonts w:ascii="Cambria" w:hAnsi="Cambria"/>
          <w:noProof/>
          <w:sz w:val="22"/>
          <w:szCs w:val="22"/>
        </w:rPr>
        <w:t>[7]</w:t>
      </w:r>
      <w:r w:rsidR="00644C93">
        <w:rPr>
          <w:rFonts w:ascii="Cambria" w:hAnsi="Cambria"/>
          <w:sz w:val="22"/>
          <w:szCs w:val="22"/>
        </w:rPr>
        <w:fldChar w:fldCharType="end"/>
      </w:r>
      <w:r w:rsidRPr="00012498">
        <w:rPr>
          <w:rFonts w:ascii="Cambria" w:hAnsi="Cambria"/>
          <w:sz w:val="22"/>
          <w:szCs w:val="22"/>
        </w:rPr>
        <w:t xml:space="preserve">. Grounded in the ISO 14040 and ISO 14044 framework, LCA enables the systematic identification of environmental hotspots — specific production stages or flows that disproportionately drive overall impact — thereby providing an empirically defensible basis for targeted environmental improvement </w:t>
      </w:r>
      <w:r w:rsidR="00644C93">
        <w:rPr>
          <w:rFonts w:ascii="Cambria" w:hAnsi="Cambria"/>
          <w:sz w:val="22"/>
          <w:szCs w:val="22"/>
        </w:rPr>
        <w:fldChar w:fldCharType="begin" w:fldLock="1"/>
      </w:r>
      <w:r w:rsidR="004441E6">
        <w:rPr>
          <w:rFonts w:ascii="Cambria" w:hAnsi="Cambria"/>
          <w:sz w:val="22"/>
          <w:szCs w:val="22"/>
        </w:rPr>
        <w:instrText>ADDIN CSL_CITATION {"citationItems":[{"id":"ITEM-1","itemData":{"ISSN":"2755-094X","author":[{"dropping-particle":"","family":"Chitaka","given":"Takunda Y","non-dropping-particle":"","parse-names":false,"suffix":""},{"dropping-particle":"","family":"Goga","given":"Taahira","non-dropping-particle":"","parse-names":false,"suffix":""}],"container-title":"Cambridge Prisms: Plastics","id":"ITEM-1","issued":{"date-parts":[["2023"]]},"page":"e2","publisher":"Cambridge University Press","title":"The evolution of life cycle assessment in the food and beverage industry: A review","type":"article-journal","volume":"1"},"uris":["http://www.mendeley.com/documents/?uuid=fd7f1b02-9aad-42fd-9b5e-09e105af09ef"]}],"mendeley":{"formattedCitation":"[8]","plainTextFormattedCitation":"[8]","previouslyFormattedCitation":"(Chitaka and Goga, 2023)"},"properties":{"noteIndex":0},"schema":"https://github.com/citation-style-language/schema/raw/master/csl-citation.json"}</w:instrText>
      </w:r>
      <w:r w:rsidR="00644C93">
        <w:rPr>
          <w:rFonts w:ascii="Cambria" w:hAnsi="Cambria"/>
          <w:sz w:val="22"/>
          <w:szCs w:val="22"/>
        </w:rPr>
        <w:fldChar w:fldCharType="separate"/>
      </w:r>
      <w:r w:rsidR="004441E6" w:rsidRPr="004441E6">
        <w:rPr>
          <w:rFonts w:ascii="Cambria" w:hAnsi="Cambria"/>
          <w:noProof/>
          <w:sz w:val="22"/>
          <w:szCs w:val="22"/>
        </w:rPr>
        <w:t>[8]</w:t>
      </w:r>
      <w:r w:rsidR="00644C93">
        <w:rPr>
          <w:rFonts w:ascii="Cambria" w:hAnsi="Cambria"/>
          <w:sz w:val="22"/>
          <w:szCs w:val="22"/>
        </w:rPr>
        <w:fldChar w:fldCharType="end"/>
      </w:r>
      <w:r w:rsidRPr="00012498">
        <w:rPr>
          <w:rFonts w:ascii="Cambria" w:hAnsi="Cambria"/>
          <w:sz w:val="22"/>
          <w:szCs w:val="22"/>
        </w:rPr>
        <w:t>. The method has been increasingly applied to agri-food systems and SME contexts, where multi-category impact profiling has revealed complex environmental trade-offs that single-indicator approaches cannot capture</w:t>
      </w:r>
      <w:r w:rsidR="00644C93">
        <w:rPr>
          <w:rFonts w:ascii="Cambria" w:hAnsi="Cambria"/>
          <w:sz w:val="22"/>
          <w:szCs w:val="22"/>
        </w:rPr>
        <w:t xml:space="preserve"> </w:t>
      </w:r>
      <w:r w:rsidR="00644C93">
        <w:rPr>
          <w:rFonts w:ascii="Cambria" w:hAnsi="Cambria"/>
          <w:sz w:val="22"/>
          <w:szCs w:val="22"/>
        </w:rPr>
        <w:fldChar w:fldCharType="begin" w:fldLock="1"/>
      </w:r>
      <w:r w:rsidR="004441E6">
        <w:rPr>
          <w:rFonts w:ascii="Cambria" w:hAnsi="Cambria"/>
          <w:sz w:val="22"/>
          <w:szCs w:val="22"/>
        </w:rPr>
        <w:instrText>ADDIN CSL_CITATION {"citationItems":[{"id":"ITEM-1","itemData":{"ISSN":"2048-7177","author":[{"dropping-particle":"","family":"Parvathy","given":"S U","non-dropping-particle":"","parse-names":false,"suffix":""},{"dropping-particle":"","family":"Kolil","given":"Vysakh Kani","non-dropping-particle":"","parse-names":false,"suffix":""},{"dropping-particle":"","family":"Achuthan","given":"Krishnashree","non-dropping-particle":"","parse-names":false,"suffix":""}],"container-title":"Food Science &amp; Nutrition","id":"ITEM-1","issue":"7","issued":{"date-parts":[["2025"]]},"page":"e70573","publisher":"Wiley Online Library","title":"Assessing Environmental Hotspots and Sustainable Development Goal Alignment in Food Production in India","type":"article-journal","volume":"13"},"uris":["http://www.mendeley.com/documents/?uuid=7481a50d-1ab1-44ec-be6d-f4570c13f3b3"]},{"id":"ITEM-2","itemData":{"ISSN":"2775-2518","author":[{"dropping-particle":"","family":"Kholil","given":"Putri Alifa","non-dropping-particle":"","parse-names":false,"suffix":""},{"dropping-particle":"","family":"Jabbar","given":"Abdul","non-dropping-particle":"","parse-names":false,"suffix":""},{"dropping-particle":"","family":"Lantip","given":"Dhia Sasmita","non-dropping-particle":"","parse-names":false,"suffix":""},{"dropping-particle":"","family":"Darpawanto","given":"Nana Jedy","non-dropping-particle":"","parse-names":false,"suffix":""},{"dropping-particle":"","family":"Aribowo","given":"Litasari Aldila","non-dropping-particle":"","parse-names":false,"suffix":""}],"container-title":"Journal of Environmental and Science Education","id":"ITEM-2","issue":"1","issued":{"date-parts":[["2025"]]},"page":"63-72","title":"Analysis of Carbon Footprint and Water Footprint in Laundry MSMEs Business Using Life Cycle Assessment","type":"article-journal","volume":"5"},"uris":["http://www.mendeley.com/documents/?uuid=7675e803-bbab-42e3-9dac-3930165c5e03"]}],"mendeley":{"formattedCitation":"[9], [10]","plainTextFormattedCitation":"[9], [10]","previouslyFormattedCitation":"(Kholil et al., 2025; Parvathy et al., 2025)"},"properties":{"noteIndex":0},"schema":"https://github.com/citation-style-language/schema/raw/master/csl-citation.json"}</w:instrText>
      </w:r>
      <w:r w:rsidR="00644C93">
        <w:rPr>
          <w:rFonts w:ascii="Cambria" w:hAnsi="Cambria"/>
          <w:sz w:val="22"/>
          <w:szCs w:val="22"/>
        </w:rPr>
        <w:fldChar w:fldCharType="separate"/>
      </w:r>
      <w:r w:rsidR="004441E6" w:rsidRPr="004441E6">
        <w:rPr>
          <w:rFonts w:ascii="Cambria" w:hAnsi="Cambria"/>
          <w:noProof/>
          <w:sz w:val="22"/>
          <w:szCs w:val="22"/>
        </w:rPr>
        <w:t>[9], [10]</w:t>
      </w:r>
      <w:r w:rsidR="00644C93">
        <w:rPr>
          <w:rFonts w:ascii="Cambria" w:hAnsi="Cambria"/>
          <w:sz w:val="22"/>
          <w:szCs w:val="22"/>
        </w:rPr>
        <w:fldChar w:fldCharType="end"/>
      </w:r>
      <w:r w:rsidRPr="00012498">
        <w:rPr>
          <w:rFonts w:ascii="Cambria" w:hAnsi="Cambria"/>
          <w:sz w:val="22"/>
          <w:szCs w:val="22"/>
        </w:rPr>
        <w:t>.</w:t>
      </w:r>
    </w:p>
    <w:p w14:paraId="1595777D" w14:textId="62044497"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 xml:space="preserve">Several studies have applied LCA to evaluate the environmental performance of the tofu industry, with findings consistently identifying eutrophication, carbon footprint, and freshwater ecotoxicity as the categories of greatest concern </w:t>
      </w:r>
      <w:r w:rsidR="00AA6310">
        <w:rPr>
          <w:rFonts w:ascii="Cambria" w:hAnsi="Cambria"/>
          <w:sz w:val="22"/>
          <w:szCs w:val="22"/>
        </w:rPr>
        <w:fldChar w:fldCharType="begin" w:fldLock="1"/>
      </w:r>
      <w:r w:rsidR="004441E6">
        <w:rPr>
          <w:rFonts w:ascii="Cambria" w:hAnsi="Cambria"/>
          <w:sz w:val="22"/>
          <w:szCs w:val="22"/>
        </w:rPr>
        <w:instrText>ADDIN CSL_CITATION {"citationItems":[{"id":"ITEM-1","itemData":{"ISSN":"2755-094X","author":[{"dropping-particle":"","family":"Chitaka","given":"Takunda Y","non-dropping-particle":"","parse-names":false,"suffix":""},{"dropping-particle":"","family":"Goga","given":"Taahira","non-dropping-particle":"","parse-names":false,"suffix":""}],"container-title":"Cambridge Prisms: Plastics","id":"ITEM-1","issued":{"date-parts":[["2023"]]},"page":"e2","publisher":"Cambridge University Press","title":"The evolution of life cycle assessment in the food and beverage industry: A review","type":"article-journal","volume":"1"},"uris":["http://www.mendeley.com/documents/?uuid=fd7f1b02-9aad-42fd-9b5e-09e105af09ef"]}],"mendeley":{"formattedCitation":"[8]","plainTextFormattedCitation":"[8]","previouslyFormattedCitation":"(Chitaka and Goga, 2023)"},"properties":{"noteIndex":0},"schema":"https://github.com/citation-style-language/schema/raw/master/csl-citation.json"}</w:instrText>
      </w:r>
      <w:r w:rsidR="00AA6310">
        <w:rPr>
          <w:rFonts w:ascii="Cambria" w:hAnsi="Cambria"/>
          <w:sz w:val="22"/>
          <w:szCs w:val="22"/>
        </w:rPr>
        <w:fldChar w:fldCharType="separate"/>
      </w:r>
      <w:r w:rsidR="004441E6" w:rsidRPr="004441E6">
        <w:rPr>
          <w:rFonts w:ascii="Cambria" w:hAnsi="Cambria"/>
          <w:noProof/>
          <w:sz w:val="22"/>
          <w:szCs w:val="22"/>
        </w:rPr>
        <w:t>[8]</w:t>
      </w:r>
      <w:r w:rsidR="00AA6310">
        <w:rPr>
          <w:rFonts w:ascii="Cambria" w:hAnsi="Cambria"/>
          <w:sz w:val="22"/>
          <w:szCs w:val="22"/>
        </w:rPr>
        <w:fldChar w:fldCharType="end"/>
      </w:r>
      <w:r w:rsidRPr="00012498">
        <w:rPr>
          <w:rFonts w:ascii="Cambria" w:hAnsi="Cambria"/>
          <w:sz w:val="22"/>
          <w:szCs w:val="22"/>
        </w:rPr>
        <w:t xml:space="preserve">. A comparative study using the CML-IA Baseline method found that boiling — driven predominantly by firewood combustion — was the dominant contributor to greenhouse gas emissions across tofu production systems </w:t>
      </w:r>
      <w:r w:rsidR="00AA6310">
        <w:rPr>
          <w:rFonts w:ascii="Cambria" w:hAnsi="Cambria"/>
          <w:sz w:val="22"/>
          <w:szCs w:val="22"/>
        </w:rPr>
        <w:fldChar w:fldCharType="begin" w:fldLock="1"/>
      </w:r>
      <w:r w:rsidR="004441E6">
        <w:rPr>
          <w:rFonts w:ascii="Cambria" w:hAnsi="Cambria"/>
          <w:sz w:val="22"/>
          <w:szCs w:val="22"/>
        </w:rPr>
        <w:instrText>ADDIN CSL_CITATION {"citationItems":[{"id":"ITEM-1","itemData":{"ISSN":"2722-4015","author":[{"dropping-particle":"","family":"Masayu","given":"Rosyidah","non-dropping-particle":"","parse-names":false,"suffix":""},{"dropping-particle":"","family":"Masruri","given":"Ansyori","non-dropping-particle":"","parse-names":false,"suffix":""},{"dropping-particle":"","family":"Putra","given":"Romyzar Arya","non-dropping-particle":"","parse-names":false,"suffix":""}],"container-title":"International Journal of Science, Technology &amp; Management","id":"ITEM-1","issue":"4","issued":{"date-parts":[["2020"]]},"page":"428-435","title":"Analysis Of Environmental Impact With The Life Cycle Assessment (LCA) Method On Tofu Production","type":"article-journal","volume":"1"},"uris":["http://www.mendeley.com/documents/?uuid=3d602caa-4075-466f-bfa0-f772dd4aeb38"]}],"mendeley":{"formattedCitation":"[5]","plainTextFormattedCitation":"[5]","previouslyFormattedCitation":"(Masayu et al., 2020)"},"properties":{"noteIndex":0},"schema":"https://github.com/citation-style-language/schema/raw/master/csl-citation.json"}</w:instrText>
      </w:r>
      <w:r w:rsidR="00AA6310">
        <w:rPr>
          <w:rFonts w:ascii="Cambria" w:hAnsi="Cambria"/>
          <w:sz w:val="22"/>
          <w:szCs w:val="22"/>
        </w:rPr>
        <w:fldChar w:fldCharType="separate"/>
      </w:r>
      <w:r w:rsidR="004441E6" w:rsidRPr="004441E6">
        <w:rPr>
          <w:rFonts w:ascii="Cambria" w:hAnsi="Cambria"/>
          <w:noProof/>
          <w:sz w:val="22"/>
          <w:szCs w:val="22"/>
        </w:rPr>
        <w:t>[5]</w:t>
      </w:r>
      <w:r w:rsidR="00AA6310">
        <w:rPr>
          <w:rFonts w:ascii="Cambria" w:hAnsi="Cambria"/>
          <w:sz w:val="22"/>
          <w:szCs w:val="22"/>
        </w:rPr>
        <w:fldChar w:fldCharType="end"/>
      </w:r>
      <w:r w:rsidRPr="00012498">
        <w:rPr>
          <w:rFonts w:ascii="Cambria" w:hAnsi="Cambria"/>
          <w:sz w:val="22"/>
          <w:szCs w:val="22"/>
        </w:rPr>
        <w:t xml:space="preserve">. A subsequent life cycle cost and LCA study conducted in Central Java similarly identified freshwater ecotoxicity and eutrophication as the most significant impact categories, and demonstrated that waste recycling scenarios could substantially improve eco-efficiency </w:t>
      </w:r>
      <w:r w:rsidR="00AA6310">
        <w:rPr>
          <w:rFonts w:ascii="Cambria" w:hAnsi="Cambria"/>
          <w:sz w:val="22"/>
          <w:szCs w:val="22"/>
        </w:rPr>
        <w:fldChar w:fldCharType="begin" w:fldLock="1"/>
      </w:r>
      <w:r w:rsidR="004441E6">
        <w:rPr>
          <w:rFonts w:ascii="Cambria" w:hAnsi="Cambria"/>
          <w:sz w:val="22"/>
          <w:szCs w:val="22"/>
        </w:rPr>
        <w:instrText>ADDIN CSL_CITATION {"citationItems":[{"id":"ITEM-1","itemData":{"ISSN":"2383-3572","author":[{"dropping-particle":"","family":"Hartini","given":"S","non-dropping-particle":"","parse-names":false,"suffix":""},{"dropping-particle":"","family":"Fatliana","given":"A N","non-dropping-particle":"","parse-names":false,"suffix":""},{"dropping-particle":"","family":"Handayani","given":"N U","non-dropping-particle":"","parse-names":false,"suffix":""},{"dropping-particle":"","family":"Wicaksono","given":"P A","non-dropping-particle":"","parse-names":false,"suffix":""},{"dropping-particle":"","family":"Ramadan","given":"B S","non-dropping-particle":"","parse-names":false,"suffix":""},{"dropping-particle":"","family":"Matsumoto","given":"T","non-dropping-particle":"","parse-names":false,"suffix":""}],"container-title":"Global Journal of Environmental Science &amp; Management (GJESM)","id":"ITEM-1","issue":"2","issued":{"date-parts":[["2024"]]},"page":"487","title":"Life cycle assessment and life cycle cost of tofu production and its extended recycling scenario.","type":"article-journal","volume":"10"},"uris":["http://www.mendeley.com/documents/?uuid=435e3b18-b974-486b-89b3-c2735abd7073"]}],"mendeley":{"formattedCitation":"[11]","plainTextFormattedCitation":"[11]","previouslyFormattedCitation":"(Hartini et al., 2024)"},"properties":{"noteIndex":0},"schema":"https://github.com/citation-style-language/schema/raw/master/csl-citation.json"}</w:instrText>
      </w:r>
      <w:r w:rsidR="00AA6310">
        <w:rPr>
          <w:rFonts w:ascii="Cambria" w:hAnsi="Cambria"/>
          <w:sz w:val="22"/>
          <w:szCs w:val="22"/>
        </w:rPr>
        <w:fldChar w:fldCharType="separate"/>
      </w:r>
      <w:r w:rsidR="004441E6" w:rsidRPr="004441E6">
        <w:rPr>
          <w:rFonts w:ascii="Cambria" w:hAnsi="Cambria"/>
          <w:noProof/>
          <w:sz w:val="22"/>
          <w:szCs w:val="22"/>
        </w:rPr>
        <w:t>[11]</w:t>
      </w:r>
      <w:r w:rsidR="00AA6310">
        <w:rPr>
          <w:rFonts w:ascii="Cambria" w:hAnsi="Cambria"/>
          <w:sz w:val="22"/>
          <w:szCs w:val="22"/>
        </w:rPr>
        <w:fldChar w:fldCharType="end"/>
      </w:r>
      <w:r w:rsidRPr="00012498">
        <w:rPr>
          <w:rFonts w:ascii="Cambria" w:hAnsi="Cambria"/>
          <w:sz w:val="22"/>
          <w:szCs w:val="22"/>
        </w:rPr>
        <w:t>. However, these studies were conducted predominantly using cradle-to-gate or cradle-to-grave boundaries and focused primarily on greenhouse gas emissions or single-site energy efficiency comparisons; none have simultaneously applied the CML-IA Baseline method in conjunction with the AWARE water scarcity method to quantify multi-category impacts — including freshwater aquatic ecotoxicity, ozone depletion, and acidification — across all individual stages of tofu production at the SME scale in an urban Indonesian setting. Moreover, no prior study has systematically examined the contribution of the washing stage, a process involving the largest volumetric water inputs, to freshwater ecotoxicity within the gate-to-gate boundary. This gap is particularly consequential given that the proximity of urban tofu enterprises to riverine systems amplifies the ecological significance of process-level liquid waste characterization. Accordingly, the present study aims to quantify and analyze the environmental impacts of small-scale tofu production in Semarang City, Indonesia, using a gate-to-gate LCA approach with SimaPro 10.3 and the CML-IA Baseline impact method, supplemented by the AWARE method for water scarcity assessment, in order to identify the dominant environmental hotspot and formulate evidence-based mitigation strategies for sustainable production improvement.</w:t>
      </w:r>
    </w:p>
    <w:p w14:paraId="52E9FC0A" w14:textId="77777777" w:rsidR="004441E6" w:rsidRDefault="004441E6" w:rsidP="009E5C01">
      <w:pPr>
        <w:spacing w:after="0" w:line="240" w:lineRule="auto"/>
        <w:jc w:val="both"/>
        <w:rPr>
          <w:rFonts w:ascii="Cambria" w:hAnsi="Cambria"/>
          <w:b/>
          <w:bCs/>
          <w:sz w:val="22"/>
          <w:szCs w:val="22"/>
        </w:rPr>
      </w:pPr>
    </w:p>
    <w:p w14:paraId="6BA5BD4A" w14:textId="7359B10C" w:rsidR="00012498" w:rsidRPr="00012498" w:rsidRDefault="00012498" w:rsidP="009E5C01">
      <w:pPr>
        <w:spacing w:after="0" w:line="240" w:lineRule="auto"/>
        <w:jc w:val="both"/>
        <w:rPr>
          <w:rFonts w:ascii="Cambria" w:hAnsi="Cambria"/>
          <w:b/>
          <w:bCs/>
          <w:sz w:val="22"/>
          <w:szCs w:val="22"/>
        </w:rPr>
      </w:pPr>
      <w:r w:rsidRPr="00012498">
        <w:rPr>
          <w:rFonts w:ascii="Cambria" w:hAnsi="Cambria"/>
          <w:b/>
          <w:bCs/>
          <w:sz w:val="22"/>
          <w:szCs w:val="22"/>
        </w:rPr>
        <w:t>2. Methodology</w:t>
      </w:r>
    </w:p>
    <w:p w14:paraId="505BA9D5" w14:textId="07704B1D"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 xml:space="preserve">This study employed a quantitative descriptive research design incorporating the Life Cycle Assessment (LCA) methodology to systematically evaluate the environmental impacts arising from tofu production at a small and medium-sized enterprise (SME) in Semarang City, Indonesia. The LCA was conducted in strict accordance with the four-phase framework stipulated in SNI ISO 14040:2016, encompassing: (1) goal and scope definition, (2) inventory analysis, (3) impact assessment, and (4) interpretation </w:t>
      </w:r>
      <w:r w:rsidR="00AA6310">
        <w:rPr>
          <w:rFonts w:ascii="Cambria" w:hAnsi="Cambria"/>
          <w:sz w:val="22"/>
          <w:szCs w:val="22"/>
        </w:rPr>
        <w:fldChar w:fldCharType="begin" w:fldLock="1"/>
      </w:r>
      <w:r w:rsidR="004441E6">
        <w:rPr>
          <w:rFonts w:ascii="Cambria" w:hAnsi="Cambria"/>
          <w:sz w:val="22"/>
          <w:szCs w:val="22"/>
        </w:rPr>
        <w:instrText>ADDIN CSL_CITATION {"citationItems":[{"id":"ITEM-1","itemData":{"DOI":"10.1016/j.resconrec.2022.106836","ISSN":"09213449 (ISSN)","author":[{"dropping-particle":"","family":"Kara","given":"S","non-dropping-particle":"","parse-names":false,"suffix":""},{"dropping-particle":"","family":"Herrmann","given":"C","non-dropping-particle":"","parse-names":false,"suffix":""},{"dropping-particle":"","family":"Hauschild","given":"M","non-dropping-particle":"","parse-names":false,"suffix":""}],"container-title":"Resources, Conservation and Recycling","id":"ITEM-1","issued":{"date-parts":[["2023"]]},"language":"English","note":"Export Date: 10 January 2024; Cited By: 5; Correspondence Address: S. Kara; Sustainability in Manufacturing &amp;amp; Life Cycle Engineering Research Group, School of Mechanical &amp;amp; Manufacturing Engineering, The University of New South Wales, Sydney, Australia; email: S.Kara@unsw.edu.au; CODEN: RCREE","publisher":"Elsevier B.V.","publisher-place":"Sustainability in Manufacturing &amp; Life Cycle Engineering Research Group, School of Mechanical &amp; Manufacturing Engineering, The University of New South Wales, Sydney, Australia","title":"Operationalization of life cycle engineering","type":"article-journal","volume":"190"},"uris":["http://www.mendeley.com/documents/?uuid=41cc2663-c836-4638-8da8-b2f9ec9b09cd"]}],"mendeley":{"formattedCitation":"[7]","plainTextFormattedCitation":"[7]","previouslyFormattedCitation":"(Kara et al., 2023)"},"properties":{"noteIndex":0},"schema":"https://github.com/citation-style-language/schema/raw/master/csl-citation.json"}</w:instrText>
      </w:r>
      <w:r w:rsidR="00AA6310">
        <w:rPr>
          <w:rFonts w:ascii="Cambria" w:hAnsi="Cambria"/>
          <w:sz w:val="22"/>
          <w:szCs w:val="22"/>
        </w:rPr>
        <w:fldChar w:fldCharType="separate"/>
      </w:r>
      <w:r w:rsidR="004441E6" w:rsidRPr="004441E6">
        <w:rPr>
          <w:rFonts w:ascii="Cambria" w:hAnsi="Cambria"/>
          <w:noProof/>
          <w:sz w:val="22"/>
          <w:szCs w:val="22"/>
        </w:rPr>
        <w:t>[7]</w:t>
      </w:r>
      <w:r w:rsidR="00AA6310">
        <w:rPr>
          <w:rFonts w:ascii="Cambria" w:hAnsi="Cambria"/>
          <w:sz w:val="22"/>
          <w:szCs w:val="22"/>
        </w:rPr>
        <w:fldChar w:fldCharType="end"/>
      </w:r>
      <w:r w:rsidRPr="00012498">
        <w:rPr>
          <w:rFonts w:ascii="Cambria" w:hAnsi="Cambria"/>
          <w:sz w:val="22"/>
          <w:szCs w:val="22"/>
        </w:rPr>
        <w:t xml:space="preserve">. This internationally recognized framework ensures methodological consistency, reproducibility, and comparability with existing LCA studies in the food processing sector </w:t>
      </w:r>
      <w:r w:rsidR="00AA6310">
        <w:rPr>
          <w:rFonts w:ascii="Cambria" w:hAnsi="Cambria"/>
          <w:sz w:val="22"/>
          <w:szCs w:val="22"/>
        </w:rPr>
        <w:fldChar w:fldCharType="begin" w:fldLock="1"/>
      </w:r>
      <w:r w:rsidR="004441E6">
        <w:rPr>
          <w:rFonts w:ascii="Cambria" w:hAnsi="Cambria"/>
          <w:sz w:val="22"/>
          <w:szCs w:val="22"/>
        </w:rPr>
        <w:instrText>ADDIN CSL_CITATION {"citationItems":[{"id":"ITEM-1","itemData":{"ISSN":"2755-094X","author":[{"dropping-particle":"","family":"Chitaka","given":"Takunda Y","non-dropping-particle":"","parse-names":false,"suffix":""},{"dropping-particle":"","family":"Goga","given":"Taahira","non-dropping-particle":"","parse-names":false,"suffix":""}],"container-title":"Cambridge Prisms: Plastics","id":"ITEM-1","issued":{"date-parts":[["2023"]]},"page":"e2","publisher":"Cambridge University Press","title":"The evolution of life cycle assessment in the food and beverage industry: A review","type":"article-journal","volume":"1"},"uris":["http://www.mendeley.com/documents/?uuid=fd7f1b02-9aad-42fd-9b5e-09e105af09ef"]}],"mendeley":{"formattedCitation":"[8]","plainTextFormattedCitation":"[8]","previouslyFormattedCitation":"(Chitaka and Goga, 2023)"},"properties":{"noteIndex":0},"schema":"https://github.com/citation-style-language/schema/raw/master/csl-citation.json"}</w:instrText>
      </w:r>
      <w:r w:rsidR="00AA6310">
        <w:rPr>
          <w:rFonts w:ascii="Cambria" w:hAnsi="Cambria"/>
          <w:sz w:val="22"/>
          <w:szCs w:val="22"/>
        </w:rPr>
        <w:fldChar w:fldCharType="separate"/>
      </w:r>
      <w:r w:rsidR="004441E6" w:rsidRPr="004441E6">
        <w:rPr>
          <w:rFonts w:ascii="Cambria" w:hAnsi="Cambria"/>
          <w:noProof/>
          <w:sz w:val="22"/>
          <w:szCs w:val="22"/>
        </w:rPr>
        <w:t>[8]</w:t>
      </w:r>
      <w:r w:rsidR="00AA6310">
        <w:rPr>
          <w:rFonts w:ascii="Cambria" w:hAnsi="Cambria"/>
          <w:sz w:val="22"/>
          <w:szCs w:val="22"/>
        </w:rPr>
        <w:fldChar w:fldCharType="end"/>
      </w:r>
      <w:r w:rsidRPr="00012498">
        <w:rPr>
          <w:rFonts w:ascii="Cambria" w:hAnsi="Cambria"/>
          <w:sz w:val="22"/>
          <w:szCs w:val="22"/>
        </w:rPr>
        <w:t xml:space="preserve">. Primary data were collected through structured field observations, direct interviews with production operators, and systematic documentation of material and energy flows at each stage of the production process. The data collected encompass soybean consumption, water and energy use, fuel consumption, main product output volumes, as well as liquid waste, solid waste, and emission quantities generated at each stage. Secondary data were sourced from peer-reviewed scientific literature and supporting technical documents relevant to the environmental impact analysis of the tofu industry, and were used to complement primary inventory data where direct measurement was not feasible </w:t>
      </w:r>
      <w:r w:rsidR="00DE321A">
        <w:rPr>
          <w:rFonts w:ascii="Cambria" w:hAnsi="Cambria"/>
          <w:sz w:val="22"/>
          <w:szCs w:val="22"/>
        </w:rPr>
        <w:fldChar w:fldCharType="begin" w:fldLock="1"/>
      </w:r>
      <w:r w:rsidR="004441E6">
        <w:rPr>
          <w:rFonts w:ascii="Cambria" w:hAnsi="Cambria"/>
          <w:sz w:val="22"/>
          <w:szCs w:val="22"/>
        </w:rPr>
        <w:instrText>ADDIN CSL_CITATION {"citationItems":[{"id":"ITEM-1","itemData":{"ISSN":"0959-6526","author":[{"dropping-particle":"","family":"Saavedra-Rubio","given":"Karen","non-dropping-particle":"","parse-names":false,"suffix":""},{"dropping-particle":"","family":"Thonemann","given":"Nils","non-dropping-particle":"","parse-names":false,"suffix":""},{"dropping-particle":"","family":"Crenna","given":"Eleonora","non-dropping-particle":"","parse-names":false,"suffix":""},{"dropping-particle":"","family":"Lemoine","given":"Bruno","non-dropping-particle":"","parse-names":false,"suffix":""},{"dropping-particle":"","family":"Caliandro","given":"Priscillia","non-dropping-particle":"","parse-names":false,"suffix":""},{"dropping-particle":"","family":"Laurent","given":"Alexis","non-dropping-particle":"","parse-names":false,"suffix":""}],"container-title":"Journal of Cleaner Production","id":"ITEM-1","issued":{"date-parts":[["2022"]]},"page":"132903","publisher":"Elsevier","title":"Stepwise guidance for data collection in the life cycle inventory (LCI) phase: Building technology-related LCI blocks","type":"article-journal","volume":"366"},"uris":["http://www.mendeley.com/documents/?uuid=b0463b54-cd19-48ad-b374-719ce140bfb7"]}],"mendeley":{"formattedCitation":"[12]","plainTextFormattedCitation":"[12]","previouslyFormattedCitation":"(Saavedra-Rubio et al., 2022)"},"properties":{"noteIndex":0},"schema":"https://github.com/citation-style-language/schema/raw/master/csl-citation.json"}</w:instrText>
      </w:r>
      <w:r w:rsidR="00DE321A">
        <w:rPr>
          <w:rFonts w:ascii="Cambria" w:hAnsi="Cambria"/>
          <w:sz w:val="22"/>
          <w:szCs w:val="22"/>
        </w:rPr>
        <w:fldChar w:fldCharType="separate"/>
      </w:r>
      <w:r w:rsidR="004441E6" w:rsidRPr="004441E6">
        <w:rPr>
          <w:rFonts w:ascii="Cambria" w:hAnsi="Cambria"/>
          <w:noProof/>
          <w:sz w:val="22"/>
          <w:szCs w:val="22"/>
        </w:rPr>
        <w:t>[12]</w:t>
      </w:r>
      <w:r w:rsidR="00DE321A">
        <w:rPr>
          <w:rFonts w:ascii="Cambria" w:hAnsi="Cambria"/>
          <w:sz w:val="22"/>
          <w:szCs w:val="22"/>
        </w:rPr>
        <w:fldChar w:fldCharType="end"/>
      </w:r>
      <w:r w:rsidRPr="00012498">
        <w:rPr>
          <w:rFonts w:ascii="Cambria" w:hAnsi="Cambria"/>
          <w:sz w:val="22"/>
          <w:szCs w:val="22"/>
        </w:rPr>
        <w:t>.</w:t>
      </w:r>
    </w:p>
    <w:p w14:paraId="678F2439" w14:textId="77777777" w:rsidR="00012498" w:rsidRPr="00012498" w:rsidRDefault="00012498" w:rsidP="009E5C01">
      <w:pPr>
        <w:spacing w:after="0" w:line="240" w:lineRule="auto"/>
        <w:jc w:val="both"/>
        <w:rPr>
          <w:rFonts w:ascii="Cambria" w:hAnsi="Cambria"/>
          <w:b/>
          <w:bCs/>
          <w:sz w:val="22"/>
          <w:szCs w:val="22"/>
        </w:rPr>
      </w:pPr>
      <w:r w:rsidRPr="00012498">
        <w:rPr>
          <w:rFonts w:ascii="Cambria" w:hAnsi="Cambria"/>
          <w:b/>
          <w:bCs/>
          <w:sz w:val="22"/>
          <w:szCs w:val="22"/>
        </w:rPr>
        <w:t>2.1 Goal and Scope Definition</w:t>
      </w:r>
    </w:p>
    <w:p w14:paraId="796D825C" w14:textId="6C3941D6"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 xml:space="preserve">The goal and scope definition phase constitutes the foundational step of any LCA study, in which the research objectives are established and the system boundaries are explicitly delineated to </w:t>
      </w:r>
      <w:r w:rsidRPr="00012498">
        <w:rPr>
          <w:rFonts w:ascii="Cambria" w:hAnsi="Cambria"/>
          <w:sz w:val="22"/>
          <w:szCs w:val="22"/>
        </w:rPr>
        <w:lastRenderedPageBreak/>
        <w:t xml:space="preserve">ensure analytical clarity and reproducibility </w:t>
      </w:r>
      <w:r w:rsidR="00DE321A">
        <w:rPr>
          <w:rFonts w:ascii="Cambria" w:hAnsi="Cambria"/>
          <w:sz w:val="22"/>
          <w:szCs w:val="22"/>
        </w:rPr>
        <w:fldChar w:fldCharType="begin" w:fldLock="1"/>
      </w:r>
      <w:r w:rsidR="004441E6">
        <w:rPr>
          <w:rFonts w:ascii="Cambria" w:hAnsi="Cambria"/>
          <w:sz w:val="22"/>
          <w:szCs w:val="22"/>
        </w:rPr>
        <w:instrText>ADDIN CSL_CITATION {"citationItems":[{"id":"ITEM-1","itemData":{"ISSN":"2071-1050","author":[{"dropping-particle":"","family":"Bjørnbet","given":"Marit Moe","non-dropping-particle":"","parse-names":false,"suffix":""},{"dropping-particle":"","family":"Vildåsen","given":"Sigurd Sagen","non-dropping-particle":"","parse-names":false,"suffix":""}],"container-title":"Sustainability","id":"ITEM-1","issue":"19","issued":{"date-parts":[["2021"]]},"page":"11014","publisher":"MDPI","title":"Life cycle assessment to ensure sustainability of circular business models in manufacturing","type":"article-journal","volume":"13"},"uris":["http://www.mendeley.com/documents/?uuid=cf016f55-5273-4865-bf1c-569689a8c8b6"]}],"mendeley":{"formattedCitation":"[13]","plainTextFormattedCitation":"[13]","previouslyFormattedCitation":"(Bjørnbet and Vildåsen, 2021)"},"properties":{"noteIndex":0},"schema":"https://github.com/citation-style-language/schema/raw/master/csl-citation.json"}</w:instrText>
      </w:r>
      <w:r w:rsidR="00DE321A">
        <w:rPr>
          <w:rFonts w:ascii="Cambria" w:hAnsi="Cambria"/>
          <w:sz w:val="22"/>
          <w:szCs w:val="22"/>
        </w:rPr>
        <w:fldChar w:fldCharType="separate"/>
      </w:r>
      <w:r w:rsidR="004441E6" w:rsidRPr="004441E6">
        <w:rPr>
          <w:rFonts w:ascii="Cambria" w:hAnsi="Cambria"/>
          <w:noProof/>
          <w:sz w:val="22"/>
          <w:szCs w:val="22"/>
        </w:rPr>
        <w:t>[13]</w:t>
      </w:r>
      <w:r w:rsidR="00DE321A">
        <w:rPr>
          <w:rFonts w:ascii="Cambria" w:hAnsi="Cambria"/>
          <w:sz w:val="22"/>
          <w:szCs w:val="22"/>
        </w:rPr>
        <w:fldChar w:fldCharType="end"/>
      </w:r>
      <w:r w:rsidRPr="00012498">
        <w:rPr>
          <w:rFonts w:ascii="Cambria" w:hAnsi="Cambria"/>
          <w:sz w:val="22"/>
          <w:szCs w:val="22"/>
        </w:rPr>
        <w:t xml:space="preserve">. The primary objective of this study is to quantify the environmental impacts of tofu production with particular emphasis on water use, energy consumption, and waste generation at each discrete production stage. Each stage is analyzed with respect to its inputs — including raw materials, water, and energy — and its outputs, comprising intermediate and final products as well as generated waste streams. The system boundary adopted in this study is a gate-to-gate approach, which encompasses all stages of the tofu production process from soybean washing through soaking, grinding, boiling, filtration, coagulation, and molding and packaging, as illustrated in Figure 1. This boundary was selected to focus the analysis on the direct environmental burdens generated within the production facility itself, consistent with the scope of available primary data and aligned with the analytical objectives of identifying production-stage-level environmental hotspots </w:t>
      </w:r>
      <w:r w:rsidR="00DE321A">
        <w:rPr>
          <w:rFonts w:ascii="Cambria" w:hAnsi="Cambria"/>
          <w:sz w:val="22"/>
          <w:szCs w:val="22"/>
        </w:rPr>
        <w:fldChar w:fldCharType="begin" w:fldLock="1"/>
      </w:r>
      <w:r w:rsidR="004441E6">
        <w:rPr>
          <w:rFonts w:ascii="Cambria" w:hAnsi="Cambria"/>
          <w:sz w:val="22"/>
          <w:szCs w:val="22"/>
        </w:rPr>
        <w:instrText>ADDIN CSL_CITATION {"citationItems":[{"id":"ITEM-1","itemData":{"ISSN":"2722-4015","author":[{"dropping-particle":"","family":"Masayu","given":"Rosyidah","non-dropping-particle":"","parse-names":false,"suffix":""},{"dropping-particle":"","family":"Masruri","given":"Ansyori","non-dropping-particle":"","parse-names":false,"suffix":""},{"dropping-particle":"","family":"Putra","given":"Romyzar Arya","non-dropping-particle":"","parse-names":false,"suffix":""}],"container-title":"International Journal of Science, Technology &amp; Management","id":"ITEM-1","issue":"4","issued":{"date-parts":[["2020"]]},"page":"428-435","title":"Analysis Of Environmental Impact With The Life Cycle Assessment (LCA) Method On Tofu Production","type":"article-journal","volume":"1"},"uris":["http://www.mendeley.com/documents/?uuid=3d602caa-4075-466f-bfa0-f772dd4aeb38"]}],"mendeley":{"formattedCitation":"[5]","plainTextFormattedCitation":"[5]","previouslyFormattedCitation":"(Masayu et al., 2020)"},"properties":{"noteIndex":0},"schema":"https://github.com/citation-style-language/schema/raw/master/csl-citation.json"}</w:instrText>
      </w:r>
      <w:r w:rsidR="00DE321A">
        <w:rPr>
          <w:rFonts w:ascii="Cambria" w:hAnsi="Cambria"/>
          <w:sz w:val="22"/>
          <w:szCs w:val="22"/>
        </w:rPr>
        <w:fldChar w:fldCharType="separate"/>
      </w:r>
      <w:r w:rsidR="004441E6" w:rsidRPr="004441E6">
        <w:rPr>
          <w:rFonts w:ascii="Cambria" w:hAnsi="Cambria"/>
          <w:noProof/>
          <w:sz w:val="22"/>
          <w:szCs w:val="22"/>
        </w:rPr>
        <w:t>[5]</w:t>
      </w:r>
      <w:r w:rsidR="00DE321A">
        <w:rPr>
          <w:rFonts w:ascii="Cambria" w:hAnsi="Cambria"/>
          <w:sz w:val="22"/>
          <w:szCs w:val="22"/>
        </w:rPr>
        <w:fldChar w:fldCharType="end"/>
      </w:r>
      <w:r w:rsidRPr="00012498">
        <w:rPr>
          <w:rFonts w:ascii="Cambria" w:hAnsi="Cambria"/>
          <w:sz w:val="22"/>
          <w:szCs w:val="22"/>
        </w:rPr>
        <w:t xml:space="preserve">. Upstream processes such as soybean cultivation, transportation to the factory, and downstream distribution or product disposal are excluded from the system boundary, in accordance with the gate-to-gate convention applied in comparable LCA studies of food processing SMEs in Indonesia </w:t>
      </w:r>
      <w:r w:rsidR="00DE321A">
        <w:rPr>
          <w:rFonts w:ascii="Cambria" w:hAnsi="Cambria"/>
          <w:sz w:val="22"/>
          <w:szCs w:val="22"/>
        </w:rPr>
        <w:fldChar w:fldCharType="begin" w:fldLock="1"/>
      </w:r>
      <w:r w:rsidR="004441E6">
        <w:rPr>
          <w:rFonts w:ascii="Cambria" w:hAnsi="Cambria"/>
          <w:sz w:val="22"/>
          <w:szCs w:val="22"/>
        </w:rPr>
        <w:instrText>ADDIN CSL_CITATION {"citationItems":[{"id":"ITEM-1","itemData":{"ISBN":"1755-1307","author":[{"dropping-particle":"","family":"Sari","given":"I P","non-dropping-particle":"","parse-names":false,"suffix":""},{"dropping-particle":"","family":"Kuniawan","given":"W","non-dropping-particle":"","parse-names":false,"suffix":""},{"dropping-particle":"","family":"Sia","given":"F L","non-dropping-particle":"","parse-names":false,"suffix":""}],"container-title":"IOP Conference Series: Earth and Environmental Science","id":"ITEM-1","issue":"1","issued":{"date-parts":[["2021"]]},"page":"12050","publisher":"IOP Publishing","title":"Environmental impact of tofu production in West Jakarta using a life cycle assessment approach","type":"paper-conference","volume":"896"},"uris":["http://www.mendeley.com/documents/?uuid=4b9d7ec6-8668-40f8-ac3f-77a68e50bbe3"]}],"mendeley":{"formattedCitation":"[14]","plainTextFormattedCitation":"[14]","previouslyFormattedCitation":"(Sari et al., 2021)"},"properties":{"noteIndex":0},"schema":"https://github.com/citation-style-language/schema/raw/master/csl-citation.json"}</w:instrText>
      </w:r>
      <w:r w:rsidR="00DE321A">
        <w:rPr>
          <w:rFonts w:ascii="Cambria" w:hAnsi="Cambria"/>
          <w:sz w:val="22"/>
          <w:szCs w:val="22"/>
        </w:rPr>
        <w:fldChar w:fldCharType="separate"/>
      </w:r>
      <w:r w:rsidR="004441E6" w:rsidRPr="004441E6">
        <w:rPr>
          <w:rFonts w:ascii="Cambria" w:hAnsi="Cambria"/>
          <w:noProof/>
          <w:sz w:val="22"/>
          <w:szCs w:val="22"/>
        </w:rPr>
        <w:t>[14]</w:t>
      </w:r>
      <w:r w:rsidR="00DE321A">
        <w:rPr>
          <w:rFonts w:ascii="Cambria" w:hAnsi="Cambria"/>
          <w:sz w:val="22"/>
          <w:szCs w:val="22"/>
        </w:rPr>
        <w:fldChar w:fldCharType="end"/>
      </w:r>
      <w:r w:rsidR="00DE321A">
        <w:rPr>
          <w:rFonts w:ascii="Cambria" w:hAnsi="Cambria"/>
          <w:sz w:val="22"/>
          <w:szCs w:val="22"/>
        </w:rPr>
        <w:t>.</w:t>
      </w:r>
    </w:p>
    <w:p w14:paraId="25A5FA4D" w14:textId="6B802759" w:rsidR="00012498" w:rsidRPr="00012498" w:rsidRDefault="00012498" w:rsidP="009E5C01">
      <w:pPr>
        <w:spacing w:after="0" w:line="240" w:lineRule="auto"/>
        <w:jc w:val="both"/>
        <w:rPr>
          <w:rFonts w:ascii="Cambria" w:hAnsi="Cambria"/>
          <w:b/>
          <w:bCs/>
          <w:sz w:val="22"/>
          <w:szCs w:val="22"/>
        </w:rPr>
      </w:pPr>
      <w:r w:rsidRPr="00012498">
        <w:rPr>
          <w:rFonts w:ascii="Cambria" w:hAnsi="Cambria"/>
          <w:noProof/>
          <w:sz w:val="22"/>
          <w:szCs w:val="22"/>
        </w:rPr>
        <w:drawing>
          <wp:inline distT="0" distB="0" distL="0" distR="0" wp14:anchorId="2E727732" wp14:editId="7853885C">
            <wp:extent cx="5272818" cy="1667670"/>
            <wp:effectExtent l="0" t="0" r="444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44" t="24919" r="1320" b="16563"/>
                    <a:stretch/>
                  </pic:blipFill>
                  <pic:spPr bwMode="auto">
                    <a:xfrm>
                      <a:off x="0" y="0"/>
                      <a:ext cx="5342583" cy="1689735"/>
                    </a:xfrm>
                    <a:prstGeom prst="rect">
                      <a:avLst/>
                    </a:prstGeom>
                    <a:noFill/>
                    <a:ln>
                      <a:noFill/>
                    </a:ln>
                    <a:extLst>
                      <a:ext uri="{53640926-AAD7-44D8-BBD7-CCE9431645EC}">
                        <a14:shadowObscured xmlns:a14="http://schemas.microsoft.com/office/drawing/2010/main"/>
                      </a:ext>
                    </a:extLst>
                  </pic:spPr>
                </pic:pic>
              </a:graphicData>
            </a:graphic>
          </wp:inline>
        </w:drawing>
      </w:r>
    </w:p>
    <w:p w14:paraId="792EF396" w14:textId="1584E085" w:rsidR="00012498" w:rsidRPr="00012498" w:rsidRDefault="00012498" w:rsidP="009E5C01">
      <w:pPr>
        <w:spacing w:after="0" w:line="240" w:lineRule="auto"/>
        <w:jc w:val="both"/>
        <w:rPr>
          <w:rFonts w:ascii="Cambria" w:hAnsi="Cambria"/>
          <w:sz w:val="22"/>
          <w:szCs w:val="22"/>
        </w:rPr>
      </w:pPr>
      <w:r w:rsidRPr="00012498">
        <w:rPr>
          <w:rFonts w:ascii="Cambria" w:hAnsi="Cambria"/>
          <w:b/>
          <w:bCs/>
          <w:sz w:val="22"/>
          <w:szCs w:val="22"/>
        </w:rPr>
        <w:t>Figure 1.</w:t>
      </w:r>
      <w:r w:rsidRPr="00012498">
        <w:rPr>
          <w:rFonts w:ascii="Cambria" w:hAnsi="Cambria"/>
          <w:sz w:val="22"/>
          <w:szCs w:val="22"/>
        </w:rPr>
        <w:t xml:space="preserve"> Gate-to-gate system boundary of tofu production life cycle assessment.</w:t>
      </w:r>
    </w:p>
    <w:p w14:paraId="1943BE8D" w14:textId="77777777" w:rsidR="00012498" w:rsidRPr="00012498" w:rsidRDefault="00012498" w:rsidP="009E5C01">
      <w:pPr>
        <w:spacing w:after="0" w:line="240" w:lineRule="auto"/>
        <w:jc w:val="both"/>
        <w:rPr>
          <w:rFonts w:ascii="Cambria" w:hAnsi="Cambria"/>
          <w:b/>
          <w:bCs/>
          <w:sz w:val="22"/>
          <w:szCs w:val="22"/>
        </w:rPr>
      </w:pPr>
      <w:r w:rsidRPr="00012498">
        <w:rPr>
          <w:rFonts w:ascii="Cambria" w:hAnsi="Cambria"/>
          <w:b/>
          <w:bCs/>
          <w:sz w:val="22"/>
          <w:szCs w:val="22"/>
        </w:rPr>
        <w:t>2.2 Inventory Analysis</w:t>
      </w:r>
    </w:p>
    <w:p w14:paraId="56F1E0D7" w14:textId="2EDD2DCF"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 xml:space="preserve">The Life Cycle Inventory (LCI) analysis phase involves the systematic identification, collection, and quantification of all input and output flows for each unit process within the defined product system, in accordance with the established functional unit </w:t>
      </w:r>
      <w:r w:rsidR="00DE321A">
        <w:rPr>
          <w:rFonts w:ascii="Cambria" w:hAnsi="Cambria"/>
          <w:sz w:val="22"/>
          <w:szCs w:val="22"/>
        </w:rPr>
        <w:fldChar w:fldCharType="begin" w:fldLock="1"/>
      </w:r>
      <w:r w:rsidR="004441E6">
        <w:rPr>
          <w:rFonts w:ascii="Cambria" w:hAnsi="Cambria"/>
          <w:sz w:val="22"/>
          <w:szCs w:val="22"/>
        </w:rPr>
        <w:instrText>ADDIN CSL_CITATION {"citationItems":[{"id":"ITEM-1","itemData":{"ISSN":"0959-6526","author":[{"dropping-particle":"","family":"Saavedra-Rubio","given":"Karen","non-dropping-particle":"","parse-names":false,"suffix":""},{"dropping-particle":"","family":"Thonemann","given":"Nils","non-dropping-particle":"","parse-names":false,"suffix":""},{"dropping-particle":"","family":"Crenna","given":"Eleonora","non-dropping-particle":"","parse-names":false,"suffix":""},{"dropping-particle":"","family":"Lemoine","given":"Bruno","non-dropping-particle":"","parse-names":false,"suffix":""},{"dropping-particle":"","family":"Caliandro","given":"Priscillia","non-dropping-particle":"","parse-names":false,"suffix":""},{"dropping-particle":"","family":"Laurent","given":"Alexis","non-dropping-particle":"","parse-names":false,"suffix":""}],"container-title":"Journal of Cleaner Production","id":"ITEM-1","issued":{"date-parts":[["2022"]]},"page":"132903","publisher":"Elsevier","title":"Stepwise guidance for data collection in the life cycle inventory (LCI) phase: Building technology-related LCI blocks","type":"article-journal","volume":"366"},"uris":["http://www.mendeley.com/documents/?uuid=b0463b54-cd19-48ad-b374-719ce140bfb7"]}],"mendeley":{"formattedCitation":"[12]","plainTextFormattedCitation":"[12]","previouslyFormattedCitation":"(Saavedra-Rubio et al., 2022)"},"properties":{"noteIndex":0},"schema":"https://github.com/citation-style-language/schema/raw/master/csl-citation.json"}</w:instrText>
      </w:r>
      <w:r w:rsidR="00DE321A">
        <w:rPr>
          <w:rFonts w:ascii="Cambria" w:hAnsi="Cambria"/>
          <w:sz w:val="22"/>
          <w:szCs w:val="22"/>
        </w:rPr>
        <w:fldChar w:fldCharType="separate"/>
      </w:r>
      <w:r w:rsidR="004441E6" w:rsidRPr="004441E6">
        <w:rPr>
          <w:rFonts w:ascii="Cambria" w:hAnsi="Cambria"/>
          <w:noProof/>
          <w:sz w:val="22"/>
          <w:szCs w:val="22"/>
        </w:rPr>
        <w:t>[12]</w:t>
      </w:r>
      <w:r w:rsidR="00DE321A">
        <w:rPr>
          <w:rFonts w:ascii="Cambria" w:hAnsi="Cambria"/>
          <w:sz w:val="22"/>
          <w:szCs w:val="22"/>
        </w:rPr>
        <w:fldChar w:fldCharType="end"/>
      </w:r>
      <w:r w:rsidRPr="00012498">
        <w:rPr>
          <w:rFonts w:ascii="Cambria" w:hAnsi="Cambria"/>
          <w:sz w:val="22"/>
          <w:szCs w:val="22"/>
        </w:rPr>
        <w:t xml:space="preserve">. This phase commenced with the mapping of all relevant unit processes within the gate-to-gate boundary to comprehensively characterize material, energy, and emission flows throughout the production cycle. Quantitative data were subsequently compiled for each flow at every production stage, including soybean inputs, water and electricity consumption, firewood fuel use, and waste outputs encompassing liquid effluents, solid residues, and atmospheric emissions. The functional unit was defined as one complete production batch corresponding to one full day of plant operation, reflecting the operational reality of the studied enterprise and enabling stage-level comparisons within a consistent temporal reference frame. While per-kilogram functional units are more commonly employed in comparative LCA studies, the batch-based unit was selected here to accurately represent the actual input-output inventory as directly observed and documented in the field, consistent with practice in site-specific SME-level assessments </w:t>
      </w:r>
      <w:r w:rsidR="00DE321A">
        <w:rPr>
          <w:rFonts w:ascii="Cambria" w:hAnsi="Cambria"/>
          <w:sz w:val="22"/>
          <w:szCs w:val="22"/>
        </w:rPr>
        <w:fldChar w:fldCharType="begin" w:fldLock="1"/>
      </w:r>
      <w:r w:rsidR="004441E6">
        <w:rPr>
          <w:rFonts w:ascii="Cambria" w:hAnsi="Cambria"/>
          <w:sz w:val="22"/>
          <w:szCs w:val="22"/>
        </w:rPr>
        <w:instrText>ADDIN CSL_CITATION {"citationItems":[{"id":"ITEM-1","itemData":{"DOI":"10.1016/j.resconrec.2022.106836","ISSN":"09213449 (ISSN)","author":[{"dropping-particle":"","family":"Kara","given":"S","non-dropping-particle":"","parse-names":false,"suffix":""},{"dropping-particle":"","family":"Herrmann","given":"C","non-dropping-particle":"","parse-names":false,"suffix":""},{"dropping-particle":"","family":"Hauschild","given":"M","non-dropping-particle":"","parse-names":false,"suffix":""}],"container-title":"Resources, Conservation and Recycling","id":"ITEM-1","issued":{"date-parts":[["2023"]]},"language":"English","note":"Export Date: 10 January 2024; Cited By: 5; Correspondence Address: S. Kara; Sustainability in Manufacturing &amp;amp; Life Cycle Engineering Research Group, School of Mechanical &amp;amp; Manufacturing Engineering, The University of New South Wales, Sydney, Australia; email: S.Kara@unsw.edu.au; CODEN: RCREE","publisher":"Elsevier B.V.","publisher-place":"Sustainability in Manufacturing &amp; Life Cycle Engineering Research Group, School of Mechanical &amp; Manufacturing Engineering, The University of New South Wales, Sydney, Australia","title":"Operationalization of life cycle engineering","type":"article-journal","volume":"190"},"uris":["http://www.mendeley.com/documents/?uuid=41cc2663-c836-4638-8da8-b2f9ec9b09cd"]}],"mendeley":{"formattedCitation":"[7]","plainTextFormattedCitation":"[7]","previouslyFormattedCitation":"(Kara et al., 2023)"},"properties":{"noteIndex":0},"schema":"https://github.com/citation-style-language/schema/raw/master/csl-citation.json"}</w:instrText>
      </w:r>
      <w:r w:rsidR="00DE321A">
        <w:rPr>
          <w:rFonts w:ascii="Cambria" w:hAnsi="Cambria"/>
          <w:sz w:val="22"/>
          <w:szCs w:val="22"/>
        </w:rPr>
        <w:fldChar w:fldCharType="separate"/>
      </w:r>
      <w:r w:rsidR="004441E6" w:rsidRPr="004441E6">
        <w:rPr>
          <w:rFonts w:ascii="Cambria" w:hAnsi="Cambria"/>
          <w:noProof/>
          <w:sz w:val="22"/>
          <w:szCs w:val="22"/>
        </w:rPr>
        <w:t>[7]</w:t>
      </w:r>
      <w:r w:rsidR="00DE321A">
        <w:rPr>
          <w:rFonts w:ascii="Cambria" w:hAnsi="Cambria"/>
          <w:sz w:val="22"/>
          <w:szCs w:val="22"/>
        </w:rPr>
        <w:fldChar w:fldCharType="end"/>
      </w:r>
      <w:r w:rsidRPr="00012498">
        <w:rPr>
          <w:rFonts w:ascii="Cambria" w:hAnsi="Cambria"/>
          <w:sz w:val="22"/>
          <w:szCs w:val="22"/>
        </w:rPr>
        <w:t>. The complete inventory data for all production stages are presented in Table 1.</w:t>
      </w:r>
    </w:p>
    <w:p w14:paraId="184B8C19" w14:textId="77777777" w:rsidR="00012498" w:rsidRPr="00012498" w:rsidRDefault="00012498" w:rsidP="009E5C01">
      <w:pPr>
        <w:spacing w:after="0" w:line="240" w:lineRule="auto"/>
        <w:jc w:val="both"/>
        <w:rPr>
          <w:rFonts w:ascii="Cambria" w:hAnsi="Cambria"/>
          <w:sz w:val="22"/>
          <w:szCs w:val="22"/>
        </w:rPr>
      </w:pPr>
      <w:r w:rsidRPr="00012498">
        <w:rPr>
          <w:rFonts w:ascii="Cambria" w:hAnsi="Cambria"/>
          <w:b/>
          <w:bCs/>
          <w:sz w:val="22"/>
          <w:szCs w:val="22"/>
        </w:rPr>
        <w:t>Table 1.</w:t>
      </w:r>
      <w:r w:rsidRPr="00012498">
        <w:rPr>
          <w:rFonts w:ascii="Cambria" w:hAnsi="Cambria"/>
          <w:sz w:val="22"/>
          <w:szCs w:val="22"/>
        </w:rPr>
        <w:t xml:space="preserve"> Inventory data of tofu production.</w:t>
      </w:r>
    </w:p>
    <w:tbl>
      <w:tblPr>
        <w:tblStyle w:val="TableGrid"/>
        <w:tblW w:w="0" w:type="auto"/>
        <w:tblLook w:val="04A0" w:firstRow="1" w:lastRow="0" w:firstColumn="1" w:lastColumn="0" w:noHBand="0" w:noVBand="1"/>
      </w:tblPr>
      <w:tblGrid>
        <w:gridCol w:w="1825"/>
        <w:gridCol w:w="1685"/>
        <w:gridCol w:w="938"/>
        <w:gridCol w:w="576"/>
        <w:gridCol w:w="2129"/>
        <w:gridCol w:w="938"/>
        <w:gridCol w:w="569"/>
      </w:tblGrid>
      <w:tr w:rsidR="00012498" w:rsidRPr="009E5C01" w14:paraId="3DD9E17F" w14:textId="77777777" w:rsidTr="00012498">
        <w:tc>
          <w:tcPr>
            <w:tcW w:w="0" w:type="auto"/>
            <w:hideMark/>
          </w:tcPr>
          <w:p w14:paraId="254A5574"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Process Stage</w:t>
            </w:r>
          </w:p>
        </w:tc>
        <w:tc>
          <w:tcPr>
            <w:tcW w:w="0" w:type="auto"/>
            <w:hideMark/>
          </w:tcPr>
          <w:p w14:paraId="2FBD09B9"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Inputs</w:t>
            </w:r>
          </w:p>
        </w:tc>
        <w:tc>
          <w:tcPr>
            <w:tcW w:w="0" w:type="auto"/>
            <w:hideMark/>
          </w:tcPr>
          <w:p w14:paraId="022ADC19"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Quantity</w:t>
            </w:r>
          </w:p>
        </w:tc>
        <w:tc>
          <w:tcPr>
            <w:tcW w:w="0" w:type="auto"/>
            <w:hideMark/>
          </w:tcPr>
          <w:p w14:paraId="414A4F0C"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Unit</w:t>
            </w:r>
          </w:p>
        </w:tc>
        <w:tc>
          <w:tcPr>
            <w:tcW w:w="0" w:type="auto"/>
            <w:hideMark/>
          </w:tcPr>
          <w:p w14:paraId="5AC76064"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Outputs</w:t>
            </w:r>
          </w:p>
        </w:tc>
        <w:tc>
          <w:tcPr>
            <w:tcW w:w="0" w:type="auto"/>
            <w:hideMark/>
          </w:tcPr>
          <w:p w14:paraId="2DC9D5CA"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Quantity</w:t>
            </w:r>
          </w:p>
        </w:tc>
        <w:tc>
          <w:tcPr>
            <w:tcW w:w="0" w:type="auto"/>
            <w:hideMark/>
          </w:tcPr>
          <w:p w14:paraId="331B6AB8"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Unit</w:t>
            </w:r>
          </w:p>
        </w:tc>
      </w:tr>
      <w:tr w:rsidR="00012498" w:rsidRPr="009E5C01" w14:paraId="24C2DC45" w14:textId="77777777" w:rsidTr="00012498">
        <w:tc>
          <w:tcPr>
            <w:tcW w:w="0" w:type="auto"/>
            <w:hideMark/>
          </w:tcPr>
          <w:p w14:paraId="6AAC9801" w14:textId="77777777" w:rsidR="00012498" w:rsidRPr="009E5C01" w:rsidRDefault="00012498" w:rsidP="009E5C01">
            <w:pPr>
              <w:jc w:val="both"/>
              <w:rPr>
                <w:rFonts w:ascii="Cambria" w:hAnsi="Cambria"/>
                <w:sz w:val="18"/>
                <w:szCs w:val="18"/>
              </w:rPr>
            </w:pPr>
            <w:r w:rsidRPr="009E5C01">
              <w:rPr>
                <w:rFonts w:ascii="Cambria" w:hAnsi="Cambria"/>
                <w:sz w:val="18"/>
                <w:szCs w:val="18"/>
              </w:rPr>
              <w:t>Washing</w:t>
            </w:r>
          </w:p>
        </w:tc>
        <w:tc>
          <w:tcPr>
            <w:tcW w:w="0" w:type="auto"/>
            <w:hideMark/>
          </w:tcPr>
          <w:p w14:paraId="7A505A84" w14:textId="77777777" w:rsidR="00012498" w:rsidRPr="009E5C01" w:rsidRDefault="00012498" w:rsidP="009E5C01">
            <w:pPr>
              <w:jc w:val="both"/>
              <w:rPr>
                <w:rFonts w:ascii="Cambria" w:hAnsi="Cambria"/>
                <w:sz w:val="18"/>
                <w:szCs w:val="18"/>
              </w:rPr>
            </w:pPr>
            <w:r w:rsidRPr="009E5C01">
              <w:rPr>
                <w:rFonts w:ascii="Cambria" w:hAnsi="Cambria"/>
                <w:sz w:val="18"/>
                <w:szCs w:val="18"/>
              </w:rPr>
              <w:t>Soybeans</w:t>
            </w:r>
          </w:p>
        </w:tc>
        <w:tc>
          <w:tcPr>
            <w:tcW w:w="0" w:type="auto"/>
            <w:hideMark/>
          </w:tcPr>
          <w:p w14:paraId="77AD7954" w14:textId="77777777" w:rsidR="00012498" w:rsidRPr="009E5C01" w:rsidRDefault="00012498" w:rsidP="009E5C01">
            <w:pPr>
              <w:jc w:val="both"/>
              <w:rPr>
                <w:rFonts w:ascii="Cambria" w:hAnsi="Cambria"/>
                <w:sz w:val="18"/>
                <w:szCs w:val="18"/>
              </w:rPr>
            </w:pPr>
            <w:r w:rsidRPr="009E5C01">
              <w:rPr>
                <w:rFonts w:ascii="Cambria" w:hAnsi="Cambria"/>
                <w:sz w:val="18"/>
                <w:szCs w:val="18"/>
              </w:rPr>
              <w:t>1,400</w:t>
            </w:r>
          </w:p>
        </w:tc>
        <w:tc>
          <w:tcPr>
            <w:tcW w:w="0" w:type="auto"/>
            <w:hideMark/>
          </w:tcPr>
          <w:p w14:paraId="551483A0"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c>
          <w:tcPr>
            <w:tcW w:w="0" w:type="auto"/>
            <w:hideMark/>
          </w:tcPr>
          <w:p w14:paraId="0F0A7190" w14:textId="77777777" w:rsidR="00012498" w:rsidRPr="009E5C01" w:rsidRDefault="00012498" w:rsidP="009E5C01">
            <w:pPr>
              <w:jc w:val="both"/>
              <w:rPr>
                <w:rFonts w:ascii="Cambria" w:hAnsi="Cambria"/>
                <w:sz w:val="18"/>
                <w:szCs w:val="18"/>
              </w:rPr>
            </w:pPr>
            <w:r w:rsidRPr="009E5C01">
              <w:rPr>
                <w:rFonts w:ascii="Cambria" w:hAnsi="Cambria"/>
                <w:sz w:val="18"/>
                <w:szCs w:val="18"/>
              </w:rPr>
              <w:t>Washed soybeans</w:t>
            </w:r>
          </w:p>
        </w:tc>
        <w:tc>
          <w:tcPr>
            <w:tcW w:w="0" w:type="auto"/>
            <w:hideMark/>
          </w:tcPr>
          <w:p w14:paraId="1EB34C06" w14:textId="77777777" w:rsidR="00012498" w:rsidRPr="009E5C01" w:rsidRDefault="00012498" w:rsidP="009E5C01">
            <w:pPr>
              <w:jc w:val="both"/>
              <w:rPr>
                <w:rFonts w:ascii="Cambria" w:hAnsi="Cambria"/>
                <w:sz w:val="18"/>
                <w:szCs w:val="18"/>
              </w:rPr>
            </w:pPr>
            <w:r w:rsidRPr="009E5C01">
              <w:rPr>
                <w:rFonts w:ascii="Cambria" w:hAnsi="Cambria"/>
                <w:sz w:val="18"/>
                <w:szCs w:val="18"/>
              </w:rPr>
              <w:t>1,540</w:t>
            </w:r>
          </w:p>
        </w:tc>
        <w:tc>
          <w:tcPr>
            <w:tcW w:w="0" w:type="auto"/>
            <w:hideMark/>
          </w:tcPr>
          <w:p w14:paraId="5F784A2F"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r>
      <w:tr w:rsidR="00012498" w:rsidRPr="009E5C01" w14:paraId="012521F9" w14:textId="77777777" w:rsidTr="00012498">
        <w:tc>
          <w:tcPr>
            <w:tcW w:w="0" w:type="auto"/>
            <w:hideMark/>
          </w:tcPr>
          <w:p w14:paraId="62890BD2" w14:textId="77777777" w:rsidR="00012498" w:rsidRPr="009E5C01" w:rsidRDefault="00012498" w:rsidP="009E5C01">
            <w:pPr>
              <w:jc w:val="both"/>
              <w:rPr>
                <w:rFonts w:ascii="Cambria" w:hAnsi="Cambria"/>
                <w:sz w:val="18"/>
                <w:szCs w:val="18"/>
              </w:rPr>
            </w:pPr>
          </w:p>
        </w:tc>
        <w:tc>
          <w:tcPr>
            <w:tcW w:w="0" w:type="auto"/>
            <w:hideMark/>
          </w:tcPr>
          <w:p w14:paraId="3E975F71" w14:textId="77777777" w:rsidR="00012498" w:rsidRPr="009E5C01" w:rsidRDefault="00012498" w:rsidP="009E5C01">
            <w:pPr>
              <w:jc w:val="both"/>
              <w:rPr>
                <w:rFonts w:ascii="Cambria" w:hAnsi="Cambria"/>
                <w:sz w:val="18"/>
                <w:szCs w:val="18"/>
              </w:rPr>
            </w:pPr>
            <w:r w:rsidRPr="009E5C01">
              <w:rPr>
                <w:rFonts w:ascii="Cambria" w:hAnsi="Cambria"/>
                <w:sz w:val="18"/>
                <w:szCs w:val="18"/>
              </w:rPr>
              <w:t>Water</w:t>
            </w:r>
          </w:p>
        </w:tc>
        <w:tc>
          <w:tcPr>
            <w:tcW w:w="0" w:type="auto"/>
            <w:hideMark/>
          </w:tcPr>
          <w:p w14:paraId="503537F5" w14:textId="77777777" w:rsidR="00012498" w:rsidRPr="009E5C01" w:rsidRDefault="00012498" w:rsidP="009E5C01">
            <w:pPr>
              <w:jc w:val="both"/>
              <w:rPr>
                <w:rFonts w:ascii="Cambria" w:hAnsi="Cambria"/>
                <w:sz w:val="18"/>
                <w:szCs w:val="18"/>
              </w:rPr>
            </w:pPr>
            <w:r w:rsidRPr="009E5C01">
              <w:rPr>
                <w:rFonts w:ascii="Cambria" w:hAnsi="Cambria"/>
                <w:sz w:val="18"/>
                <w:szCs w:val="18"/>
              </w:rPr>
              <w:t>2,800</w:t>
            </w:r>
          </w:p>
        </w:tc>
        <w:tc>
          <w:tcPr>
            <w:tcW w:w="0" w:type="auto"/>
            <w:hideMark/>
          </w:tcPr>
          <w:p w14:paraId="24B09DE7" w14:textId="77777777" w:rsidR="00012498" w:rsidRPr="009E5C01" w:rsidRDefault="00012498" w:rsidP="009E5C01">
            <w:pPr>
              <w:jc w:val="both"/>
              <w:rPr>
                <w:rFonts w:ascii="Cambria" w:hAnsi="Cambria"/>
                <w:sz w:val="18"/>
                <w:szCs w:val="18"/>
              </w:rPr>
            </w:pPr>
            <w:r w:rsidRPr="009E5C01">
              <w:rPr>
                <w:rFonts w:ascii="Cambria" w:hAnsi="Cambria"/>
                <w:sz w:val="18"/>
                <w:szCs w:val="18"/>
              </w:rPr>
              <w:t>L</w:t>
            </w:r>
          </w:p>
        </w:tc>
        <w:tc>
          <w:tcPr>
            <w:tcW w:w="0" w:type="auto"/>
            <w:hideMark/>
          </w:tcPr>
          <w:p w14:paraId="26A66FFA" w14:textId="77777777" w:rsidR="00012498" w:rsidRPr="009E5C01" w:rsidRDefault="00012498" w:rsidP="009E5C01">
            <w:pPr>
              <w:jc w:val="both"/>
              <w:rPr>
                <w:rFonts w:ascii="Cambria" w:hAnsi="Cambria"/>
                <w:sz w:val="18"/>
                <w:szCs w:val="18"/>
              </w:rPr>
            </w:pPr>
            <w:r w:rsidRPr="009E5C01">
              <w:rPr>
                <w:rFonts w:ascii="Cambria" w:hAnsi="Cambria"/>
                <w:sz w:val="18"/>
                <w:szCs w:val="18"/>
              </w:rPr>
              <w:t>Wastewater</w:t>
            </w:r>
          </w:p>
        </w:tc>
        <w:tc>
          <w:tcPr>
            <w:tcW w:w="0" w:type="auto"/>
            <w:hideMark/>
          </w:tcPr>
          <w:p w14:paraId="5A22811E" w14:textId="77777777" w:rsidR="00012498" w:rsidRPr="009E5C01" w:rsidRDefault="00012498" w:rsidP="009E5C01">
            <w:pPr>
              <w:jc w:val="both"/>
              <w:rPr>
                <w:rFonts w:ascii="Cambria" w:hAnsi="Cambria"/>
                <w:sz w:val="18"/>
                <w:szCs w:val="18"/>
              </w:rPr>
            </w:pPr>
            <w:r w:rsidRPr="009E5C01">
              <w:rPr>
                <w:rFonts w:ascii="Cambria" w:hAnsi="Cambria"/>
                <w:sz w:val="18"/>
                <w:szCs w:val="18"/>
              </w:rPr>
              <w:t>2,660</w:t>
            </w:r>
          </w:p>
        </w:tc>
        <w:tc>
          <w:tcPr>
            <w:tcW w:w="0" w:type="auto"/>
            <w:hideMark/>
          </w:tcPr>
          <w:p w14:paraId="78C037AF" w14:textId="77777777" w:rsidR="00012498" w:rsidRPr="009E5C01" w:rsidRDefault="00012498" w:rsidP="009E5C01">
            <w:pPr>
              <w:jc w:val="both"/>
              <w:rPr>
                <w:rFonts w:ascii="Cambria" w:hAnsi="Cambria"/>
                <w:sz w:val="18"/>
                <w:szCs w:val="18"/>
              </w:rPr>
            </w:pPr>
            <w:r w:rsidRPr="009E5C01">
              <w:rPr>
                <w:rFonts w:ascii="Cambria" w:hAnsi="Cambria"/>
                <w:sz w:val="18"/>
                <w:szCs w:val="18"/>
              </w:rPr>
              <w:t>L</w:t>
            </w:r>
          </w:p>
        </w:tc>
      </w:tr>
      <w:tr w:rsidR="00012498" w:rsidRPr="009E5C01" w14:paraId="06B41826" w14:textId="77777777" w:rsidTr="00012498">
        <w:tc>
          <w:tcPr>
            <w:tcW w:w="0" w:type="auto"/>
            <w:hideMark/>
          </w:tcPr>
          <w:p w14:paraId="0895086E" w14:textId="77777777" w:rsidR="00012498" w:rsidRPr="009E5C01" w:rsidRDefault="00012498" w:rsidP="009E5C01">
            <w:pPr>
              <w:jc w:val="both"/>
              <w:rPr>
                <w:rFonts w:ascii="Cambria" w:hAnsi="Cambria"/>
                <w:sz w:val="18"/>
                <w:szCs w:val="18"/>
              </w:rPr>
            </w:pPr>
          </w:p>
        </w:tc>
        <w:tc>
          <w:tcPr>
            <w:tcW w:w="0" w:type="auto"/>
            <w:hideMark/>
          </w:tcPr>
          <w:p w14:paraId="58711590" w14:textId="77777777" w:rsidR="00012498" w:rsidRPr="009E5C01" w:rsidRDefault="00012498" w:rsidP="009E5C01">
            <w:pPr>
              <w:jc w:val="both"/>
              <w:rPr>
                <w:rFonts w:ascii="Cambria" w:hAnsi="Cambria"/>
                <w:sz w:val="18"/>
                <w:szCs w:val="18"/>
              </w:rPr>
            </w:pPr>
            <w:r w:rsidRPr="009E5C01">
              <w:rPr>
                <w:rFonts w:ascii="Cambria" w:hAnsi="Cambria"/>
                <w:sz w:val="18"/>
                <w:szCs w:val="18"/>
              </w:rPr>
              <w:t>Electricity</w:t>
            </w:r>
          </w:p>
        </w:tc>
        <w:tc>
          <w:tcPr>
            <w:tcW w:w="0" w:type="auto"/>
            <w:hideMark/>
          </w:tcPr>
          <w:p w14:paraId="05552419" w14:textId="77777777" w:rsidR="00012498" w:rsidRPr="009E5C01" w:rsidRDefault="00012498" w:rsidP="009E5C01">
            <w:pPr>
              <w:jc w:val="both"/>
              <w:rPr>
                <w:rFonts w:ascii="Cambria" w:hAnsi="Cambria"/>
                <w:sz w:val="18"/>
                <w:szCs w:val="18"/>
              </w:rPr>
            </w:pPr>
            <w:r w:rsidRPr="009E5C01">
              <w:rPr>
                <w:rFonts w:ascii="Cambria" w:hAnsi="Cambria"/>
                <w:sz w:val="18"/>
                <w:szCs w:val="18"/>
              </w:rPr>
              <w:t>0.60</w:t>
            </w:r>
          </w:p>
        </w:tc>
        <w:tc>
          <w:tcPr>
            <w:tcW w:w="0" w:type="auto"/>
            <w:hideMark/>
          </w:tcPr>
          <w:p w14:paraId="2E5688BB" w14:textId="77777777" w:rsidR="00012498" w:rsidRPr="009E5C01" w:rsidRDefault="00012498" w:rsidP="009E5C01">
            <w:pPr>
              <w:jc w:val="both"/>
              <w:rPr>
                <w:rFonts w:ascii="Cambria" w:hAnsi="Cambria"/>
                <w:sz w:val="18"/>
                <w:szCs w:val="18"/>
              </w:rPr>
            </w:pPr>
            <w:r w:rsidRPr="009E5C01">
              <w:rPr>
                <w:rFonts w:ascii="Cambria" w:hAnsi="Cambria"/>
                <w:sz w:val="18"/>
                <w:szCs w:val="18"/>
              </w:rPr>
              <w:t>kWh</w:t>
            </w:r>
          </w:p>
        </w:tc>
        <w:tc>
          <w:tcPr>
            <w:tcW w:w="0" w:type="auto"/>
            <w:hideMark/>
          </w:tcPr>
          <w:p w14:paraId="48C849DF" w14:textId="77777777" w:rsidR="00012498" w:rsidRPr="009E5C01" w:rsidRDefault="00012498" w:rsidP="009E5C01">
            <w:pPr>
              <w:jc w:val="both"/>
              <w:rPr>
                <w:rFonts w:ascii="Cambria" w:hAnsi="Cambria"/>
                <w:sz w:val="18"/>
                <w:szCs w:val="18"/>
              </w:rPr>
            </w:pPr>
            <w:r w:rsidRPr="009E5C01">
              <w:rPr>
                <w:rFonts w:ascii="Cambria" w:hAnsi="Cambria"/>
                <w:sz w:val="18"/>
                <w:szCs w:val="18"/>
              </w:rPr>
              <w:t>CO₂ emissions</w:t>
            </w:r>
          </w:p>
        </w:tc>
        <w:tc>
          <w:tcPr>
            <w:tcW w:w="0" w:type="auto"/>
            <w:hideMark/>
          </w:tcPr>
          <w:p w14:paraId="46C6C4FB" w14:textId="77777777" w:rsidR="00012498" w:rsidRPr="009E5C01" w:rsidRDefault="00012498" w:rsidP="009E5C01">
            <w:pPr>
              <w:jc w:val="both"/>
              <w:rPr>
                <w:rFonts w:ascii="Cambria" w:hAnsi="Cambria"/>
                <w:sz w:val="18"/>
                <w:szCs w:val="18"/>
              </w:rPr>
            </w:pPr>
            <w:r w:rsidRPr="009E5C01">
              <w:rPr>
                <w:rFonts w:ascii="Cambria" w:hAnsi="Cambria"/>
                <w:sz w:val="18"/>
                <w:szCs w:val="18"/>
              </w:rPr>
              <w:t>0.51</w:t>
            </w:r>
          </w:p>
        </w:tc>
        <w:tc>
          <w:tcPr>
            <w:tcW w:w="0" w:type="auto"/>
            <w:hideMark/>
          </w:tcPr>
          <w:p w14:paraId="527FAA46"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r>
      <w:tr w:rsidR="00012498" w:rsidRPr="009E5C01" w14:paraId="3F72D3BE" w14:textId="77777777" w:rsidTr="00012498">
        <w:tc>
          <w:tcPr>
            <w:tcW w:w="0" w:type="auto"/>
            <w:hideMark/>
          </w:tcPr>
          <w:p w14:paraId="460F1FAE" w14:textId="77777777" w:rsidR="00012498" w:rsidRPr="009E5C01" w:rsidRDefault="00012498" w:rsidP="009E5C01">
            <w:pPr>
              <w:jc w:val="both"/>
              <w:rPr>
                <w:rFonts w:ascii="Cambria" w:hAnsi="Cambria"/>
                <w:sz w:val="18"/>
                <w:szCs w:val="18"/>
              </w:rPr>
            </w:pPr>
            <w:r w:rsidRPr="009E5C01">
              <w:rPr>
                <w:rFonts w:ascii="Cambria" w:hAnsi="Cambria"/>
                <w:sz w:val="18"/>
                <w:szCs w:val="18"/>
              </w:rPr>
              <w:t>Soaking</w:t>
            </w:r>
          </w:p>
        </w:tc>
        <w:tc>
          <w:tcPr>
            <w:tcW w:w="0" w:type="auto"/>
            <w:hideMark/>
          </w:tcPr>
          <w:p w14:paraId="4D3F20B0" w14:textId="77777777" w:rsidR="00012498" w:rsidRPr="009E5C01" w:rsidRDefault="00012498" w:rsidP="009E5C01">
            <w:pPr>
              <w:jc w:val="both"/>
              <w:rPr>
                <w:rFonts w:ascii="Cambria" w:hAnsi="Cambria"/>
                <w:sz w:val="18"/>
                <w:szCs w:val="18"/>
              </w:rPr>
            </w:pPr>
            <w:r w:rsidRPr="009E5C01">
              <w:rPr>
                <w:rFonts w:ascii="Cambria" w:hAnsi="Cambria"/>
                <w:sz w:val="18"/>
                <w:szCs w:val="18"/>
              </w:rPr>
              <w:t>Soaked soybeans</w:t>
            </w:r>
          </w:p>
        </w:tc>
        <w:tc>
          <w:tcPr>
            <w:tcW w:w="0" w:type="auto"/>
            <w:hideMark/>
          </w:tcPr>
          <w:p w14:paraId="09D5EEE9" w14:textId="77777777" w:rsidR="00012498" w:rsidRPr="009E5C01" w:rsidRDefault="00012498" w:rsidP="009E5C01">
            <w:pPr>
              <w:jc w:val="both"/>
              <w:rPr>
                <w:rFonts w:ascii="Cambria" w:hAnsi="Cambria"/>
                <w:sz w:val="18"/>
                <w:szCs w:val="18"/>
              </w:rPr>
            </w:pPr>
            <w:r w:rsidRPr="009E5C01">
              <w:rPr>
                <w:rFonts w:ascii="Cambria" w:hAnsi="Cambria"/>
                <w:sz w:val="18"/>
                <w:szCs w:val="18"/>
              </w:rPr>
              <w:t>1,540</w:t>
            </w:r>
          </w:p>
        </w:tc>
        <w:tc>
          <w:tcPr>
            <w:tcW w:w="0" w:type="auto"/>
            <w:hideMark/>
          </w:tcPr>
          <w:p w14:paraId="6F3B147E"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c>
          <w:tcPr>
            <w:tcW w:w="0" w:type="auto"/>
            <w:hideMark/>
          </w:tcPr>
          <w:p w14:paraId="488E1A49" w14:textId="77777777" w:rsidR="00012498" w:rsidRPr="009E5C01" w:rsidRDefault="00012498" w:rsidP="009E5C01">
            <w:pPr>
              <w:jc w:val="both"/>
              <w:rPr>
                <w:rFonts w:ascii="Cambria" w:hAnsi="Cambria"/>
                <w:sz w:val="18"/>
                <w:szCs w:val="18"/>
              </w:rPr>
            </w:pPr>
            <w:r w:rsidRPr="009E5C01">
              <w:rPr>
                <w:rFonts w:ascii="Cambria" w:hAnsi="Cambria"/>
                <w:sz w:val="18"/>
                <w:szCs w:val="18"/>
              </w:rPr>
              <w:t>Hydrated soybeans</w:t>
            </w:r>
          </w:p>
        </w:tc>
        <w:tc>
          <w:tcPr>
            <w:tcW w:w="0" w:type="auto"/>
            <w:hideMark/>
          </w:tcPr>
          <w:p w14:paraId="0E934DBF" w14:textId="77777777" w:rsidR="00012498" w:rsidRPr="009E5C01" w:rsidRDefault="00012498" w:rsidP="009E5C01">
            <w:pPr>
              <w:jc w:val="both"/>
              <w:rPr>
                <w:rFonts w:ascii="Cambria" w:hAnsi="Cambria"/>
                <w:sz w:val="18"/>
                <w:szCs w:val="18"/>
              </w:rPr>
            </w:pPr>
            <w:r w:rsidRPr="009E5C01">
              <w:rPr>
                <w:rFonts w:ascii="Cambria" w:hAnsi="Cambria"/>
                <w:sz w:val="18"/>
                <w:szCs w:val="18"/>
              </w:rPr>
              <w:t>3,640</w:t>
            </w:r>
          </w:p>
        </w:tc>
        <w:tc>
          <w:tcPr>
            <w:tcW w:w="0" w:type="auto"/>
            <w:hideMark/>
          </w:tcPr>
          <w:p w14:paraId="441A4917"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r>
      <w:tr w:rsidR="00012498" w:rsidRPr="009E5C01" w14:paraId="2C10A3F6" w14:textId="77777777" w:rsidTr="00012498">
        <w:tc>
          <w:tcPr>
            <w:tcW w:w="0" w:type="auto"/>
            <w:hideMark/>
          </w:tcPr>
          <w:p w14:paraId="3331F871" w14:textId="77777777" w:rsidR="00012498" w:rsidRPr="009E5C01" w:rsidRDefault="00012498" w:rsidP="009E5C01">
            <w:pPr>
              <w:jc w:val="both"/>
              <w:rPr>
                <w:rFonts w:ascii="Cambria" w:hAnsi="Cambria"/>
                <w:sz w:val="18"/>
                <w:szCs w:val="18"/>
              </w:rPr>
            </w:pPr>
          </w:p>
        </w:tc>
        <w:tc>
          <w:tcPr>
            <w:tcW w:w="0" w:type="auto"/>
            <w:hideMark/>
          </w:tcPr>
          <w:p w14:paraId="1F14C76B" w14:textId="77777777" w:rsidR="00012498" w:rsidRPr="009E5C01" w:rsidRDefault="00012498" w:rsidP="009E5C01">
            <w:pPr>
              <w:jc w:val="both"/>
              <w:rPr>
                <w:rFonts w:ascii="Cambria" w:hAnsi="Cambria"/>
                <w:sz w:val="18"/>
                <w:szCs w:val="18"/>
              </w:rPr>
            </w:pPr>
            <w:r w:rsidRPr="009E5C01">
              <w:rPr>
                <w:rFonts w:ascii="Cambria" w:hAnsi="Cambria"/>
                <w:sz w:val="18"/>
                <w:szCs w:val="18"/>
              </w:rPr>
              <w:t>Water</w:t>
            </w:r>
          </w:p>
        </w:tc>
        <w:tc>
          <w:tcPr>
            <w:tcW w:w="0" w:type="auto"/>
            <w:hideMark/>
          </w:tcPr>
          <w:p w14:paraId="7B330878" w14:textId="77777777" w:rsidR="00012498" w:rsidRPr="009E5C01" w:rsidRDefault="00012498" w:rsidP="009E5C01">
            <w:pPr>
              <w:jc w:val="both"/>
              <w:rPr>
                <w:rFonts w:ascii="Cambria" w:hAnsi="Cambria"/>
                <w:sz w:val="18"/>
                <w:szCs w:val="18"/>
              </w:rPr>
            </w:pPr>
            <w:r w:rsidRPr="009E5C01">
              <w:rPr>
                <w:rFonts w:ascii="Cambria" w:hAnsi="Cambria"/>
                <w:sz w:val="18"/>
                <w:szCs w:val="18"/>
              </w:rPr>
              <w:t>2,700</w:t>
            </w:r>
          </w:p>
        </w:tc>
        <w:tc>
          <w:tcPr>
            <w:tcW w:w="0" w:type="auto"/>
            <w:hideMark/>
          </w:tcPr>
          <w:p w14:paraId="6FD8D110" w14:textId="77777777" w:rsidR="00012498" w:rsidRPr="009E5C01" w:rsidRDefault="00012498" w:rsidP="009E5C01">
            <w:pPr>
              <w:jc w:val="both"/>
              <w:rPr>
                <w:rFonts w:ascii="Cambria" w:hAnsi="Cambria"/>
                <w:sz w:val="18"/>
                <w:szCs w:val="18"/>
              </w:rPr>
            </w:pPr>
            <w:r w:rsidRPr="009E5C01">
              <w:rPr>
                <w:rFonts w:ascii="Cambria" w:hAnsi="Cambria"/>
                <w:sz w:val="18"/>
                <w:szCs w:val="18"/>
              </w:rPr>
              <w:t>L</w:t>
            </w:r>
          </w:p>
        </w:tc>
        <w:tc>
          <w:tcPr>
            <w:tcW w:w="0" w:type="auto"/>
            <w:hideMark/>
          </w:tcPr>
          <w:p w14:paraId="6BD93B2F" w14:textId="77777777" w:rsidR="00012498" w:rsidRPr="009E5C01" w:rsidRDefault="00012498" w:rsidP="009E5C01">
            <w:pPr>
              <w:jc w:val="both"/>
              <w:rPr>
                <w:rFonts w:ascii="Cambria" w:hAnsi="Cambria"/>
                <w:sz w:val="18"/>
                <w:szCs w:val="18"/>
              </w:rPr>
            </w:pPr>
            <w:r w:rsidRPr="009E5C01">
              <w:rPr>
                <w:rFonts w:ascii="Cambria" w:hAnsi="Cambria"/>
                <w:sz w:val="18"/>
                <w:szCs w:val="18"/>
              </w:rPr>
              <w:t>Wastewater</w:t>
            </w:r>
          </w:p>
        </w:tc>
        <w:tc>
          <w:tcPr>
            <w:tcW w:w="0" w:type="auto"/>
            <w:hideMark/>
          </w:tcPr>
          <w:p w14:paraId="07C07B54" w14:textId="77777777" w:rsidR="00012498" w:rsidRPr="009E5C01" w:rsidRDefault="00012498" w:rsidP="009E5C01">
            <w:pPr>
              <w:jc w:val="both"/>
              <w:rPr>
                <w:rFonts w:ascii="Cambria" w:hAnsi="Cambria"/>
                <w:sz w:val="18"/>
                <w:szCs w:val="18"/>
              </w:rPr>
            </w:pPr>
            <w:r w:rsidRPr="009E5C01">
              <w:rPr>
                <w:rFonts w:ascii="Cambria" w:hAnsi="Cambria"/>
                <w:sz w:val="18"/>
                <w:szCs w:val="18"/>
              </w:rPr>
              <w:t>600</w:t>
            </w:r>
          </w:p>
        </w:tc>
        <w:tc>
          <w:tcPr>
            <w:tcW w:w="0" w:type="auto"/>
            <w:hideMark/>
          </w:tcPr>
          <w:p w14:paraId="7E4805BA" w14:textId="77777777" w:rsidR="00012498" w:rsidRPr="009E5C01" w:rsidRDefault="00012498" w:rsidP="009E5C01">
            <w:pPr>
              <w:jc w:val="both"/>
              <w:rPr>
                <w:rFonts w:ascii="Cambria" w:hAnsi="Cambria"/>
                <w:sz w:val="18"/>
                <w:szCs w:val="18"/>
              </w:rPr>
            </w:pPr>
            <w:r w:rsidRPr="009E5C01">
              <w:rPr>
                <w:rFonts w:ascii="Cambria" w:hAnsi="Cambria"/>
                <w:sz w:val="18"/>
                <w:szCs w:val="18"/>
              </w:rPr>
              <w:t>L</w:t>
            </w:r>
          </w:p>
        </w:tc>
      </w:tr>
      <w:tr w:rsidR="00012498" w:rsidRPr="009E5C01" w14:paraId="50C2CB5B" w14:textId="77777777" w:rsidTr="00012498">
        <w:tc>
          <w:tcPr>
            <w:tcW w:w="0" w:type="auto"/>
            <w:hideMark/>
          </w:tcPr>
          <w:p w14:paraId="156EE3B8" w14:textId="77777777" w:rsidR="00012498" w:rsidRPr="009E5C01" w:rsidRDefault="00012498" w:rsidP="009E5C01">
            <w:pPr>
              <w:jc w:val="both"/>
              <w:rPr>
                <w:rFonts w:ascii="Cambria" w:hAnsi="Cambria"/>
                <w:sz w:val="18"/>
                <w:szCs w:val="18"/>
              </w:rPr>
            </w:pPr>
          </w:p>
        </w:tc>
        <w:tc>
          <w:tcPr>
            <w:tcW w:w="0" w:type="auto"/>
            <w:hideMark/>
          </w:tcPr>
          <w:p w14:paraId="5A22CB08" w14:textId="77777777" w:rsidR="00012498" w:rsidRPr="009E5C01" w:rsidRDefault="00012498" w:rsidP="009E5C01">
            <w:pPr>
              <w:jc w:val="both"/>
              <w:rPr>
                <w:rFonts w:ascii="Cambria" w:hAnsi="Cambria"/>
                <w:sz w:val="18"/>
                <w:szCs w:val="18"/>
              </w:rPr>
            </w:pPr>
            <w:r w:rsidRPr="009E5C01">
              <w:rPr>
                <w:rFonts w:ascii="Cambria" w:hAnsi="Cambria"/>
                <w:sz w:val="18"/>
                <w:szCs w:val="18"/>
              </w:rPr>
              <w:t>Electricity</w:t>
            </w:r>
          </w:p>
        </w:tc>
        <w:tc>
          <w:tcPr>
            <w:tcW w:w="0" w:type="auto"/>
            <w:hideMark/>
          </w:tcPr>
          <w:p w14:paraId="03D3CCCC" w14:textId="77777777" w:rsidR="00012498" w:rsidRPr="009E5C01" w:rsidRDefault="00012498" w:rsidP="009E5C01">
            <w:pPr>
              <w:jc w:val="both"/>
              <w:rPr>
                <w:rFonts w:ascii="Cambria" w:hAnsi="Cambria"/>
                <w:sz w:val="18"/>
                <w:szCs w:val="18"/>
              </w:rPr>
            </w:pPr>
            <w:r w:rsidRPr="009E5C01">
              <w:rPr>
                <w:rFonts w:ascii="Cambria" w:hAnsi="Cambria"/>
                <w:sz w:val="18"/>
                <w:szCs w:val="18"/>
              </w:rPr>
              <w:t>0.45</w:t>
            </w:r>
          </w:p>
        </w:tc>
        <w:tc>
          <w:tcPr>
            <w:tcW w:w="0" w:type="auto"/>
            <w:hideMark/>
          </w:tcPr>
          <w:p w14:paraId="6F646E3F" w14:textId="77777777" w:rsidR="00012498" w:rsidRPr="009E5C01" w:rsidRDefault="00012498" w:rsidP="009E5C01">
            <w:pPr>
              <w:jc w:val="both"/>
              <w:rPr>
                <w:rFonts w:ascii="Cambria" w:hAnsi="Cambria"/>
                <w:sz w:val="18"/>
                <w:szCs w:val="18"/>
              </w:rPr>
            </w:pPr>
            <w:r w:rsidRPr="009E5C01">
              <w:rPr>
                <w:rFonts w:ascii="Cambria" w:hAnsi="Cambria"/>
                <w:sz w:val="18"/>
                <w:szCs w:val="18"/>
              </w:rPr>
              <w:t>kWh</w:t>
            </w:r>
          </w:p>
        </w:tc>
        <w:tc>
          <w:tcPr>
            <w:tcW w:w="0" w:type="auto"/>
            <w:hideMark/>
          </w:tcPr>
          <w:p w14:paraId="7AE6534E" w14:textId="77777777" w:rsidR="00012498" w:rsidRPr="009E5C01" w:rsidRDefault="00012498" w:rsidP="009E5C01">
            <w:pPr>
              <w:jc w:val="both"/>
              <w:rPr>
                <w:rFonts w:ascii="Cambria" w:hAnsi="Cambria"/>
                <w:sz w:val="18"/>
                <w:szCs w:val="18"/>
              </w:rPr>
            </w:pPr>
            <w:r w:rsidRPr="009E5C01">
              <w:rPr>
                <w:rFonts w:ascii="Cambria" w:hAnsi="Cambria"/>
                <w:sz w:val="18"/>
                <w:szCs w:val="18"/>
              </w:rPr>
              <w:t>CO₂ emissions</w:t>
            </w:r>
          </w:p>
        </w:tc>
        <w:tc>
          <w:tcPr>
            <w:tcW w:w="0" w:type="auto"/>
            <w:hideMark/>
          </w:tcPr>
          <w:p w14:paraId="7116D13E" w14:textId="77777777" w:rsidR="00012498" w:rsidRPr="009E5C01" w:rsidRDefault="00012498" w:rsidP="009E5C01">
            <w:pPr>
              <w:jc w:val="both"/>
              <w:rPr>
                <w:rFonts w:ascii="Cambria" w:hAnsi="Cambria"/>
                <w:sz w:val="18"/>
                <w:szCs w:val="18"/>
              </w:rPr>
            </w:pPr>
            <w:r w:rsidRPr="009E5C01">
              <w:rPr>
                <w:rFonts w:ascii="Cambria" w:hAnsi="Cambria"/>
                <w:sz w:val="18"/>
                <w:szCs w:val="18"/>
              </w:rPr>
              <w:t>0.38</w:t>
            </w:r>
          </w:p>
        </w:tc>
        <w:tc>
          <w:tcPr>
            <w:tcW w:w="0" w:type="auto"/>
            <w:hideMark/>
          </w:tcPr>
          <w:p w14:paraId="136625BF"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r>
      <w:tr w:rsidR="00012498" w:rsidRPr="009E5C01" w14:paraId="6CE92E31" w14:textId="77777777" w:rsidTr="00012498">
        <w:tc>
          <w:tcPr>
            <w:tcW w:w="0" w:type="auto"/>
            <w:hideMark/>
          </w:tcPr>
          <w:p w14:paraId="5C003A06" w14:textId="77777777" w:rsidR="00012498" w:rsidRPr="009E5C01" w:rsidRDefault="00012498" w:rsidP="009E5C01">
            <w:pPr>
              <w:jc w:val="both"/>
              <w:rPr>
                <w:rFonts w:ascii="Cambria" w:hAnsi="Cambria"/>
                <w:sz w:val="18"/>
                <w:szCs w:val="18"/>
              </w:rPr>
            </w:pPr>
            <w:r w:rsidRPr="009E5C01">
              <w:rPr>
                <w:rFonts w:ascii="Cambria" w:hAnsi="Cambria"/>
                <w:sz w:val="18"/>
                <w:szCs w:val="18"/>
              </w:rPr>
              <w:t>Grinding</w:t>
            </w:r>
          </w:p>
        </w:tc>
        <w:tc>
          <w:tcPr>
            <w:tcW w:w="0" w:type="auto"/>
            <w:hideMark/>
          </w:tcPr>
          <w:p w14:paraId="0FBEDB77" w14:textId="77777777" w:rsidR="00012498" w:rsidRPr="009E5C01" w:rsidRDefault="00012498" w:rsidP="009E5C01">
            <w:pPr>
              <w:jc w:val="both"/>
              <w:rPr>
                <w:rFonts w:ascii="Cambria" w:hAnsi="Cambria"/>
                <w:sz w:val="18"/>
                <w:szCs w:val="18"/>
              </w:rPr>
            </w:pPr>
            <w:r w:rsidRPr="009E5C01">
              <w:rPr>
                <w:rFonts w:ascii="Cambria" w:hAnsi="Cambria"/>
                <w:sz w:val="18"/>
                <w:szCs w:val="18"/>
              </w:rPr>
              <w:t>Hydrated soybeans</w:t>
            </w:r>
          </w:p>
        </w:tc>
        <w:tc>
          <w:tcPr>
            <w:tcW w:w="0" w:type="auto"/>
            <w:hideMark/>
          </w:tcPr>
          <w:p w14:paraId="27F60B32" w14:textId="77777777" w:rsidR="00012498" w:rsidRPr="009E5C01" w:rsidRDefault="00012498" w:rsidP="009E5C01">
            <w:pPr>
              <w:jc w:val="both"/>
              <w:rPr>
                <w:rFonts w:ascii="Cambria" w:hAnsi="Cambria"/>
                <w:sz w:val="18"/>
                <w:szCs w:val="18"/>
              </w:rPr>
            </w:pPr>
            <w:r w:rsidRPr="009E5C01">
              <w:rPr>
                <w:rFonts w:ascii="Cambria" w:hAnsi="Cambria"/>
                <w:sz w:val="18"/>
                <w:szCs w:val="18"/>
              </w:rPr>
              <w:t>3,640</w:t>
            </w:r>
          </w:p>
        </w:tc>
        <w:tc>
          <w:tcPr>
            <w:tcW w:w="0" w:type="auto"/>
            <w:hideMark/>
          </w:tcPr>
          <w:p w14:paraId="25184206"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c>
          <w:tcPr>
            <w:tcW w:w="0" w:type="auto"/>
            <w:hideMark/>
          </w:tcPr>
          <w:p w14:paraId="2EA9B73F" w14:textId="77777777" w:rsidR="00012498" w:rsidRPr="009E5C01" w:rsidRDefault="00012498" w:rsidP="009E5C01">
            <w:pPr>
              <w:jc w:val="both"/>
              <w:rPr>
                <w:rFonts w:ascii="Cambria" w:hAnsi="Cambria"/>
                <w:sz w:val="18"/>
                <w:szCs w:val="18"/>
              </w:rPr>
            </w:pPr>
            <w:r w:rsidRPr="009E5C01">
              <w:rPr>
                <w:rFonts w:ascii="Cambria" w:hAnsi="Cambria"/>
                <w:sz w:val="18"/>
                <w:szCs w:val="18"/>
              </w:rPr>
              <w:t>Fine soybean slurry</w:t>
            </w:r>
          </w:p>
        </w:tc>
        <w:tc>
          <w:tcPr>
            <w:tcW w:w="0" w:type="auto"/>
            <w:hideMark/>
          </w:tcPr>
          <w:p w14:paraId="3FE7C846" w14:textId="77777777" w:rsidR="00012498" w:rsidRPr="009E5C01" w:rsidRDefault="00012498" w:rsidP="009E5C01">
            <w:pPr>
              <w:jc w:val="both"/>
              <w:rPr>
                <w:rFonts w:ascii="Cambria" w:hAnsi="Cambria"/>
                <w:sz w:val="18"/>
                <w:szCs w:val="18"/>
              </w:rPr>
            </w:pPr>
            <w:r w:rsidRPr="009E5C01">
              <w:rPr>
                <w:rFonts w:ascii="Cambria" w:hAnsi="Cambria"/>
                <w:sz w:val="18"/>
                <w:szCs w:val="18"/>
              </w:rPr>
              <w:t>7,840</w:t>
            </w:r>
          </w:p>
        </w:tc>
        <w:tc>
          <w:tcPr>
            <w:tcW w:w="0" w:type="auto"/>
            <w:hideMark/>
          </w:tcPr>
          <w:p w14:paraId="39FAFDD9"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r>
      <w:tr w:rsidR="00012498" w:rsidRPr="009E5C01" w14:paraId="2B5C4396" w14:textId="77777777" w:rsidTr="00012498">
        <w:tc>
          <w:tcPr>
            <w:tcW w:w="0" w:type="auto"/>
            <w:hideMark/>
          </w:tcPr>
          <w:p w14:paraId="489E0F20" w14:textId="77777777" w:rsidR="00012498" w:rsidRPr="009E5C01" w:rsidRDefault="00012498" w:rsidP="009E5C01">
            <w:pPr>
              <w:jc w:val="both"/>
              <w:rPr>
                <w:rFonts w:ascii="Cambria" w:hAnsi="Cambria"/>
                <w:sz w:val="18"/>
                <w:szCs w:val="18"/>
              </w:rPr>
            </w:pPr>
          </w:p>
        </w:tc>
        <w:tc>
          <w:tcPr>
            <w:tcW w:w="0" w:type="auto"/>
            <w:hideMark/>
          </w:tcPr>
          <w:p w14:paraId="72B72C3E" w14:textId="77777777" w:rsidR="00012498" w:rsidRPr="009E5C01" w:rsidRDefault="00012498" w:rsidP="009E5C01">
            <w:pPr>
              <w:jc w:val="both"/>
              <w:rPr>
                <w:rFonts w:ascii="Cambria" w:hAnsi="Cambria"/>
                <w:sz w:val="18"/>
                <w:szCs w:val="18"/>
              </w:rPr>
            </w:pPr>
            <w:r w:rsidRPr="009E5C01">
              <w:rPr>
                <w:rFonts w:ascii="Cambria" w:hAnsi="Cambria"/>
                <w:sz w:val="18"/>
                <w:szCs w:val="18"/>
              </w:rPr>
              <w:t>Water</w:t>
            </w:r>
          </w:p>
        </w:tc>
        <w:tc>
          <w:tcPr>
            <w:tcW w:w="0" w:type="auto"/>
            <w:hideMark/>
          </w:tcPr>
          <w:p w14:paraId="78293CC2" w14:textId="77777777" w:rsidR="00012498" w:rsidRPr="009E5C01" w:rsidRDefault="00012498" w:rsidP="009E5C01">
            <w:pPr>
              <w:jc w:val="both"/>
              <w:rPr>
                <w:rFonts w:ascii="Cambria" w:hAnsi="Cambria"/>
                <w:sz w:val="18"/>
                <w:szCs w:val="18"/>
              </w:rPr>
            </w:pPr>
            <w:r w:rsidRPr="009E5C01">
              <w:rPr>
                <w:rFonts w:ascii="Cambria" w:hAnsi="Cambria"/>
                <w:sz w:val="18"/>
                <w:szCs w:val="18"/>
              </w:rPr>
              <w:t>4,200</w:t>
            </w:r>
          </w:p>
        </w:tc>
        <w:tc>
          <w:tcPr>
            <w:tcW w:w="0" w:type="auto"/>
            <w:hideMark/>
          </w:tcPr>
          <w:p w14:paraId="610CD097" w14:textId="77777777" w:rsidR="00012498" w:rsidRPr="009E5C01" w:rsidRDefault="00012498" w:rsidP="009E5C01">
            <w:pPr>
              <w:jc w:val="both"/>
              <w:rPr>
                <w:rFonts w:ascii="Cambria" w:hAnsi="Cambria"/>
                <w:sz w:val="18"/>
                <w:szCs w:val="18"/>
              </w:rPr>
            </w:pPr>
            <w:r w:rsidRPr="009E5C01">
              <w:rPr>
                <w:rFonts w:ascii="Cambria" w:hAnsi="Cambria"/>
                <w:sz w:val="18"/>
                <w:szCs w:val="18"/>
              </w:rPr>
              <w:t>L</w:t>
            </w:r>
          </w:p>
        </w:tc>
        <w:tc>
          <w:tcPr>
            <w:tcW w:w="0" w:type="auto"/>
            <w:hideMark/>
          </w:tcPr>
          <w:p w14:paraId="43AB2345" w14:textId="77777777" w:rsidR="00012498" w:rsidRPr="009E5C01" w:rsidRDefault="00012498" w:rsidP="009E5C01">
            <w:pPr>
              <w:jc w:val="both"/>
              <w:rPr>
                <w:rFonts w:ascii="Cambria" w:hAnsi="Cambria"/>
                <w:sz w:val="18"/>
                <w:szCs w:val="18"/>
              </w:rPr>
            </w:pPr>
            <w:r w:rsidRPr="009E5C01">
              <w:rPr>
                <w:rFonts w:ascii="Cambria" w:hAnsi="Cambria"/>
                <w:sz w:val="18"/>
                <w:szCs w:val="18"/>
              </w:rPr>
              <w:t>Wastewater</w:t>
            </w:r>
          </w:p>
        </w:tc>
        <w:tc>
          <w:tcPr>
            <w:tcW w:w="0" w:type="auto"/>
            <w:hideMark/>
          </w:tcPr>
          <w:p w14:paraId="1774F5EB" w14:textId="77777777" w:rsidR="00012498" w:rsidRPr="009E5C01" w:rsidRDefault="00012498" w:rsidP="009E5C01">
            <w:pPr>
              <w:jc w:val="both"/>
              <w:rPr>
                <w:rFonts w:ascii="Cambria" w:hAnsi="Cambria"/>
                <w:sz w:val="18"/>
                <w:szCs w:val="18"/>
              </w:rPr>
            </w:pPr>
            <w:r w:rsidRPr="009E5C01">
              <w:rPr>
                <w:rFonts w:ascii="Cambria" w:hAnsi="Cambria"/>
                <w:sz w:val="18"/>
                <w:szCs w:val="18"/>
              </w:rPr>
              <w:t>0</w:t>
            </w:r>
          </w:p>
        </w:tc>
        <w:tc>
          <w:tcPr>
            <w:tcW w:w="0" w:type="auto"/>
            <w:hideMark/>
          </w:tcPr>
          <w:p w14:paraId="7D0B08C4" w14:textId="77777777" w:rsidR="00012498" w:rsidRPr="009E5C01" w:rsidRDefault="00012498" w:rsidP="009E5C01">
            <w:pPr>
              <w:jc w:val="both"/>
              <w:rPr>
                <w:rFonts w:ascii="Cambria" w:hAnsi="Cambria"/>
                <w:sz w:val="18"/>
                <w:szCs w:val="18"/>
              </w:rPr>
            </w:pPr>
            <w:r w:rsidRPr="009E5C01">
              <w:rPr>
                <w:rFonts w:ascii="Cambria" w:hAnsi="Cambria"/>
                <w:sz w:val="18"/>
                <w:szCs w:val="18"/>
              </w:rPr>
              <w:t>L</w:t>
            </w:r>
          </w:p>
        </w:tc>
      </w:tr>
      <w:tr w:rsidR="00012498" w:rsidRPr="009E5C01" w14:paraId="1FF9A525" w14:textId="77777777" w:rsidTr="00012498">
        <w:tc>
          <w:tcPr>
            <w:tcW w:w="0" w:type="auto"/>
            <w:hideMark/>
          </w:tcPr>
          <w:p w14:paraId="0D99990D" w14:textId="77777777" w:rsidR="00012498" w:rsidRPr="009E5C01" w:rsidRDefault="00012498" w:rsidP="009E5C01">
            <w:pPr>
              <w:jc w:val="both"/>
              <w:rPr>
                <w:rFonts w:ascii="Cambria" w:hAnsi="Cambria"/>
                <w:sz w:val="18"/>
                <w:szCs w:val="18"/>
              </w:rPr>
            </w:pPr>
          </w:p>
        </w:tc>
        <w:tc>
          <w:tcPr>
            <w:tcW w:w="0" w:type="auto"/>
            <w:hideMark/>
          </w:tcPr>
          <w:p w14:paraId="58914D1B" w14:textId="77777777" w:rsidR="00012498" w:rsidRPr="009E5C01" w:rsidRDefault="00012498" w:rsidP="009E5C01">
            <w:pPr>
              <w:jc w:val="both"/>
              <w:rPr>
                <w:rFonts w:ascii="Cambria" w:hAnsi="Cambria"/>
                <w:sz w:val="18"/>
                <w:szCs w:val="18"/>
              </w:rPr>
            </w:pPr>
            <w:r w:rsidRPr="009E5C01">
              <w:rPr>
                <w:rFonts w:ascii="Cambria" w:hAnsi="Cambria"/>
                <w:sz w:val="18"/>
                <w:szCs w:val="18"/>
              </w:rPr>
              <w:t>Electricity</w:t>
            </w:r>
          </w:p>
        </w:tc>
        <w:tc>
          <w:tcPr>
            <w:tcW w:w="0" w:type="auto"/>
            <w:hideMark/>
          </w:tcPr>
          <w:p w14:paraId="5947E64A" w14:textId="77777777" w:rsidR="00012498" w:rsidRPr="009E5C01" w:rsidRDefault="00012498" w:rsidP="009E5C01">
            <w:pPr>
              <w:jc w:val="both"/>
              <w:rPr>
                <w:rFonts w:ascii="Cambria" w:hAnsi="Cambria"/>
                <w:sz w:val="18"/>
                <w:szCs w:val="18"/>
              </w:rPr>
            </w:pPr>
            <w:r w:rsidRPr="009E5C01">
              <w:rPr>
                <w:rFonts w:ascii="Cambria" w:hAnsi="Cambria"/>
                <w:sz w:val="18"/>
                <w:szCs w:val="18"/>
              </w:rPr>
              <w:t>17</w:t>
            </w:r>
          </w:p>
        </w:tc>
        <w:tc>
          <w:tcPr>
            <w:tcW w:w="0" w:type="auto"/>
            <w:hideMark/>
          </w:tcPr>
          <w:p w14:paraId="365A8AC9" w14:textId="77777777" w:rsidR="00012498" w:rsidRPr="009E5C01" w:rsidRDefault="00012498" w:rsidP="009E5C01">
            <w:pPr>
              <w:jc w:val="both"/>
              <w:rPr>
                <w:rFonts w:ascii="Cambria" w:hAnsi="Cambria"/>
                <w:sz w:val="18"/>
                <w:szCs w:val="18"/>
              </w:rPr>
            </w:pPr>
            <w:r w:rsidRPr="009E5C01">
              <w:rPr>
                <w:rFonts w:ascii="Cambria" w:hAnsi="Cambria"/>
                <w:sz w:val="18"/>
                <w:szCs w:val="18"/>
              </w:rPr>
              <w:t>kWh</w:t>
            </w:r>
          </w:p>
        </w:tc>
        <w:tc>
          <w:tcPr>
            <w:tcW w:w="0" w:type="auto"/>
            <w:hideMark/>
          </w:tcPr>
          <w:p w14:paraId="4A8B1C0F" w14:textId="77777777" w:rsidR="00012498" w:rsidRPr="009E5C01" w:rsidRDefault="00012498" w:rsidP="009E5C01">
            <w:pPr>
              <w:jc w:val="both"/>
              <w:rPr>
                <w:rFonts w:ascii="Cambria" w:hAnsi="Cambria"/>
                <w:sz w:val="18"/>
                <w:szCs w:val="18"/>
              </w:rPr>
            </w:pPr>
            <w:r w:rsidRPr="009E5C01">
              <w:rPr>
                <w:rFonts w:ascii="Cambria" w:hAnsi="Cambria"/>
                <w:sz w:val="18"/>
                <w:szCs w:val="18"/>
              </w:rPr>
              <w:t>CO₂ emissions</w:t>
            </w:r>
          </w:p>
        </w:tc>
        <w:tc>
          <w:tcPr>
            <w:tcW w:w="0" w:type="auto"/>
            <w:hideMark/>
          </w:tcPr>
          <w:p w14:paraId="55C03986" w14:textId="77777777" w:rsidR="00012498" w:rsidRPr="009E5C01" w:rsidRDefault="00012498" w:rsidP="009E5C01">
            <w:pPr>
              <w:jc w:val="both"/>
              <w:rPr>
                <w:rFonts w:ascii="Cambria" w:hAnsi="Cambria"/>
                <w:sz w:val="18"/>
                <w:szCs w:val="18"/>
              </w:rPr>
            </w:pPr>
            <w:r w:rsidRPr="009E5C01">
              <w:rPr>
                <w:rFonts w:ascii="Cambria" w:hAnsi="Cambria"/>
                <w:sz w:val="18"/>
                <w:szCs w:val="18"/>
              </w:rPr>
              <w:t>14.45</w:t>
            </w:r>
          </w:p>
        </w:tc>
        <w:tc>
          <w:tcPr>
            <w:tcW w:w="0" w:type="auto"/>
            <w:hideMark/>
          </w:tcPr>
          <w:p w14:paraId="4A6BADDC"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r>
      <w:tr w:rsidR="00012498" w:rsidRPr="009E5C01" w14:paraId="09B75E3A" w14:textId="77777777" w:rsidTr="00012498">
        <w:tc>
          <w:tcPr>
            <w:tcW w:w="0" w:type="auto"/>
            <w:hideMark/>
          </w:tcPr>
          <w:p w14:paraId="47413636" w14:textId="77777777" w:rsidR="00012498" w:rsidRPr="009E5C01" w:rsidRDefault="00012498" w:rsidP="009E5C01">
            <w:pPr>
              <w:jc w:val="both"/>
              <w:rPr>
                <w:rFonts w:ascii="Cambria" w:hAnsi="Cambria"/>
                <w:sz w:val="18"/>
                <w:szCs w:val="18"/>
              </w:rPr>
            </w:pPr>
            <w:r w:rsidRPr="009E5C01">
              <w:rPr>
                <w:rFonts w:ascii="Cambria" w:hAnsi="Cambria"/>
                <w:sz w:val="18"/>
                <w:szCs w:val="18"/>
              </w:rPr>
              <w:t>Boiling</w:t>
            </w:r>
          </w:p>
        </w:tc>
        <w:tc>
          <w:tcPr>
            <w:tcW w:w="0" w:type="auto"/>
            <w:hideMark/>
          </w:tcPr>
          <w:p w14:paraId="2BC9912E" w14:textId="77777777" w:rsidR="00012498" w:rsidRPr="009E5C01" w:rsidRDefault="00012498" w:rsidP="009E5C01">
            <w:pPr>
              <w:jc w:val="both"/>
              <w:rPr>
                <w:rFonts w:ascii="Cambria" w:hAnsi="Cambria"/>
                <w:sz w:val="18"/>
                <w:szCs w:val="18"/>
              </w:rPr>
            </w:pPr>
            <w:r w:rsidRPr="009E5C01">
              <w:rPr>
                <w:rFonts w:ascii="Cambria" w:hAnsi="Cambria"/>
                <w:sz w:val="18"/>
                <w:szCs w:val="18"/>
              </w:rPr>
              <w:t>Soybean slurry</w:t>
            </w:r>
          </w:p>
        </w:tc>
        <w:tc>
          <w:tcPr>
            <w:tcW w:w="0" w:type="auto"/>
            <w:hideMark/>
          </w:tcPr>
          <w:p w14:paraId="6ED36A33" w14:textId="77777777" w:rsidR="00012498" w:rsidRPr="009E5C01" w:rsidRDefault="00012498" w:rsidP="009E5C01">
            <w:pPr>
              <w:jc w:val="both"/>
              <w:rPr>
                <w:rFonts w:ascii="Cambria" w:hAnsi="Cambria"/>
                <w:sz w:val="18"/>
                <w:szCs w:val="18"/>
              </w:rPr>
            </w:pPr>
            <w:r w:rsidRPr="009E5C01">
              <w:rPr>
                <w:rFonts w:ascii="Cambria" w:hAnsi="Cambria"/>
                <w:sz w:val="18"/>
                <w:szCs w:val="18"/>
              </w:rPr>
              <w:t>7,840</w:t>
            </w:r>
          </w:p>
        </w:tc>
        <w:tc>
          <w:tcPr>
            <w:tcW w:w="0" w:type="auto"/>
            <w:hideMark/>
          </w:tcPr>
          <w:p w14:paraId="3F9E1439"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c>
          <w:tcPr>
            <w:tcW w:w="0" w:type="auto"/>
            <w:hideMark/>
          </w:tcPr>
          <w:p w14:paraId="2E7AA58D" w14:textId="77777777" w:rsidR="00012498" w:rsidRPr="009E5C01" w:rsidRDefault="00012498" w:rsidP="009E5C01">
            <w:pPr>
              <w:jc w:val="both"/>
              <w:rPr>
                <w:rFonts w:ascii="Cambria" w:hAnsi="Cambria"/>
                <w:sz w:val="18"/>
                <w:szCs w:val="18"/>
              </w:rPr>
            </w:pPr>
            <w:r w:rsidRPr="009E5C01">
              <w:rPr>
                <w:rFonts w:ascii="Cambria" w:hAnsi="Cambria"/>
                <w:sz w:val="18"/>
                <w:szCs w:val="18"/>
              </w:rPr>
              <w:t>Boiled soybean slurry</w:t>
            </w:r>
          </w:p>
        </w:tc>
        <w:tc>
          <w:tcPr>
            <w:tcW w:w="0" w:type="auto"/>
            <w:hideMark/>
          </w:tcPr>
          <w:p w14:paraId="322DD9B5" w14:textId="77777777" w:rsidR="00012498" w:rsidRPr="009E5C01" w:rsidRDefault="00012498" w:rsidP="009E5C01">
            <w:pPr>
              <w:jc w:val="both"/>
              <w:rPr>
                <w:rFonts w:ascii="Cambria" w:hAnsi="Cambria"/>
                <w:sz w:val="18"/>
                <w:szCs w:val="18"/>
              </w:rPr>
            </w:pPr>
            <w:r w:rsidRPr="009E5C01">
              <w:rPr>
                <w:rFonts w:ascii="Cambria" w:hAnsi="Cambria"/>
                <w:sz w:val="18"/>
                <w:szCs w:val="18"/>
              </w:rPr>
              <w:t>15,652</w:t>
            </w:r>
          </w:p>
        </w:tc>
        <w:tc>
          <w:tcPr>
            <w:tcW w:w="0" w:type="auto"/>
            <w:hideMark/>
          </w:tcPr>
          <w:p w14:paraId="2405B32C"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r>
      <w:tr w:rsidR="00012498" w:rsidRPr="009E5C01" w14:paraId="0C2E88F0" w14:textId="77777777" w:rsidTr="00012498">
        <w:tc>
          <w:tcPr>
            <w:tcW w:w="0" w:type="auto"/>
            <w:hideMark/>
          </w:tcPr>
          <w:p w14:paraId="5AA6963C" w14:textId="77777777" w:rsidR="00012498" w:rsidRPr="009E5C01" w:rsidRDefault="00012498" w:rsidP="009E5C01">
            <w:pPr>
              <w:jc w:val="both"/>
              <w:rPr>
                <w:rFonts w:ascii="Cambria" w:hAnsi="Cambria"/>
                <w:sz w:val="18"/>
                <w:szCs w:val="18"/>
              </w:rPr>
            </w:pPr>
          </w:p>
        </w:tc>
        <w:tc>
          <w:tcPr>
            <w:tcW w:w="0" w:type="auto"/>
            <w:hideMark/>
          </w:tcPr>
          <w:p w14:paraId="43DE5A5B" w14:textId="77777777" w:rsidR="00012498" w:rsidRPr="009E5C01" w:rsidRDefault="00012498" w:rsidP="009E5C01">
            <w:pPr>
              <w:jc w:val="both"/>
              <w:rPr>
                <w:rFonts w:ascii="Cambria" w:hAnsi="Cambria"/>
                <w:sz w:val="18"/>
                <w:szCs w:val="18"/>
              </w:rPr>
            </w:pPr>
            <w:r w:rsidRPr="009E5C01">
              <w:rPr>
                <w:rFonts w:ascii="Cambria" w:hAnsi="Cambria"/>
                <w:sz w:val="18"/>
                <w:szCs w:val="18"/>
              </w:rPr>
              <w:t>Water</w:t>
            </w:r>
          </w:p>
        </w:tc>
        <w:tc>
          <w:tcPr>
            <w:tcW w:w="0" w:type="auto"/>
            <w:hideMark/>
          </w:tcPr>
          <w:p w14:paraId="443D37BD" w14:textId="77777777" w:rsidR="00012498" w:rsidRPr="009E5C01" w:rsidRDefault="00012498" w:rsidP="009E5C01">
            <w:pPr>
              <w:jc w:val="both"/>
              <w:rPr>
                <w:rFonts w:ascii="Cambria" w:hAnsi="Cambria"/>
                <w:sz w:val="18"/>
                <w:szCs w:val="18"/>
              </w:rPr>
            </w:pPr>
            <w:r w:rsidRPr="009E5C01">
              <w:rPr>
                <w:rFonts w:ascii="Cambria" w:hAnsi="Cambria"/>
                <w:sz w:val="18"/>
                <w:szCs w:val="18"/>
              </w:rPr>
              <w:t>8,400</w:t>
            </w:r>
          </w:p>
        </w:tc>
        <w:tc>
          <w:tcPr>
            <w:tcW w:w="0" w:type="auto"/>
            <w:hideMark/>
          </w:tcPr>
          <w:p w14:paraId="7B902FF6" w14:textId="77777777" w:rsidR="00012498" w:rsidRPr="009E5C01" w:rsidRDefault="00012498" w:rsidP="009E5C01">
            <w:pPr>
              <w:jc w:val="both"/>
              <w:rPr>
                <w:rFonts w:ascii="Cambria" w:hAnsi="Cambria"/>
                <w:sz w:val="18"/>
                <w:szCs w:val="18"/>
              </w:rPr>
            </w:pPr>
            <w:r w:rsidRPr="009E5C01">
              <w:rPr>
                <w:rFonts w:ascii="Cambria" w:hAnsi="Cambria"/>
                <w:sz w:val="18"/>
                <w:szCs w:val="18"/>
              </w:rPr>
              <w:t>L</w:t>
            </w:r>
          </w:p>
        </w:tc>
        <w:tc>
          <w:tcPr>
            <w:tcW w:w="0" w:type="auto"/>
            <w:hideMark/>
          </w:tcPr>
          <w:p w14:paraId="658CFC8E" w14:textId="77777777" w:rsidR="00012498" w:rsidRPr="009E5C01" w:rsidRDefault="00012498" w:rsidP="009E5C01">
            <w:pPr>
              <w:jc w:val="both"/>
              <w:rPr>
                <w:rFonts w:ascii="Cambria" w:hAnsi="Cambria"/>
                <w:sz w:val="18"/>
                <w:szCs w:val="18"/>
              </w:rPr>
            </w:pPr>
            <w:r w:rsidRPr="009E5C01">
              <w:rPr>
                <w:rFonts w:ascii="Cambria" w:hAnsi="Cambria"/>
                <w:sz w:val="18"/>
                <w:szCs w:val="18"/>
              </w:rPr>
              <w:t>Steam loss (evaporation)</w:t>
            </w:r>
          </w:p>
        </w:tc>
        <w:tc>
          <w:tcPr>
            <w:tcW w:w="0" w:type="auto"/>
            <w:hideMark/>
          </w:tcPr>
          <w:p w14:paraId="6CC1CE17" w14:textId="77777777" w:rsidR="00012498" w:rsidRPr="009E5C01" w:rsidRDefault="00012498" w:rsidP="009E5C01">
            <w:pPr>
              <w:jc w:val="both"/>
              <w:rPr>
                <w:rFonts w:ascii="Cambria" w:hAnsi="Cambria"/>
                <w:sz w:val="18"/>
                <w:szCs w:val="18"/>
              </w:rPr>
            </w:pPr>
            <w:r w:rsidRPr="009E5C01">
              <w:rPr>
                <w:rFonts w:ascii="Cambria" w:hAnsi="Cambria"/>
                <w:sz w:val="18"/>
                <w:szCs w:val="18"/>
              </w:rPr>
              <w:t>588</w:t>
            </w:r>
          </w:p>
        </w:tc>
        <w:tc>
          <w:tcPr>
            <w:tcW w:w="0" w:type="auto"/>
            <w:hideMark/>
          </w:tcPr>
          <w:p w14:paraId="620C47E2" w14:textId="77777777" w:rsidR="00012498" w:rsidRPr="009E5C01" w:rsidRDefault="00012498" w:rsidP="009E5C01">
            <w:pPr>
              <w:jc w:val="both"/>
              <w:rPr>
                <w:rFonts w:ascii="Cambria" w:hAnsi="Cambria"/>
                <w:sz w:val="18"/>
                <w:szCs w:val="18"/>
              </w:rPr>
            </w:pPr>
            <w:r w:rsidRPr="009E5C01">
              <w:rPr>
                <w:rFonts w:ascii="Cambria" w:hAnsi="Cambria"/>
                <w:sz w:val="18"/>
                <w:szCs w:val="18"/>
              </w:rPr>
              <w:t>L</w:t>
            </w:r>
          </w:p>
        </w:tc>
      </w:tr>
      <w:tr w:rsidR="00012498" w:rsidRPr="009E5C01" w14:paraId="6FFD88B9" w14:textId="77777777" w:rsidTr="00012498">
        <w:tc>
          <w:tcPr>
            <w:tcW w:w="0" w:type="auto"/>
            <w:hideMark/>
          </w:tcPr>
          <w:p w14:paraId="70481EE0" w14:textId="77777777" w:rsidR="00012498" w:rsidRPr="009E5C01" w:rsidRDefault="00012498" w:rsidP="009E5C01">
            <w:pPr>
              <w:jc w:val="both"/>
              <w:rPr>
                <w:rFonts w:ascii="Cambria" w:hAnsi="Cambria"/>
                <w:sz w:val="18"/>
                <w:szCs w:val="18"/>
              </w:rPr>
            </w:pPr>
          </w:p>
        </w:tc>
        <w:tc>
          <w:tcPr>
            <w:tcW w:w="0" w:type="auto"/>
            <w:hideMark/>
          </w:tcPr>
          <w:p w14:paraId="19D5605A" w14:textId="77777777" w:rsidR="00012498" w:rsidRPr="009E5C01" w:rsidRDefault="00012498" w:rsidP="009E5C01">
            <w:pPr>
              <w:jc w:val="both"/>
              <w:rPr>
                <w:rFonts w:ascii="Cambria" w:hAnsi="Cambria"/>
                <w:sz w:val="18"/>
                <w:szCs w:val="18"/>
              </w:rPr>
            </w:pPr>
            <w:r w:rsidRPr="009E5C01">
              <w:rPr>
                <w:rFonts w:ascii="Cambria" w:hAnsi="Cambria"/>
                <w:sz w:val="18"/>
                <w:szCs w:val="18"/>
              </w:rPr>
              <w:t>Firewood</w:t>
            </w:r>
          </w:p>
        </w:tc>
        <w:tc>
          <w:tcPr>
            <w:tcW w:w="0" w:type="auto"/>
            <w:hideMark/>
          </w:tcPr>
          <w:p w14:paraId="29DE229B" w14:textId="77777777" w:rsidR="00012498" w:rsidRPr="009E5C01" w:rsidRDefault="00012498" w:rsidP="009E5C01">
            <w:pPr>
              <w:jc w:val="both"/>
              <w:rPr>
                <w:rFonts w:ascii="Cambria" w:hAnsi="Cambria"/>
                <w:sz w:val="18"/>
                <w:szCs w:val="18"/>
              </w:rPr>
            </w:pPr>
            <w:r w:rsidRPr="009E5C01">
              <w:rPr>
                <w:rFonts w:ascii="Cambria" w:hAnsi="Cambria"/>
                <w:sz w:val="18"/>
                <w:szCs w:val="18"/>
              </w:rPr>
              <w:t>800</w:t>
            </w:r>
          </w:p>
        </w:tc>
        <w:tc>
          <w:tcPr>
            <w:tcW w:w="0" w:type="auto"/>
            <w:hideMark/>
          </w:tcPr>
          <w:p w14:paraId="49E259D7"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c>
          <w:tcPr>
            <w:tcW w:w="0" w:type="auto"/>
            <w:hideMark/>
          </w:tcPr>
          <w:p w14:paraId="0B9D7C87" w14:textId="77777777" w:rsidR="00012498" w:rsidRPr="009E5C01" w:rsidRDefault="00012498" w:rsidP="009E5C01">
            <w:pPr>
              <w:jc w:val="both"/>
              <w:rPr>
                <w:rFonts w:ascii="Cambria" w:hAnsi="Cambria"/>
                <w:sz w:val="18"/>
                <w:szCs w:val="18"/>
              </w:rPr>
            </w:pPr>
            <w:r w:rsidRPr="009E5C01">
              <w:rPr>
                <w:rFonts w:ascii="Cambria" w:hAnsi="Cambria"/>
                <w:sz w:val="18"/>
                <w:szCs w:val="18"/>
              </w:rPr>
              <w:t>CO₂ emissions</w:t>
            </w:r>
          </w:p>
        </w:tc>
        <w:tc>
          <w:tcPr>
            <w:tcW w:w="0" w:type="auto"/>
            <w:hideMark/>
          </w:tcPr>
          <w:p w14:paraId="33BEFE57" w14:textId="77777777" w:rsidR="00012498" w:rsidRPr="009E5C01" w:rsidRDefault="00012498" w:rsidP="009E5C01">
            <w:pPr>
              <w:jc w:val="both"/>
              <w:rPr>
                <w:rFonts w:ascii="Cambria" w:hAnsi="Cambria"/>
                <w:sz w:val="18"/>
                <w:szCs w:val="18"/>
              </w:rPr>
            </w:pPr>
            <w:r w:rsidRPr="009E5C01">
              <w:rPr>
                <w:rFonts w:ascii="Cambria" w:hAnsi="Cambria"/>
                <w:sz w:val="18"/>
                <w:szCs w:val="18"/>
              </w:rPr>
              <w:t>1,397</w:t>
            </w:r>
          </w:p>
        </w:tc>
        <w:tc>
          <w:tcPr>
            <w:tcW w:w="0" w:type="auto"/>
            <w:hideMark/>
          </w:tcPr>
          <w:p w14:paraId="41302B65"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r>
      <w:tr w:rsidR="00012498" w:rsidRPr="009E5C01" w14:paraId="3753F2EE" w14:textId="77777777" w:rsidTr="00012498">
        <w:tc>
          <w:tcPr>
            <w:tcW w:w="0" w:type="auto"/>
            <w:hideMark/>
          </w:tcPr>
          <w:p w14:paraId="6C730289" w14:textId="77777777" w:rsidR="00012498" w:rsidRPr="009E5C01" w:rsidRDefault="00012498" w:rsidP="009E5C01">
            <w:pPr>
              <w:jc w:val="both"/>
              <w:rPr>
                <w:rFonts w:ascii="Cambria" w:hAnsi="Cambria"/>
                <w:sz w:val="18"/>
                <w:szCs w:val="18"/>
              </w:rPr>
            </w:pPr>
          </w:p>
        </w:tc>
        <w:tc>
          <w:tcPr>
            <w:tcW w:w="0" w:type="auto"/>
            <w:hideMark/>
          </w:tcPr>
          <w:p w14:paraId="1335402D" w14:textId="77777777" w:rsidR="00012498" w:rsidRPr="009E5C01" w:rsidRDefault="00012498" w:rsidP="009E5C01">
            <w:pPr>
              <w:jc w:val="both"/>
              <w:rPr>
                <w:rFonts w:ascii="Cambria" w:hAnsi="Cambria"/>
                <w:sz w:val="18"/>
                <w:szCs w:val="18"/>
              </w:rPr>
            </w:pPr>
          </w:p>
        </w:tc>
        <w:tc>
          <w:tcPr>
            <w:tcW w:w="0" w:type="auto"/>
            <w:hideMark/>
          </w:tcPr>
          <w:p w14:paraId="7CEBC24E" w14:textId="77777777" w:rsidR="00012498" w:rsidRPr="009E5C01" w:rsidRDefault="00012498" w:rsidP="009E5C01">
            <w:pPr>
              <w:jc w:val="both"/>
              <w:rPr>
                <w:rFonts w:ascii="Cambria" w:hAnsi="Cambria"/>
                <w:sz w:val="18"/>
                <w:szCs w:val="18"/>
              </w:rPr>
            </w:pPr>
          </w:p>
        </w:tc>
        <w:tc>
          <w:tcPr>
            <w:tcW w:w="0" w:type="auto"/>
            <w:hideMark/>
          </w:tcPr>
          <w:p w14:paraId="7B8A20DF" w14:textId="77777777" w:rsidR="00012498" w:rsidRPr="009E5C01" w:rsidRDefault="00012498" w:rsidP="009E5C01">
            <w:pPr>
              <w:jc w:val="both"/>
              <w:rPr>
                <w:rFonts w:ascii="Cambria" w:hAnsi="Cambria"/>
                <w:sz w:val="18"/>
                <w:szCs w:val="18"/>
              </w:rPr>
            </w:pPr>
          </w:p>
        </w:tc>
        <w:tc>
          <w:tcPr>
            <w:tcW w:w="0" w:type="auto"/>
            <w:hideMark/>
          </w:tcPr>
          <w:p w14:paraId="7D1BF2A2" w14:textId="77777777" w:rsidR="00012498" w:rsidRPr="009E5C01" w:rsidRDefault="00012498" w:rsidP="009E5C01">
            <w:pPr>
              <w:jc w:val="both"/>
              <w:rPr>
                <w:rFonts w:ascii="Cambria" w:hAnsi="Cambria"/>
                <w:sz w:val="18"/>
                <w:szCs w:val="18"/>
              </w:rPr>
            </w:pPr>
            <w:r w:rsidRPr="009E5C01">
              <w:rPr>
                <w:rFonts w:ascii="Cambria" w:hAnsi="Cambria"/>
                <w:sz w:val="18"/>
                <w:szCs w:val="18"/>
              </w:rPr>
              <w:t>CH₄ emissions</w:t>
            </w:r>
          </w:p>
        </w:tc>
        <w:tc>
          <w:tcPr>
            <w:tcW w:w="0" w:type="auto"/>
            <w:hideMark/>
          </w:tcPr>
          <w:p w14:paraId="34383926" w14:textId="77777777" w:rsidR="00012498" w:rsidRPr="009E5C01" w:rsidRDefault="00012498" w:rsidP="009E5C01">
            <w:pPr>
              <w:jc w:val="both"/>
              <w:rPr>
                <w:rFonts w:ascii="Cambria" w:hAnsi="Cambria"/>
                <w:sz w:val="18"/>
                <w:szCs w:val="18"/>
              </w:rPr>
            </w:pPr>
            <w:r w:rsidRPr="009E5C01">
              <w:rPr>
                <w:rFonts w:ascii="Cambria" w:hAnsi="Cambria"/>
                <w:sz w:val="18"/>
                <w:szCs w:val="18"/>
              </w:rPr>
              <w:t>0.0499</w:t>
            </w:r>
          </w:p>
        </w:tc>
        <w:tc>
          <w:tcPr>
            <w:tcW w:w="0" w:type="auto"/>
            <w:hideMark/>
          </w:tcPr>
          <w:p w14:paraId="6BF529DD"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r>
      <w:tr w:rsidR="00012498" w:rsidRPr="009E5C01" w14:paraId="043A264F" w14:textId="77777777" w:rsidTr="00012498">
        <w:tc>
          <w:tcPr>
            <w:tcW w:w="0" w:type="auto"/>
            <w:hideMark/>
          </w:tcPr>
          <w:p w14:paraId="2A9B60D1" w14:textId="77777777" w:rsidR="00012498" w:rsidRPr="009E5C01" w:rsidRDefault="00012498" w:rsidP="009E5C01">
            <w:pPr>
              <w:jc w:val="both"/>
              <w:rPr>
                <w:rFonts w:ascii="Cambria" w:hAnsi="Cambria"/>
                <w:sz w:val="18"/>
                <w:szCs w:val="18"/>
              </w:rPr>
            </w:pPr>
          </w:p>
        </w:tc>
        <w:tc>
          <w:tcPr>
            <w:tcW w:w="0" w:type="auto"/>
            <w:hideMark/>
          </w:tcPr>
          <w:p w14:paraId="25DDE8ED" w14:textId="77777777" w:rsidR="00012498" w:rsidRPr="009E5C01" w:rsidRDefault="00012498" w:rsidP="009E5C01">
            <w:pPr>
              <w:jc w:val="both"/>
              <w:rPr>
                <w:rFonts w:ascii="Cambria" w:hAnsi="Cambria"/>
                <w:sz w:val="18"/>
                <w:szCs w:val="18"/>
              </w:rPr>
            </w:pPr>
          </w:p>
        </w:tc>
        <w:tc>
          <w:tcPr>
            <w:tcW w:w="0" w:type="auto"/>
            <w:hideMark/>
          </w:tcPr>
          <w:p w14:paraId="4D3D8C03" w14:textId="77777777" w:rsidR="00012498" w:rsidRPr="009E5C01" w:rsidRDefault="00012498" w:rsidP="009E5C01">
            <w:pPr>
              <w:jc w:val="both"/>
              <w:rPr>
                <w:rFonts w:ascii="Cambria" w:hAnsi="Cambria"/>
                <w:sz w:val="18"/>
                <w:szCs w:val="18"/>
              </w:rPr>
            </w:pPr>
          </w:p>
        </w:tc>
        <w:tc>
          <w:tcPr>
            <w:tcW w:w="0" w:type="auto"/>
            <w:hideMark/>
          </w:tcPr>
          <w:p w14:paraId="4D31269B" w14:textId="77777777" w:rsidR="00012498" w:rsidRPr="009E5C01" w:rsidRDefault="00012498" w:rsidP="009E5C01">
            <w:pPr>
              <w:jc w:val="both"/>
              <w:rPr>
                <w:rFonts w:ascii="Cambria" w:hAnsi="Cambria"/>
                <w:sz w:val="18"/>
                <w:szCs w:val="18"/>
              </w:rPr>
            </w:pPr>
          </w:p>
        </w:tc>
        <w:tc>
          <w:tcPr>
            <w:tcW w:w="0" w:type="auto"/>
            <w:hideMark/>
          </w:tcPr>
          <w:p w14:paraId="71A2E824" w14:textId="77777777" w:rsidR="00012498" w:rsidRPr="009E5C01" w:rsidRDefault="00012498" w:rsidP="009E5C01">
            <w:pPr>
              <w:jc w:val="both"/>
              <w:rPr>
                <w:rFonts w:ascii="Cambria" w:hAnsi="Cambria"/>
                <w:sz w:val="18"/>
                <w:szCs w:val="18"/>
              </w:rPr>
            </w:pPr>
            <w:r w:rsidRPr="009E5C01">
              <w:rPr>
                <w:rFonts w:ascii="Cambria" w:hAnsi="Cambria"/>
                <w:sz w:val="18"/>
                <w:szCs w:val="18"/>
              </w:rPr>
              <w:t>N₂O emissions</w:t>
            </w:r>
          </w:p>
        </w:tc>
        <w:tc>
          <w:tcPr>
            <w:tcW w:w="0" w:type="auto"/>
            <w:hideMark/>
          </w:tcPr>
          <w:p w14:paraId="11B09322" w14:textId="77777777" w:rsidR="00012498" w:rsidRPr="009E5C01" w:rsidRDefault="00012498" w:rsidP="009E5C01">
            <w:pPr>
              <w:jc w:val="both"/>
              <w:rPr>
                <w:rFonts w:ascii="Cambria" w:hAnsi="Cambria"/>
                <w:sz w:val="18"/>
                <w:szCs w:val="18"/>
              </w:rPr>
            </w:pPr>
            <w:r w:rsidRPr="009E5C01">
              <w:rPr>
                <w:rFonts w:ascii="Cambria" w:hAnsi="Cambria"/>
                <w:sz w:val="18"/>
                <w:szCs w:val="18"/>
              </w:rPr>
              <w:t>0.3744</w:t>
            </w:r>
          </w:p>
        </w:tc>
        <w:tc>
          <w:tcPr>
            <w:tcW w:w="0" w:type="auto"/>
            <w:hideMark/>
          </w:tcPr>
          <w:p w14:paraId="3E09421D"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r>
      <w:tr w:rsidR="00012498" w:rsidRPr="009E5C01" w14:paraId="040CF741" w14:textId="77777777" w:rsidTr="00012498">
        <w:tc>
          <w:tcPr>
            <w:tcW w:w="0" w:type="auto"/>
            <w:hideMark/>
          </w:tcPr>
          <w:p w14:paraId="45DC5B06" w14:textId="77777777" w:rsidR="00012498" w:rsidRPr="009E5C01" w:rsidRDefault="00012498" w:rsidP="009E5C01">
            <w:pPr>
              <w:jc w:val="both"/>
              <w:rPr>
                <w:rFonts w:ascii="Cambria" w:hAnsi="Cambria"/>
                <w:sz w:val="18"/>
                <w:szCs w:val="18"/>
              </w:rPr>
            </w:pPr>
            <w:r w:rsidRPr="009E5C01">
              <w:rPr>
                <w:rFonts w:ascii="Cambria" w:hAnsi="Cambria"/>
                <w:sz w:val="18"/>
                <w:szCs w:val="18"/>
              </w:rPr>
              <w:t>Filtration</w:t>
            </w:r>
          </w:p>
        </w:tc>
        <w:tc>
          <w:tcPr>
            <w:tcW w:w="0" w:type="auto"/>
            <w:hideMark/>
          </w:tcPr>
          <w:p w14:paraId="319CC31B" w14:textId="77777777" w:rsidR="00012498" w:rsidRPr="009E5C01" w:rsidRDefault="00012498" w:rsidP="009E5C01">
            <w:pPr>
              <w:jc w:val="both"/>
              <w:rPr>
                <w:rFonts w:ascii="Cambria" w:hAnsi="Cambria"/>
                <w:sz w:val="18"/>
                <w:szCs w:val="18"/>
              </w:rPr>
            </w:pPr>
            <w:r w:rsidRPr="009E5C01">
              <w:rPr>
                <w:rFonts w:ascii="Cambria" w:hAnsi="Cambria"/>
                <w:sz w:val="18"/>
                <w:szCs w:val="18"/>
              </w:rPr>
              <w:t>Boiled slurry</w:t>
            </w:r>
          </w:p>
        </w:tc>
        <w:tc>
          <w:tcPr>
            <w:tcW w:w="0" w:type="auto"/>
            <w:hideMark/>
          </w:tcPr>
          <w:p w14:paraId="65F5B90D" w14:textId="77777777" w:rsidR="00012498" w:rsidRPr="009E5C01" w:rsidRDefault="00012498" w:rsidP="009E5C01">
            <w:pPr>
              <w:jc w:val="both"/>
              <w:rPr>
                <w:rFonts w:ascii="Cambria" w:hAnsi="Cambria"/>
                <w:sz w:val="18"/>
                <w:szCs w:val="18"/>
              </w:rPr>
            </w:pPr>
            <w:r w:rsidRPr="009E5C01">
              <w:rPr>
                <w:rFonts w:ascii="Cambria" w:hAnsi="Cambria"/>
                <w:sz w:val="18"/>
                <w:szCs w:val="18"/>
              </w:rPr>
              <w:t>15,652</w:t>
            </w:r>
          </w:p>
        </w:tc>
        <w:tc>
          <w:tcPr>
            <w:tcW w:w="0" w:type="auto"/>
            <w:hideMark/>
          </w:tcPr>
          <w:p w14:paraId="1EC90430"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c>
          <w:tcPr>
            <w:tcW w:w="0" w:type="auto"/>
            <w:hideMark/>
          </w:tcPr>
          <w:p w14:paraId="20B25E76" w14:textId="77777777" w:rsidR="00012498" w:rsidRPr="009E5C01" w:rsidRDefault="00012498" w:rsidP="009E5C01">
            <w:pPr>
              <w:jc w:val="both"/>
              <w:rPr>
                <w:rFonts w:ascii="Cambria" w:hAnsi="Cambria"/>
                <w:sz w:val="18"/>
                <w:szCs w:val="18"/>
              </w:rPr>
            </w:pPr>
            <w:r w:rsidRPr="009E5C01">
              <w:rPr>
                <w:rFonts w:ascii="Cambria" w:hAnsi="Cambria"/>
                <w:sz w:val="18"/>
                <w:szCs w:val="18"/>
              </w:rPr>
              <w:t>Soy milk</w:t>
            </w:r>
          </w:p>
        </w:tc>
        <w:tc>
          <w:tcPr>
            <w:tcW w:w="0" w:type="auto"/>
            <w:hideMark/>
          </w:tcPr>
          <w:p w14:paraId="75DE911B" w14:textId="77777777" w:rsidR="00012498" w:rsidRPr="009E5C01" w:rsidRDefault="00012498" w:rsidP="009E5C01">
            <w:pPr>
              <w:jc w:val="both"/>
              <w:rPr>
                <w:rFonts w:ascii="Cambria" w:hAnsi="Cambria"/>
                <w:sz w:val="18"/>
                <w:szCs w:val="18"/>
              </w:rPr>
            </w:pPr>
            <w:r w:rsidRPr="009E5C01">
              <w:rPr>
                <w:rFonts w:ascii="Cambria" w:hAnsi="Cambria"/>
                <w:sz w:val="18"/>
                <w:szCs w:val="18"/>
              </w:rPr>
              <w:t>14,052</w:t>
            </w:r>
          </w:p>
        </w:tc>
        <w:tc>
          <w:tcPr>
            <w:tcW w:w="0" w:type="auto"/>
            <w:hideMark/>
          </w:tcPr>
          <w:p w14:paraId="7671BA82"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r>
      <w:tr w:rsidR="00012498" w:rsidRPr="009E5C01" w14:paraId="13E60708" w14:textId="77777777" w:rsidTr="00012498">
        <w:tc>
          <w:tcPr>
            <w:tcW w:w="0" w:type="auto"/>
            <w:hideMark/>
          </w:tcPr>
          <w:p w14:paraId="00762CFE" w14:textId="77777777" w:rsidR="00012498" w:rsidRPr="009E5C01" w:rsidRDefault="00012498" w:rsidP="009E5C01">
            <w:pPr>
              <w:jc w:val="both"/>
              <w:rPr>
                <w:rFonts w:ascii="Cambria" w:hAnsi="Cambria"/>
                <w:sz w:val="18"/>
                <w:szCs w:val="18"/>
              </w:rPr>
            </w:pPr>
          </w:p>
        </w:tc>
        <w:tc>
          <w:tcPr>
            <w:tcW w:w="0" w:type="auto"/>
            <w:hideMark/>
          </w:tcPr>
          <w:p w14:paraId="50A8BE7A" w14:textId="77777777" w:rsidR="00012498" w:rsidRPr="009E5C01" w:rsidRDefault="00012498" w:rsidP="009E5C01">
            <w:pPr>
              <w:jc w:val="both"/>
              <w:rPr>
                <w:rFonts w:ascii="Cambria" w:hAnsi="Cambria"/>
                <w:sz w:val="18"/>
                <w:szCs w:val="18"/>
              </w:rPr>
            </w:pPr>
          </w:p>
        </w:tc>
        <w:tc>
          <w:tcPr>
            <w:tcW w:w="0" w:type="auto"/>
            <w:hideMark/>
          </w:tcPr>
          <w:p w14:paraId="74A01C9E" w14:textId="77777777" w:rsidR="00012498" w:rsidRPr="009E5C01" w:rsidRDefault="00012498" w:rsidP="009E5C01">
            <w:pPr>
              <w:jc w:val="both"/>
              <w:rPr>
                <w:rFonts w:ascii="Cambria" w:hAnsi="Cambria"/>
                <w:sz w:val="18"/>
                <w:szCs w:val="18"/>
              </w:rPr>
            </w:pPr>
          </w:p>
        </w:tc>
        <w:tc>
          <w:tcPr>
            <w:tcW w:w="0" w:type="auto"/>
            <w:hideMark/>
          </w:tcPr>
          <w:p w14:paraId="3D76DDF2" w14:textId="77777777" w:rsidR="00012498" w:rsidRPr="009E5C01" w:rsidRDefault="00012498" w:rsidP="009E5C01">
            <w:pPr>
              <w:jc w:val="both"/>
              <w:rPr>
                <w:rFonts w:ascii="Cambria" w:hAnsi="Cambria"/>
                <w:sz w:val="18"/>
                <w:szCs w:val="18"/>
              </w:rPr>
            </w:pPr>
          </w:p>
        </w:tc>
        <w:tc>
          <w:tcPr>
            <w:tcW w:w="0" w:type="auto"/>
            <w:hideMark/>
          </w:tcPr>
          <w:p w14:paraId="142D7332" w14:textId="77777777" w:rsidR="00012498" w:rsidRPr="009E5C01" w:rsidRDefault="00012498" w:rsidP="009E5C01">
            <w:pPr>
              <w:jc w:val="both"/>
              <w:rPr>
                <w:rFonts w:ascii="Cambria" w:hAnsi="Cambria"/>
                <w:sz w:val="18"/>
                <w:szCs w:val="18"/>
              </w:rPr>
            </w:pPr>
            <w:r w:rsidRPr="009E5C01">
              <w:rPr>
                <w:rFonts w:ascii="Cambria" w:hAnsi="Cambria"/>
                <w:sz w:val="18"/>
                <w:szCs w:val="18"/>
              </w:rPr>
              <w:t>Tofu residue (okara)</w:t>
            </w:r>
          </w:p>
        </w:tc>
        <w:tc>
          <w:tcPr>
            <w:tcW w:w="0" w:type="auto"/>
            <w:hideMark/>
          </w:tcPr>
          <w:p w14:paraId="2EA8F652" w14:textId="77777777" w:rsidR="00012498" w:rsidRPr="009E5C01" w:rsidRDefault="00012498" w:rsidP="009E5C01">
            <w:pPr>
              <w:jc w:val="both"/>
              <w:rPr>
                <w:rFonts w:ascii="Cambria" w:hAnsi="Cambria"/>
                <w:sz w:val="18"/>
                <w:szCs w:val="18"/>
              </w:rPr>
            </w:pPr>
            <w:r w:rsidRPr="009E5C01">
              <w:rPr>
                <w:rFonts w:ascii="Cambria" w:hAnsi="Cambria"/>
                <w:sz w:val="18"/>
                <w:szCs w:val="18"/>
              </w:rPr>
              <w:t>1,600</w:t>
            </w:r>
          </w:p>
        </w:tc>
        <w:tc>
          <w:tcPr>
            <w:tcW w:w="0" w:type="auto"/>
            <w:hideMark/>
          </w:tcPr>
          <w:p w14:paraId="22FE6143"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r>
      <w:tr w:rsidR="00012498" w:rsidRPr="009E5C01" w14:paraId="706394CD" w14:textId="77777777" w:rsidTr="00012498">
        <w:tc>
          <w:tcPr>
            <w:tcW w:w="0" w:type="auto"/>
            <w:hideMark/>
          </w:tcPr>
          <w:p w14:paraId="7AA88084" w14:textId="77777777" w:rsidR="00012498" w:rsidRPr="009E5C01" w:rsidRDefault="00012498" w:rsidP="009E5C01">
            <w:pPr>
              <w:jc w:val="both"/>
              <w:rPr>
                <w:rFonts w:ascii="Cambria" w:hAnsi="Cambria"/>
                <w:sz w:val="18"/>
                <w:szCs w:val="18"/>
              </w:rPr>
            </w:pPr>
            <w:r w:rsidRPr="009E5C01">
              <w:rPr>
                <w:rFonts w:ascii="Cambria" w:hAnsi="Cambria"/>
                <w:sz w:val="18"/>
                <w:szCs w:val="18"/>
              </w:rPr>
              <w:t>Coagulation</w:t>
            </w:r>
          </w:p>
        </w:tc>
        <w:tc>
          <w:tcPr>
            <w:tcW w:w="0" w:type="auto"/>
            <w:hideMark/>
          </w:tcPr>
          <w:p w14:paraId="2D573427" w14:textId="77777777" w:rsidR="00012498" w:rsidRPr="009E5C01" w:rsidRDefault="00012498" w:rsidP="009E5C01">
            <w:pPr>
              <w:jc w:val="both"/>
              <w:rPr>
                <w:rFonts w:ascii="Cambria" w:hAnsi="Cambria"/>
                <w:sz w:val="18"/>
                <w:szCs w:val="18"/>
              </w:rPr>
            </w:pPr>
            <w:r w:rsidRPr="009E5C01">
              <w:rPr>
                <w:rFonts w:ascii="Cambria" w:hAnsi="Cambria"/>
                <w:sz w:val="18"/>
                <w:szCs w:val="18"/>
              </w:rPr>
              <w:t>Soy milk</w:t>
            </w:r>
          </w:p>
        </w:tc>
        <w:tc>
          <w:tcPr>
            <w:tcW w:w="0" w:type="auto"/>
            <w:hideMark/>
          </w:tcPr>
          <w:p w14:paraId="05787ABD" w14:textId="77777777" w:rsidR="00012498" w:rsidRPr="009E5C01" w:rsidRDefault="00012498" w:rsidP="009E5C01">
            <w:pPr>
              <w:jc w:val="both"/>
              <w:rPr>
                <w:rFonts w:ascii="Cambria" w:hAnsi="Cambria"/>
                <w:sz w:val="18"/>
                <w:szCs w:val="18"/>
              </w:rPr>
            </w:pPr>
            <w:r w:rsidRPr="009E5C01">
              <w:rPr>
                <w:rFonts w:ascii="Cambria" w:hAnsi="Cambria"/>
                <w:sz w:val="18"/>
                <w:szCs w:val="18"/>
              </w:rPr>
              <w:t>14,052</w:t>
            </w:r>
          </w:p>
        </w:tc>
        <w:tc>
          <w:tcPr>
            <w:tcW w:w="0" w:type="auto"/>
            <w:hideMark/>
          </w:tcPr>
          <w:p w14:paraId="7A094B78"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c>
          <w:tcPr>
            <w:tcW w:w="0" w:type="auto"/>
            <w:hideMark/>
          </w:tcPr>
          <w:p w14:paraId="51A13E3E" w14:textId="77777777" w:rsidR="00012498" w:rsidRPr="009E5C01" w:rsidRDefault="00012498" w:rsidP="009E5C01">
            <w:pPr>
              <w:jc w:val="both"/>
              <w:rPr>
                <w:rFonts w:ascii="Cambria" w:hAnsi="Cambria"/>
                <w:sz w:val="18"/>
                <w:szCs w:val="18"/>
              </w:rPr>
            </w:pPr>
            <w:r w:rsidRPr="009E5C01">
              <w:rPr>
                <w:rFonts w:ascii="Cambria" w:hAnsi="Cambria"/>
                <w:sz w:val="18"/>
                <w:szCs w:val="18"/>
              </w:rPr>
              <w:t>Tofu curd</w:t>
            </w:r>
          </w:p>
        </w:tc>
        <w:tc>
          <w:tcPr>
            <w:tcW w:w="0" w:type="auto"/>
            <w:hideMark/>
          </w:tcPr>
          <w:p w14:paraId="31DDAFE9" w14:textId="77777777" w:rsidR="00012498" w:rsidRPr="009E5C01" w:rsidRDefault="00012498" w:rsidP="009E5C01">
            <w:pPr>
              <w:jc w:val="both"/>
              <w:rPr>
                <w:rFonts w:ascii="Cambria" w:hAnsi="Cambria"/>
                <w:sz w:val="18"/>
                <w:szCs w:val="18"/>
              </w:rPr>
            </w:pPr>
            <w:r w:rsidRPr="009E5C01">
              <w:rPr>
                <w:rFonts w:ascii="Cambria" w:hAnsi="Cambria"/>
                <w:sz w:val="18"/>
                <w:szCs w:val="18"/>
              </w:rPr>
              <w:t>3,681</w:t>
            </w:r>
          </w:p>
        </w:tc>
        <w:tc>
          <w:tcPr>
            <w:tcW w:w="0" w:type="auto"/>
            <w:hideMark/>
          </w:tcPr>
          <w:p w14:paraId="20B239E4"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r>
      <w:tr w:rsidR="00012498" w:rsidRPr="009E5C01" w14:paraId="267DACBF" w14:textId="77777777" w:rsidTr="00012498">
        <w:tc>
          <w:tcPr>
            <w:tcW w:w="0" w:type="auto"/>
            <w:hideMark/>
          </w:tcPr>
          <w:p w14:paraId="3750666C" w14:textId="77777777" w:rsidR="00012498" w:rsidRPr="009E5C01" w:rsidRDefault="00012498" w:rsidP="009E5C01">
            <w:pPr>
              <w:jc w:val="both"/>
              <w:rPr>
                <w:rFonts w:ascii="Cambria" w:hAnsi="Cambria"/>
                <w:sz w:val="18"/>
                <w:szCs w:val="18"/>
              </w:rPr>
            </w:pPr>
          </w:p>
        </w:tc>
        <w:tc>
          <w:tcPr>
            <w:tcW w:w="0" w:type="auto"/>
            <w:hideMark/>
          </w:tcPr>
          <w:p w14:paraId="22761115" w14:textId="77777777" w:rsidR="00012498" w:rsidRPr="009E5C01" w:rsidRDefault="00012498" w:rsidP="009E5C01">
            <w:pPr>
              <w:jc w:val="both"/>
              <w:rPr>
                <w:rFonts w:ascii="Cambria" w:hAnsi="Cambria"/>
                <w:sz w:val="18"/>
                <w:szCs w:val="18"/>
              </w:rPr>
            </w:pPr>
            <w:r w:rsidRPr="009E5C01">
              <w:rPr>
                <w:rFonts w:ascii="Cambria" w:hAnsi="Cambria"/>
                <w:sz w:val="18"/>
                <w:szCs w:val="18"/>
              </w:rPr>
              <w:t>Coagulant water</w:t>
            </w:r>
          </w:p>
        </w:tc>
        <w:tc>
          <w:tcPr>
            <w:tcW w:w="0" w:type="auto"/>
            <w:hideMark/>
          </w:tcPr>
          <w:p w14:paraId="267A0FEC" w14:textId="77777777" w:rsidR="00012498" w:rsidRPr="009E5C01" w:rsidRDefault="00012498" w:rsidP="009E5C01">
            <w:pPr>
              <w:jc w:val="both"/>
              <w:rPr>
                <w:rFonts w:ascii="Cambria" w:hAnsi="Cambria"/>
                <w:sz w:val="18"/>
                <w:szCs w:val="18"/>
              </w:rPr>
            </w:pPr>
            <w:r w:rsidRPr="009E5C01">
              <w:rPr>
                <w:rFonts w:ascii="Cambria" w:hAnsi="Cambria"/>
                <w:sz w:val="18"/>
                <w:szCs w:val="18"/>
              </w:rPr>
              <w:t>421</w:t>
            </w:r>
          </w:p>
        </w:tc>
        <w:tc>
          <w:tcPr>
            <w:tcW w:w="0" w:type="auto"/>
            <w:hideMark/>
          </w:tcPr>
          <w:p w14:paraId="33C19A8A" w14:textId="77777777" w:rsidR="00012498" w:rsidRPr="009E5C01" w:rsidRDefault="00012498" w:rsidP="009E5C01">
            <w:pPr>
              <w:jc w:val="both"/>
              <w:rPr>
                <w:rFonts w:ascii="Cambria" w:hAnsi="Cambria"/>
                <w:sz w:val="18"/>
                <w:szCs w:val="18"/>
              </w:rPr>
            </w:pPr>
            <w:r w:rsidRPr="009E5C01">
              <w:rPr>
                <w:rFonts w:ascii="Cambria" w:hAnsi="Cambria"/>
                <w:sz w:val="18"/>
                <w:szCs w:val="18"/>
              </w:rPr>
              <w:t>L</w:t>
            </w:r>
          </w:p>
        </w:tc>
        <w:tc>
          <w:tcPr>
            <w:tcW w:w="0" w:type="auto"/>
            <w:hideMark/>
          </w:tcPr>
          <w:p w14:paraId="255276C0" w14:textId="77777777" w:rsidR="00012498" w:rsidRPr="009E5C01" w:rsidRDefault="00012498" w:rsidP="009E5C01">
            <w:pPr>
              <w:jc w:val="both"/>
              <w:rPr>
                <w:rFonts w:ascii="Cambria" w:hAnsi="Cambria"/>
                <w:sz w:val="18"/>
                <w:szCs w:val="18"/>
              </w:rPr>
            </w:pPr>
            <w:r w:rsidRPr="009E5C01">
              <w:rPr>
                <w:rFonts w:ascii="Cambria" w:hAnsi="Cambria"/>
                <w:sz w:val="18"/>
                <w:szCs w:val="18"/>
              </w:rPr>
              <w:t>Whey</w:t>
            </w:r>
          </w:p>
        </w:tc>
        <w:tc>
          <w:tcPr>
            <w:tcW w:w="0" w:type="auto"/>
            <w:hideMark/>
          </w:tcPr>
          <w:p w14:paraId="67A27CB0" w14:textId="77777777" w:rsidR="00012498" w:rsidRPr="009E5C01" w:rsidRDefault="00012498" w:rsidP="009E5C01">
            <w:pPr>
              <w:jc w:val="both"/>
              <w:rPr>
                <w:rFonts w:ascii="Cambria" w:hAnsi="Cambria"/>
                <w:sz w:val="18"/>
                <w:szCs w:val="18"/>
              </w:rPr>
            </w:pPr>
            <w:r w:rsidRPr="009E5C01">
              <w:rPr>
                <w:rFonts w:ascii="Cambria" w:hAnsi="Cambria"/>
                <w:sz w:val="18"/>
                <w:szCs w:val="18"/>
              </w:rPr>
              <w:t>10,434</w:t>
            </w:r>
          </w:p>
        </w:tc>
        <w:tc>
          <w:tcPr>
            <w:tcW w:w="0" w:type="auto"/>
            <w:hideMark/>
          </w:tcPr>
          <w:p w14:paraId="5F965D14" w14:textId="77777777" w:rsidR="00012498" w:rsidRPr="009E5C01" w:rsidRDefault="00012498" w:rsidP="009E5C01">
            <w:pPr>
              <w:jc w:val="both"/>
              <w:rPr>
                <w:rFonts w:ascii="Cambria" w:hAnsi="Cambria"/>
                <w:sz w:val="18"/>
                <w:szCs w:val="18"/>
              </w:rPr>
            </w:pPr>
            <w:r w:rsidRPr="009E5C01">
              <w:rPr>
                <w:rFonts w:ascii="Cambria" w:hAnsi="Cambria"/>
                <w:sz w:val="18"/>
                <w:szCs w:val="18"/>
              </w:rPr>
              <w:t>L</w:t>
            </w:r>
          </w:p>
        </w:tc>
      </w:tr>
      <w:tr w:rsidR="00012498" w:rsidRPr="009E5C01" w14:paraId="5852B561" w14:textId="77777777" w:rsidTr="00012498">
        <w:tc>
          <w:tcPr>
            <w:tcW w:w="0" w:type="auto"/>
            <w:hideMark/>
          </w:tcPr>
          <w:p w14:paraId="3E58E51E" w14:textId="77777777" w:rsidR="00012498" w:rsidRPr="009E5C01" w:rsidRDefault="00012498" w:rsidP="009E5C01">
            <w:pPr>
              <w:jc w:val="both"/>
              <w:rPr>
                <w:rFonts w:ascii="Cambria" w:hAnsi="Cambria"/>
                <w:sz w:val="18"/>
                <w:szCs w:val="18"/>
              </w:rPr>
            </w:pPr>
            <w:r w:rsidRPr="009E5C01">
              <w:rPr>
                <w:rFonts w:ascii="Cambria" w:hAnsi="Cambria"/>
                <w:sz w:val="18"/>
                <w:szCs w:val="18"/>
              </w:rPr>
              <w:t>Molding &amp; Packaging</w:t>
            </w:r>
          </w:p>
        </w:tc>
        <w:tc>
          <w:tcPr>
            <w:tcW w:w="0" w:type="auto"/>
            <w:hideMark/>
          </w:tcPr>
          <w:p w14:paraId="735A7F8B" w14:textId="77777777" w:rsidR="00012498" w:rsidRPr="009E5C01" w:rsidRDefault="00012498" w:rsidP="009E5C01">
            <w:pPr>
              <w:jc w:val="both"/>
              <w:rPr>
                <w:rFonts w:ascii="Cambria" w:hAnsi="Cambria"/>
                <w:sz w:val="18"/>
                <w:szCs w:val="18"/>
              </w:rPr>
            </w:pPr>
            <w:r w:rsidRPr="009E5C01">
              <w:rPr>
                <w:rFonts w:ascii="Cambria" w:hAnsi="Cambria"/>
                <w:sz w:val="18"/>
                <w:szCs w:val="18"/>
              </w:rPr>
              <w:t>Tofu curd</w:t>
            </w:r>
          </w:p>
        </w:tc>
        <w:tc>
          <w:tcPr>
            <w:tcW w:w="0" w:type="auto"/>
            <w:hideMark/>
          </w:tcPr>
          <w:p w14:paraId="71DBFAEB" w14:textId="77777777" w:rsidR="00012498" w:rsidRPr="009E5C01" w:rsidRDefault="00012498" w:rsidP="009E5C01">
            <w:pPr>
              <w:jc w:val="both"/>
              <w:rPr>
                <w:rFonts w:ascii="Cambria" w:hAnsi="Cambria"/>
                <w:sz w:val="18"/>
                <w:szCs w:val="18"/>
              </w:rPr>
            </w:pPr>
            <w:r w:rsidRPr="009E5C01">
              <w:rPr>
                <w:rFonts w:ascii="Cambria" w:hAnsi="Cambria"/>
                <w:sz w:val="18"/>
                <w:szCs w:val="18"/>
              </w:rPr>
              <w:t>3,681</w:t>
            </w:r>
          </w:p>
        </w:tc>
        <w:tc>
          <w:tcPr>
            <w:tcW w:w="0" w:type="auto"/>
            <w:hideMark/>
          </w:tcPr>
          <w:p w14:paraId="1F35FA4A"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c>
          <w:tcPr>
            <w:tcW w:w="0" w:type="auto"/>
            <w:hideMark/>
          </w:tcPr>
          <w:p w14:paraId="74CFB887" w14:textId="77777777" w:rsidR="00012498" w:rsidRPr="009E5C01" w:rsidRDefault="00012498" w:rsidP="009E5C01">
            <w:pPr>
              <w:jc w:val="both"/>
              <w:rPr>
                <w:rFonts w:ascii="Cambria" w:hAnsi="Cambria"/>
                <w:sz w:val="18"/>
                <w:szCs w:val="18"/>
              </w:rPr>
            </w:pPr>
            <w:r w:rsidRPr="009E5C01">
              <w:rPr>
                <w:rFonts w:ascii="Cambria" w:hAnsi="Cambria"/>
                <w:sz w:val="18"/>
                <w:szCs w:val="18"/>
              </w:rPr>
              <w:t>Final tofu product</w:t>
            </w:r>
          </w:p>
        </w:tc>
        <w:tc>
          <w:tcPr>
            <w:tcW w:w="0" w:type="auto"/>
            <w:hideMark/>
          </w:tcPr>
          <w:p w14:paraId="5FE71677" w14:textId="77777777" w:rsidR="00012498" w:rsidRPr="009E5C01" w:rsidRDefault="00012498" w:rsidP="009E5C01">
            <w:pPr>
              <w:jc w:val="both"/>
              <w:rPr>
                <w:rFonts w:ascii="Cambria" w:hAnsi="Cambria"/>
                <w:sz w:val="18"/>
                <w:szCs w:val="18"/>
              </w:rPr>
            </w:pPr>
            <w:r w:rsidRPr="009E5C01">
              <w:rPr>
                <w:rFonts w:ascii="Cambria" w:hAnsi="Cambria"/>
                <w:sz w:val="18"/>
                <w:szCs w:val="18"/>
              </w:rPr>
              <w:t>3,681</w:t>
            </w:r>
          </w:p>
        </w:tc>
        <w:tc>
          <w:tcPr>
            <w:tcW w:w="0" w:type="auto"/>
            <w:hideMark/>
          </w:tcPr>
          <w:p w14:paraId="3F55C426" w14:textId="77777777" w:rsidR="00012498" w:rsidRPr="009E5C01" w:rsidRDefault="00012498" w:rsidP="009E5C01">
            <w:pPr>
              <w:jc w:val="both"/>
              <w:rPr>
                <w:rFonts w:ascii="Cambria" w:hAnsi="Cambria"/>
                <w:sz w:val="18"/>
                <w:szCs w:val="18"/>
              </w:rPr>
            </w:pPr>
            <w:r w:rsidRPr="009E5C01">
              <w:rPr>
                <w:rFonts w:ascii="Cambria" w:hAnsi="Cambria"/>
                <w:sz w:val="18"/>
                <w:szCs w:val="18"/>
              </w:rPr>
              <w:t>kg</w:t>
            </w:r>
          </w:p>
        </w:tc>
      </w:tr>
      <w:tr w:rsidR="00012498" w:rsidRPr="009E5C01" w14:paraId="640F6042" w14:textId="77777777" w:rsidTr="00012498">
        <w:tc>
          <w:tcPr>
            <w:tcW w:w="0" w:type="auto"/>
            <w:hideMark/>
          </w:tcPr>
          <w:p w14:paraId="78052054" w14:textId="77777777" w:rsidR="00012498" w:rsidRPr="009E5C01" w:rsidRDefault="00012498" w:rsidP="009E5C01">
            <w:pPr>
              <w:jc w:val="both"/>
              <w:rPr>
                <w:rFonts w:ascii="Cambria" w:hAnsi="Cambria"/>
                <w:sz w:val="18"/>
                <w:szCs w:val="18"/>
              </w:rPr>
            </w:pPr>
          </w:p>
        </w:tc>
        <w:tc>
          <w:tcPr>
            <w:tcW w:w="0" w:type="auto"/>
            <w:hideMark/>
          </w:tcPr>
          <w:p w14:paraId="77B62B67" w14:textId="77777777" w:rsidR="00012498" w:rsidRPr="009E5C01" w:rsidRDefault="00012498" w:rsidP="009E5C01">
            <w:pPr>
              <w:jc w:val="both"/>
              <w:rPr>
                <w:rFonts w:ascii="Cambria" w:hAnsi="Cambria"/>
                <w:sz w:val="18"/>
                <w:szCs w:val="18"/>
              </w:rPr>
            </w:pPr>
            <w:r w:rsidRPr="009E5C01">
              <w:rPr>
                <w:rFonts w:ascii="Cambria" w:hAnsi="Cambria"/>
                <w:sz w:val="18"/>
                <w:szCs w:val="18"/>
              </w:rPr>
              <w:t>Water</w:t>
            </w:r>
          </w:p>
        </w:tc>
        <w:tc>
          <w:tcPr>
            <w:tcW w:w="0" w:type="auto"/>
            <w:hideMark/>
          </w:tcPr>
          <w:p w14:paraId="22ABF60C" w14:textId="77777777" w:rsidR="00012498" w:rsidRPr="009E5C01" w:rsidRDefault="00012498" w:rsidP="009E5C01">
            <w:pPr>
              <w:jc w:val="both"/>
              <w:rPr>
                <w:rFonts w:ascii="Cambria" w:hAnsi="Cambria"/>
                <w:sz w:val="18"/>
                <w:szCs w:val="18"/>
              </w:rPr>
            </w:pPr>
            <w:r w:rsidRPr="009E5C01">
              <w:rPr>
                <w:rFonts w:ascii="Cambria" w:hAnsi="Cambria"/>
                <w:sz w:val="18"/>
                <w:szCs w:val="18"/>
              </w:rPr>
              <w:t>100</w:t>
            </w:r>
          </w:p>
        </w:tc>
        <w:tc>
          <w:tcPr>
            <w:tcW w:w="0" w:type="auto"/>
            <w:hideMark/>
          </w:tcPr>
          <w:p w14:paraId="3A0AE5EE" w14:textId="77777777" w:rsidR="00012498" w:rsidRPr="009E5C01" w:rsidRDefault="00012498" w:rsidP="009E5C01">
            <w:pPr>
              <w:jc w:val="both"/>
              <w:rPr>
                <w:rFonts w:ascii="Cambria" w:hAnsi="Cambria"/>
                <w:sz w:val="18"/>
                <w:szCs w:val="18"/>
              </w:rPr>
            </w:pPr>
            <w:r w:rsidRPr="009E5C01">
              <w:rPr>
                <w:rFonts w:ascii="Cambria" w:hAnsi="Cambria"/>
                <w:sz w:val="18"/>
                <w:szCs w:val="18"/>
              </w:rPr>
              <w:t>L</w:t>
            </w:r>
          </w:p>
        </w:tc>
        <w:tc>
          <w:tcPr>
            <w:tcW w:w="0" w:type="auto"/>
            <w:hideMark/>
          </w:tcPr>
          <w:p w14:paraId="4F239E72" w14:textId="77777777" w:rsidR="00012498" w:rsidRPr="009E5C01" w:rsidRDefault="00012498" w:rsidP="009E5C01">
            <w:pPr>
              <w:jc w:val="both"/>
              <w:rPr>
                <w:rFonts w:ascii="Cambria" w:hAnsi="Cambria"/>
                <w:sz w:val="18"/>
                <w:szCs w:val="18"/>
              </w:rPr>
            </w:pPr>
            <w:r w:rsidRPr="009E5C01">
              <w:rPr>
                <w:rFonts w:ascii="Cambria" w:hAnsi="Cambria"/>
                <w:sz w:val="18"/>
                <w:szCs w:val="18"/>
              </w:rPr>
              <w:t>Wastewater</w:t>
            </w:r>
          </w:p>
        </w:tc>
        <w:tc>
          <w:tcPr>
            <w:tcW w:w="0" w:type="auto"/>
            <w:hideMark/>
          </w:tcPr>
          <w:p w14:paraId="24826417" w14:textId="77777777" w:rsidR="00012498" w:rsidRPr="009E5C01" w:rsidRDefault="00012498" w:rsidP="009E5C01">
            <w:pPr>
              <w:jc w:val="both"/>
              <w:rPr>
                <w:rFonts w:ascii="Cambria" w:hAnsi="Cambria"/>
                <w:sz w:val="18"/>
                <w:szCs w:val="18"/>
              </w:rPr>
            </w:pPr>
            <w:r w:rsidRPr="009E5C01">
              <w:rPr>
                <w:rFonts w:ascii="Cambria" w:hAnsi="Cambria"/>
                <w:sz w:val="18"/>
                <w:szCs w:val="18"/>
              </w:rPr>
              <w:t>100</w:t>
            </w:r>
          </w:p>
        </w:tc>
        <w:tc>
          <w:tcPr>
            <w:tcW w:w="0" w:type="auto"/>
            <w:hideMark/>
          </w:tcPr>
          <w:p w14:paraId="394696AE" w14:textId="77777777" w:rsidR="00012498" w:rsidRPr="009E5C01" w:rsidRDefault="00012498" w:rsidP="009E5C01">
            <w:pPr>
              <w:jc w:val="both"/>
              <w:rPr>
                <w:rFonts w:ascii="Cambria" w:hAnsi="Cambria"/>
                <w:sz w:val="18"/>
                <w:szCs w:val="18"/>
              </w:rPr>
            </w:pPr>
            <w:r w:rsidRPr="009E5C01">
              <w:rPr>
                <w:rFonts w:ascii="Cambria" w:hAnsi="Cambria"/>
                <w:sz w:val="18"/>
                <w:szCs w:val="18"/>
              </w:rPr>
              <w:t>L</w:t>
            </w:r>
          </w:p>
        </w:tc>
      </w:tr>
    </w:tbl>
    <w:p w14:paraId="3CECB605" w14:textId="77777777"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As indicated in Table 1, the boiling stage involves the most diverse range of emission outputs, including carbon dioxide (CO₂), methane (CH₄), and nitrous oxide (N₂O), attributable to the combustion of firewood as the primary thermal energy source. The washing and soaking stages generate the largest volumes of liquid wastewater relative to their respective inputs, while the filtration stage produces a significant solid co-product in the form of okara. These characteristics of the inventory data are directly consequential for the subsequent impact assessment, as they determine the nature and magnitude of environmental burdens attributed to each production stage.</w:t>
      </w:r>
    </w:p>
    <w:p w14:paraId="600FA2D3" w14:textId="77777777" w:rsidR="00012498" w:rsidRPr="00012498" w:rsidRDefault="00012498" w:rsidP="009E5C01">
      <w:pPr>
        <w:spacing w:after="0" w:line="240" w:lineRule="auto"/>
        <w:jc w:val="both"/>
        <w:rPr>
          <w:rFonts w:ascii="Cambria" w:hAnsi="Cambria"/>
          <w:b/>
          <w:bCs/>
          <w:sz w:val="22"/>
          <w:szCs w:val="22"/>
        </w:rPr>
      </w:pPr>
      <w:r w:rsidRPr="00012498">
        <w:rPr>
          <w:rFonts w:ascii="Cambria" w:hAnsi="Cambria"/>
          <w:b/>
          <w:bCs/>
          <w:sz w:val="22"/>
          <w:szCs w:val="22"/>
        </w:rPr>
        <w:t>2.3 Impact Assessment</w:t>
      </w:r>
    </w:p>
    <w:p w14:paraId="52E65DA8" w14:textId="4C9BD03F"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 xml:space="preserve">The Life Cycle Impact Assessment (LCIA) phase aims to evaluate and quantify the potential environmental impacts generated by the production system on the basis of the input and output data compiled during the LCI phase </w:t>
      </w:r>
      <w:r w:rsidR="00DE321A">
        <w:rPr>
          <w:rFonts w:ascii="Cambria" w:hAnsi="Cambria"/>
          <w:sz w:val="22"/>
          <w:szCs w:val="22"/>
        </w:rPr>
        <w:fldChar w:fldCharType="begin" w:fldLock="1"/>
      </w:r>
      <w:r w:rsidR="004441E6">
        <w:rPr>
          <w:rFonts w:ascii="Cambria" w:hAnsi="Cambria"/>
          <w:sz w:val="22"/>
          <w:szCs w:val="22"/>
        </w:rPr>
        <w:instrText>ADDIN CSL_CITATION {"citationItems":[{"id":"ITEM-1","itemData":{"DOI":"10.1016/j.resconrec.2022.106836","ISSN":"09213449 (ISSN)","author":[{"dropping-particle":"","family":"Kara","given":"S","non-dropping-particle":"","parse-names":false,"suffix":""},{"dropping-particle":"","family":"Herrmann","given":"C","non-dropping-particle":"","parse-names":false,"suffix":""},{"dropping-particle":"","family":"Hauschild","given":"M","non-dropping-particle":"","parse-names":false,"suffix":""}],"container-title":"Resources, Conservation and Recycling","id":"ITEM-1","issued":{"date-parts":[["2023"]]},"language":"English","note":"Export Date: 10 January 2024; Cited By: 5; Correspondence Address: S. Kara; Sustainability in Manufacturing &amp;amp; Life Cycle Engineering Research Group, School of Mechanical &amp;amp; Manufacturing Engineering, The University of New South Wales, Sydney, Australia; email: S.Kara@unsw.edu.au; CODEN: RCREE","publisher":"Elsevier B.V.","publisher-place":"Sustainability in Manufacturing &amp; Life Cycle Engineering Research Group, School of Mechanical &amp; Manufacturing Engineering, The University of New South Wales, Sydney, Australia","title":"Operationalization of life cycle engineering","type":"article-journal","volume":"190"},"uris":["http://www.mendeley.com/documents/?uuid=41cc2663-c836-4638-8da8-b2f9ec9b09cd"]}],"mendeley":{"formattedCitation":"[7]","plainTextFormattedCitation":"[7]","previouslyFormattedCitation":"(Kara et al., 2023)"},"properties":{"noteIndex":0},"schema":"https://github.com/citation-style-language/schema/raw/master/csl-citation.json"}</w:instrText>
      </w:r>
      <w:r w:rsidR="00DE321A">
        <w:rPr>
          <w:rFonts w:ascii="Cambria" w:hAnsi="Cambria"/>
          <w:sz w:val="22"/>
          <w:szCs w:val="22"/>
        </w:rPr>
        <w:fldChar w:fldCharType="separate"/>
      </w:r>
      <w:r w:rsidR="004441E6" w:rsidRPr="004441E6">
        <w:rPr>
          <w:rFonts w:ascii="Cambria" w:hAnsi="Cambria"/>
          <w:noProof/>
          <w:sz w:val="22"/>
          <w:szCs w:val="22"/>
        </w:rPr>
        <w:t>[7]</w:t>
      </w:r>
      <w:r w:rsidR="00DE321A">
        <w:rPr>
          <w:rFonts w:ascii="Cambria" w:hAnsi="Cambria"/>
          <w:sz w:val="22"/>
          <w:szCs w:val="22"/>
        </w:rPr>
        <w:fldChar w:fldCharType="end"/>
      </w:r>
      <w:r w:rsidRPr="00012498">
        <w:rPr>
          <w:rFonts w:ascii="Cambria" w:hAnsi="Cambria"/>
          <w:sz w:val="22"/>
          <w:szCs w:val="22"/>
        </w:rPr>
        <w:t xml:space="preserve">. The LCIA was performed using SimaPro 10.3 software, which provides a computational environment for the classification, characterization, and normalization of inventory flows into standardized environmental impact categories. The CML-IA Baseline impact assessment method was selected as the primary evaluation framework, given its established applicability to food processing and SME manufacturing contexts and its capacity to generate midpoint impact indicators across multiple environmental categories </w:t>
      </w:r>
      <w:r w:rsidR="00DE321A">
        <w:rPr>
          <w:rFonts w:ascii="Cambria" w:hAnsi="Cambria"/>
          <w:sz w:val="22"/>
          <w:szCs w:val="22"/>
        </w:rPr>
        <w:fldChar w:fldCharType="begin" w:fldLock="1"/>
      </w:r>
      <w:r w:rsidR="004441E6">
        <w:rPr>
          <w:rFonts w:ascii="Cambria" w:hAnsi="Cambria"/>
          <w:sz w:val="22"/>
          <w:szCs w:val="22"/>
        </w:rPr>
        <w:instrText>ADDIN CSL_CITATION {"citationItems":[{"id":"ITEM-1","itemData":{"ISSN":"2383-3572","author":[{"dropping-particle":"","family":"Hartini","given":"S","non-dropping-particle":"","parse-names":false,"suffix":""},{"dropping-particle":"","family":"Fatliana","given":"A N","non-dropping-particle":"","parse-names":false,"suffix":""},{"dropping-particle":"","family":"Handayani","given":"N U","non-dropping-particle":"","parse-names":false,"suffix":""},{"dropping-particle":"","family":"Wicaksono","given":"P A","non-dropping-particle":"","parse-names":false,"suffix":""},{"dropping-particle":"","family":"Ramadan","given":"B S","non-dropping-particle":"","parse-names":false,"suffix":""},{"dropping-particle":"","family":"Matsumoto","given":"T","non-dropping-particle":"","parse-names":false,"suffix":""}],"container-title":"Global Journal of Environmental Science &amp; Management (GJESM)","id":"ITEM-1","issue":"2","issued":{"date-parts":[["2024"]]},"page":"487","title":"Life cycle assessment and life cycle cost of tofu production and its extended recycling scenario.","type":"article-journal","volume":"10"},"uris":["http://www.mendeley.com/documents/?uuid=435e3b18-b974-486b-89b3-c2735abd7073"]},{"id":"ITEM-2","itemData":{"ISBN":"1755-1307","author":[{"dropping-particle":"","family":"Sari","given":"I P","non-dropping-particle":"","parse-names":false,"suffix":""},{"dropping-particle":"","family":"Kuniawan","given":"W","non-dropping-particle":"","parse-names":false,"suffix":""},{"dropping-particle":"","family":"Sia","given":"F L","non-dropping-particle":"","parse-names":false,"suffix":""}],"container-title":"IOP Conference Series: Earth and Environmental Science","id":"ITEM-2","issue":"1","issued":{"date-parts":[["2021"]]},"page":"12050","publisher":"IOP Publishing","title":"Environmental impact of tofu production in West Jakarta using a life cycle assessment approach","type":"paper-conference","volume":"896"},"uris":["http://www.mendeley.com/documents/?uuid=4b9d7ec6-8668-40f8-ac3f-77a68e50bbe3"]}],"mendeley":{"formattedCitation":"[11], [14]","plainTextFormattedCitation":"[11], [14]","previouslyFormattedCitation":"(Hartini et al., 2024; Sari et al., 2021)"},"properties":{"noteIndex":0},"schema":"https://github.com/citation-style-language/schema/raw/master/csl-citation.json"}</w:instrText>
      </w:r>
      <w:r w:rsidR="00DE321A">
        <w:rPr>
          <w:rFonts w:ascii="Cambria" w:hAnsi="Cambria"/>
          <w:sz w:val="22"/>
          <w:szCs w:val="22"/>
        </w:rPr>
        <w:fldChar w:fldCharType="separate"/>
      </w:r>
      <w:r w:rsidR="004441E6" w:rsidRPr="004441E6">
        <w:rPr>
          <w:rFonts w:ascii="Cambria" w:hAnsi="Cambria"/>
          <w:noProof/>
          <w:sz w:val="22"/>
          <w:szCs w:val="22"/>
        </w:rPr>
        <w:t>[11], [14]</w:t>
      </w:r>
      <w:r w:rsidR="00DE321A">
        <w:rPr>
          <w:rFonts w:ascii="Cambria" w:hAnsi="Cambria"/>
          <w:sz w:val="22"/>
          <w:szCs w:val="22"/>
        </w:rPr>
        <w:fldChar w:fldCharType="end"/>
      </w:r>
      <w:r w:rsidRPr="00012498">
        <w:rPr>
          <w:rFonts w:ascii="Cambria" w:hAnsi="Cambria"/>
          <w:sz w:val="22"/>
          <w:szCs w:val="22"/>
        </w:rPr>
        <w:t>. The impact categories evaluated under this method include Global Warming Potential (GWP100a), Ozone Layer Depletion (ODP), Fresh Water Aquatic Ecotoxicity (FAET), Acidification, and Eutrophication. In addition to the CML-IA Baseline method, the AWARE (Available WAter REmaining) method was applied to assess water use and potential water scarcity at each production stage. The AWARE method was selected for its capacity to account for the regional availability of water resources relative to demand, thereby providing a contextually relevant measure of water deprivation beyond simple volumetric consumption. The integration of both methods enables a more comprehensive characterization of the environmental profile of tofu production, encompassing both emission-related and resource-related impact dimensions.</w:t>
      </w:r>
    </w:p>
    <w:p w14:paraId="6AA3CA2C" w14:textId="77777777" w:rsidR="00012498" w:rsidRPr="00012498" w:rsidRDefault="00012498" w:rsidP="009E5C01">
      <w:pPr>
        <w:spacing w:after="0" w:line="240" w:lineRule="auto"/>
        <w:jc w:val="both"/>
        <w:rPr>
          <w:rFonts w:ascii="Cambria" w:hAnsi="Cambria"/>
          <w:b/>
          <w:bCs/>
          <w:sz w:val="22"/>
          <w:szCs w:val="22"/>
        </w:rPr>
      </w:pPr>
      <w:r w:rsidRPr="00012498">
        <w:rPr>
          <w:rFonts w:ascii="Cambria" w:hAnsi="Cambria"/>
          <w:b/>
          <w:bCs/>
          <w:sz w:val="22"/>
          <w:szCs w:val="22"/>
        </w:rPr>
        <w:t>2.4 Interpretation</w:t>
      </w:r>
    </w:p>
    <w:p w14:paraId="288FF984" w14:textId="25571AA1" w:rsidR="00DE321A"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 xml:space="preserve">The interpretation phase was conducted to analyze and contextualize the LCIA results </w:t>
      </w:r>
      <w:proofErr w:type="gramStart"/>
      <w:r w:rsidRPr="00012498">
        <w:rPr>
          <w:rFonts w:ascii="Cambria" w:hAnsi="Cambria"/>
          <w:sz w:val="22"/>
          <w:szCs w:val="22"/>
        </w:rPr>
        <w:t>in order to</w:t>
      </w:r>
      <w:proofErr w:type="gramEnd"/>
      <w:r w:rsidRPr="00012498">
        <w:rPr>
          <w:rFonts w:ascii="Cambria" w:hAnsi="Cambria"/>
          <w:sz w:val="22"/>
          <w:szCs w:val="22"/>
        </w:rPr>
        <w:t xml:space="preserve"> identify the dominant impact categories and the production stages contributing the greatest environmental burdens, in a manner consistent with the goal and scope defined at the outset of the study. Normalization was applied as a subsequent analytical step to render impact categories expressed in different units mutually comparable on a uniform scale, thereby enabling the relative significance of each environmental impact to be assessed and priorities for improvement to be established </w:t>
      </w:r>
      <w:r w:rsidR="00DE321A">
        <w:rPr>
          <w:rFonts w:ascii="Cambria" w:hAnsi="Cambria"/>
          <w:sz w:val="22"/>
          <w:szCs w:val="22"/>
        </w:rPr>
        <w:fldChar w:fldCharType="begin" w:fldLock="1"/>
      </w:r>
      <w:r w:rsidR="004441E6">
        <w:rPr>
          <w:rFonts w:ascii="Cambria" w:hAnsi="Cambria"/>
          <w:sz w:val="22"/>
          <w:szCs w:val="22"/>
        </w:rPr>
        <w:instrText>ADDIN CSL_CITATION {"citationItems":[{"id":"ITEM-1","itemData":{"DOI":"10.1016/j.resconrec.2022.106836","ISSN":"09213449 (ISSN)","author":[{"dropping-particle":"","family":"Kara","given":"S","non-dropping-particle":"","parse-names":false,"suffix":""},{"dropping-particle":"","family":"Herrmann","given":"C","non-dropping-particle":"","parse-names":false,"suffix":""},{"dropping-particle":"","family":"Hauschild","given":"M","non-dropping-particle":"","parse-names":false,"suffix":""}],"container-title":"Resources, Conservation and Recycling","id":"ITEM-1","issued":{"date-parts":[["2023"]]},"language":"English","note":"Export Date: 10 January 2024; Cited By: 5; Correspondence Address: S. Kara; Sustainability in Manufacturing &amp;amp; Life Cycle Engineering Research Group, School of Mechanical &amp;amp; Manufacturing Engineering, The University of New South Wales, Sydney, Australia; email: S.Kara@unsw.edu.au; CODEN: RCREE","publisher":"Elsevier B.V.","publisher-place":"Sustainability in Manufacturing &amp; Life Cycle Engineering Research Group, School of Mechanical &amp; Manufacturing Engineering, The University of New South Wales, Sydney, Australia","title":"Operationalization of life cycle engineering","type":"article-journal","volume":"190"},"uris":["http://www.mendeley.com/documents/?uuid=41cc2663-c836-4638-8da8-b2f9ec9b09cd"]}],"mendeley":{"formattedCitation":"[7]","plainTextFormattedCitation":"[7]","previouslyFormattedCitation":"(Kara et al., 2023)"},"properties":{"noteIndex":0},"schema":"https://github.com/citation-style-language/schema/raw/master/csl-citation.json"}</w:instrText>
      </w:r>
      <w:r w:rsidR="00DE321A">
        <w:rPr>
          <w:rFonts w:ascii="Cambria" w:hAnsi="Cambria"/>
          <w:sz w:val="22"/>
          <w:szCs w:val="22"/>
        </w:rPr>
        <w:fldChar w:fldCharType="separate"/>
      </w:r>
      <w:r w:rsidR="004441E6" w:rsidRPr="004441E6">
        <w:rPr>
          <w:rFonts w:ascii="Cambria" w:hAnsi="Cambria"/>
          <w:noProof/>
          <w:sz w:val="22"/>
          <w:szCs w:val="22"/>
        </w:rPr>
        <w:t>[7]</w:t>
      </w:r>
      <w:r w:rsidR="00DE321A">
        <w:rPr>
          <w:rFonts w:ascii="Cambria" w:hAnsi="Cambria"/>
          <w:sz w:val="22"/>
          <w:szCs w:val="22"/>
        </w:rPr>
        <w:fldChar w:fldCharType="end"/>
      </w:r>
      <w:r w:rsidRPr="00012498">
        <w:rPr>
          <w:rFonts w:ascii="Cambria" w:hAnsi="Cambria"/>
          <w:sz w:val="22"/>
          <w:szCs w:val="22"/>
        </w:rPr>
        <w:t>. Normalization was carried out using the reference values embedded in the CML-IA Baseline method within SimaPro 10.3. The interpretation in this study was focused exclusively on the gate-to-gate production system, from the washing stage through to molding and packaging, ensuring that the results remain consistent with the defined system boundary and directly informative for production-level decision-making. The identified hotspots and normalized impact rankings subsequently serve as the empirical basis for recommending targeted environmental improvement measures, as discussed in the Results and Discussion section.</w:t>
      </w:r>
    </w:p>
    <w:p w14:paraId="13750EC1" w14:textId="13638339" w:rsidR="00012498" w:rsidRPr="00012498" w:rsidRDefault="00012498" w:rsidP="009E5C01">
      <w:pPr>
        <w:spacing w:after="0" w:line="240" w:lineRule="auto"/>
        <w:jc w:val="both"/>
        <w:rPr>
          <w:rFonts w:ascii="Cambria" w:hAnsi="Cambria"/>
          <w:sz w:val="22"/>
          <w:szCs w:val="22"/>
        </w:rPr>
      </w:pPr>
    </w:p>
    <w:p w14:paraId="0CC3AD5A" w14:textId="77777777" w:rsidR="00012498" w:rsidRPr="00012498" w:rsidRDefault="00012498" w:rsidP="009E5C01">
      <w:pPr>
        <w:spacing w:after="0" w:line="240" w:lineRule="auto"/>
        <w:jc w:val="both"/>
        <w:rPr>
          <w:rFonts w:ascii="Cambria" w:hAnsi="Cambria"/>
          <w:b/>
          <w:bCs/>
          <w:sz w:val="22"/>
          <w:szCs w:val="22"/>
        </w:rPr>
      </w:pPr>
      <w:r w:rsidRPr="00012498">
        <w:rPr>
          <w:rFonts w:ascii="Cambria" w:hAnsi="Cambria"/>
          <w:b/>
          <w:bCs/>
          <w:sz w:val="22"/>
          <w:szCs w:val="22"/>
        </w:rPr>
        <w:t>3. Results and Discussion</w:t>
      </w:r>
    </w:p>
    <w:p w14:paraId="49DE01C1" w14:textId="77777777"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 xml:space="preserve">Tofu production within the gate-to-gate system boundary involves a series of interdependent unit processes — from soybean washing through to molding and packaging — each of which mobilizes distinct material and energy inputs and generates characteristic waste streams. As established in the inventory analysis (Table 1), the system is dominated by high volumetric water consumption across multiple stages and intensive thermal energy demand during boiling, with firewood as the </w:t>
      </w:r>
      <w:r w:rsidRPr="00012498">
        <w:rPr>
          <w:rFonts w:ascii="Cambria" w:hAnsi="Cambria"/>
          <w:sz w:val="22"/>
          <w:szCs w:val="22"/>
        </w:rPr>
        <w:lastRenderedPageBreak/>
        <w:t>primary fuel source. These characteristics of the production system create a multi-dimensional environmental burden profile that extends beyond greenhouse gas emissions to encompass freshwater pollution, nutrient loading, and acidification. The following sections present and discuss the LCIA results across the five impact categories evaluated under the CML-IA Baseline method, followed by water scarcity assessment results derived from the AWARE method, normalization outcomes, and evidence-based improvement recommendations.</w:t>
      </w:r>
    </w:p>
    <w:p w14:paraId="64F61B75" w14:textId="77777777" w:rsidR="00012498" w:rsidRPr="00012498" w:rsidRDefault="00012498" w:rsidP="009E5C01">
      <w:pPr>
        <w:spacing w:after="0" w:line="240" w:lineRule="auto"/>
        <w:jc w:val="both"/>
        <w:rPr>
          <w:rFonts w:ascii="Cambria" w:hAnsi="Cambria"/>
          <w:b/>
          <w:bCs/>
          <w:sz w:val="22"/>
          <w:szCs w:val="22"/>
        </w:rPr>
      </w:pPr>
      <w:r w:rsidRPr="00012498">
        <w:rPr>
          <w:rFonts w:ascii="Cambria" w:hAnsi="Cambria"/>
          <w:b/>
          <w:bCs/>
          <w:sz w:val="22"/>
          <w:szCs w:val="22"/>
        </w:rPr>
        <w:t>3.1 Potential Environmental Impacts of Tofu Production</w:t>
      </w:r>
    </w:p>
    <w:p w14:paraId="5088493F" w14:textId="3F57D6C5"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 xml:space="preserve">The LCIA results quantifying the contributions of each production stage to the five impact categories are summarized in Table 2 and visualized in Figure 2. A notable feature of the results is the absence of impact values for the filtration stage across all categories. This is attributable to the absence of explicit energy inputs or additional material flows </w:t>
      </w:r>
      <w:r w:rsidR="00DE321A" w:rsidRPr="00012498">
        <w:rPr>
          <w:rFonts w:ascii="Cambria" w:hAnsi="Cambria"/>
          <w:sz w:val="22"/>
          <w:szCs w:val="22"/>
        </w:rPr>
        <w:t>entered</w:t>
      </w:r>
      <w:r w:rsidRPr="00012498">
        <w:rPr>
          <w:rFonts w:ascii="Cambria" w:hAnsi="Cambria"/>
          <w:sz w:val="22"/>
          <w:szCs w:val="22"/>
        </w:rPr>
        <w:t xml:space="preserve"> the inventory model for that stage — the filtration process in this facility operates as a passive mechanical separation step without recorded electricity consumption, and consequently, SimaPro 10.3 did not generate characterization values for it. This finding is consistent with the inventory structure presented in Table 1, where filtration inputs are limited to the passage of boiled slurry and the separation of soy milk from okara residue without additional resource inputs.</w:t>
      </w:r>
    </w:p>
    <w:p w14:paraId="176EC563" w14:textId="77777777" w:rsidR="00012498" w:rsidRPr="00012498" w:rsidRDefault="00012498" w:rsidP="009E5C01">
      <w:pPr>
        <w:spacing w:after="0" w:line="240" w:lineRule="auto"/>
        <w:jc w:val="both"/>
        <w:rPr>
          <w:rFonts w:ascii="Cambria" w:hAnsi="Cambria"/>
          <w:sz w:val="22"/>
          <w:szCs w:val="22"/>
        </w:rPr>
      </w:pPr>
      <w:r w:rsidRPr="00012498">
        <w:rPr>
          <w:rFonts w:ascii="Cambria" w:hAnsi="Cambria"/>
          <w:b/>
          <w:bCs/>
          <w:sz w:val="22"/>
          <w:szCs w:val="22"/>
        </w:rPr>
        <w:t>Table 2.</w:t>
      </w:r>
      <w:r w:rsidRPr="00012498">
        <w:rPr>
          <w:rFonts w:ascii="Cambria" w:hAnsi="Cambria"/>
          <w:sz w:val="22"/>
          <w:szCs w:val="22"/>
        </w:rPr>
        <w:t xml:space="preserve"> Environmental impact of tofu production by stage.</w:t>
      </w:r>
    </w:p>
    <w:tbl>
      <w:tblPr>
        <w:tblStyle w:val="TableGrid"/>
        <w:tblW w:w="0" w:type="auto"/>
        <w:tblLook w:val="04A0" w:firstRow="1" w:lastRow="0" w:firstColumn="1" w:lastColumn="0" w:noHBand="0" w:noVBand="1"/>
      </w:tblPr>
      <w:tblGrid>
        <w:gridCol w:w="1353"/>
        <w:gridCol w:w="650"/>
        <w:gridCol w:w="987"/>
        <w:gridCol w:w="987"/>
        <w:gridCol w:w="888"/>
        <w:gridCol w:w="987"/>
        <w:gridCol w:w="987"/>
        <w:gridCol w:w="1190"/>
        <w:gridCol w:w="987"/>
      </w:tblGrid>
      <w:tr w:rsidR="00012498" w:rsidRPr="009E5C01" w14:paraId="53061147" w14:textId="77777777" w:rsidTr="00012498">
        <w:tc>
          <w:tcPr>
            <w:tcW w:w="0" w:type="auto"/>
            <w:hideMark/>
          </w:tcPr>
          <w:p w14:paraId="0F973618"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Impact Category</w:t>
            </w:r>
          </w:p>
        </w:tc>
        <w:tc>
          <w:tcPr>
            <w:tcW w:w="0" w:type="auto"/>
            <w:hideMark/>
          </w:tcPr>
          <w:p w14:paraId="3702E301"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Unit</w:t>
            </w:r>
          </w:p>
        </w:tc>
        <w:tc>
          <w:tcPr>
            <w:tcW w:w="0" w:type="auto"/>
            <w:hideMark/>
          </w:tcPr>
          <w:p w14:paraId="04CB5E41"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Total</w:t>
            </w:r>
          </w:p>
        </w:tc>
        <w:tc>
          <w:tcPr>
            <w:tcW w:w="0" w:type="auto"/>
            <w:hideMark/>
          </w:tcPr>
          <w:p w14:paraId="08EBA2A2"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Washing</w:t>
            </w:r>
          </w:p>
        </w:tc>
        <w:tc>
          <w:tcPr>
            <w:tcW w:w="0" w:type="auto"/>
            <w:hideMark/>
          </w:tcPr>
          <w:p w14:paraId="52CACB1C"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Soaking</w:t>
            </w:r>
          </w:p>
        </w:tc>
        <w:tc>
          <w:tcPr>
            <w:tcW w:w="0" w:type="auto"/>
            <w:hideMark/>
          </w:tcPr>
          <w:p w14:paraId="48DEDC18"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Grinding</w:t>
            </w:r>
          </w:p>
        </w:tc>
        <w:tc>
          <w:tcPr>
            <w:tcW w:w="0" w:type="auto"/>
            <w:hideMark/>
          </w:tcPr>
          <w:p w14:paraId="28AE6647"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Boiling</w:t>
            </w:r>
          </w:p>
        </w:tc>
        <w:tc>
          <w:tcPr>
            <w:tcW w:w="0" w:type="auto"/>
            <w:hideMark/>
          </w:tcPr>
          <w:p w14:paraId="4596784D"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Coagulation</w:t>
            </w:r>
          </w:p>
        </w:tc>
        <w:tc>
          <w:tcPr>
            <w:tcW w:w="0" w:type="auto"/>
            <w:hideMark/>
          </w:tcPr>
          <w:p w14:paraId="3891F8E4"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Molding &amp; Packing</w:t>
            </w:r>
          </w:p>
        </w:tc>
      </w:tr>
      <w:tr w:rsidR="00012498" w:rsidRPr="009E5C01" w14:paraId="7BCCC7F1" w14:textId="77777777" w:rsidTr="00012498">
        <w:tc>
          <w:tcPr>
            <w:tcW w:w="0" w:type="auto"/>
            <w:hideMark/>
          </w:tcPr>
          <w:p w14:paraId="2AD1B174" w14:textId="77777777" w:rsidR="00012498" w:rsidRPr="009E5C01" w:rsidRDefault="00012498" w:rsidP="009E5C01">
            <w:pPr>
              <w:jc w:val="both"/>
              <w:rPr>
                <w:rFonts w:ascii="Cambria" w:hAnsi="Cambria"/>
                <w:sz w:val="18"/>
                <w:szCs w:val="18"/>
              </w:rPr>
            </w:pPr>
            <w:r w:rsidRPr="009E5C01">
              <w:rPr>
                <w:rFonts w:ascii="Cambria" w:hAnsi="Cambria"/>
                <w:sz w:val="18"/>
                <w:szCs w:val="18"/>
              </w:rPr>
              <w:t>Global Warming (GWP100a)</w:t>
            </w:r>
          </w:p>
        </w:tc>
        <w:tc>
          <w:tcPr>
            <w:tcW w:w="0" w:type="auto"/>
            <w:hideMark/>
          </w:tcPr>
          <w:p w14:paraId="49916EC1" w14:textId="77777777" w:rsidR="00012498" w:rsidRPr="009E5C01" w:rsidRDefault="00012498" w:rsidP="009E5C01">
            <w:pPr>
              <w:jc w:val="both"/>
              <w:rPr>
                <w:rFonts w:ascii="Cambria" w:hAnsi="Cambria"/>
                <w:sz w:val="18"/>
                <w:szCs w:val="18"/>
              </w:rPr>
            </w:pPr>
            <w:r w:rsidRPr="009E5C01">
              <w:rPr>
                <w:rFonts w:ascii="Cambria" w:hAnsi="Cambria"/>
                <w:sz w:val="18"/>
                <w:szCs w:val="18"/>
              </w:rPr>
              <w:t>kg CO₂ eq</w:t>
            </w:r>
          </w:p>
        </w:tc>
        <w:tc>
          <w:tcPr>
            <w:tcW w:w="0" w:type="auto"/>
            <w:hideMark/>
          </w:tcPr>
          <w:p w14:paraId="6B52C41E" w14:textId="77777777" w:rsidR="00012498" w:rsidRPr="009E5C01" w:rsidRDefault="00012498" w:rsidP="009E5C01">
            <w:pPr>
              <w:jc w:val="both"/>
              <w:rPr>
                <w:rFonts w:ascii="Cambria" w:hAnsi="Cambria"/>
                <w:sz w:val="18"/>
                <w:szCs w:val="18"/>
              </w:rPr>
            </w:pPr>
            <w:r w:rsidRPr="009E5C01">
              <w:rPr>
                <w:rFonts w:ascii="Cambria" w:hAnsi="Cambria"/>
                <w:sz w:val="18"/>
                <w:szCs w:val="18"/>
              </w:rPr>
              <w:t>5.28×10³</w:t>
            </w:r>
          </w:p>
        </w:tc>
        <w:tc>
          <w:tcPr>
            <w:tcW w:w="0" w:type="auto"/>
            <w:hideMark/>
          </w:tcPr>
          <w:p w14:paraId="613AA337" w14:textId="77777777" w:rsidR="00012498" w:rsidRPr="009E5C01" w:rsidRDefault="00012498" w:rsidP="009E5C01">
            <w:pPr>
              <w:jc w:val="both"/>
              <w:rPr>
                <w:rFonts w:ascii="Cambria" w:hAnsi="Cambria"/>
                <w:sz w:val="18"/>
                <w:szCs w:val="18"/>
              </w:rPr>
            </w:pPr>
            <w:r w:rsidRPr="009E5C01">
              <w:rPr>
                <w:rFonts w:ascii="Cambria" w:hAnsi="Cambria"/>
                <w:sz w:val="18"/>
                <w:szCs w:val="18"/>
              </w:rPr>
              <w:t>3.56×10³</w:t>
            </w:r>
          </w:p>
        </w:tc>
        <w:tc>
          <w:tcPr>
            <w:tcW w:w="0" w:type="auto"/>
            <w:hideMark/>
          </w:tcPr>
          <w:p w14:paraId="2194599D" w14:textId="77777777" w:rsidR="00012498" w:rsidRPr="009E5C01" w:rsidRDefault="00012498" w:rsidP="009E5C01">
            <w:pPr>
              <w:jc w:val="both"/>
              <w:rPr>
                <w:rFonts w:ascii="Cambria" w:hAnsi="Cambria"/>
                <w:sz w:val="18"/>
                <w:szCs w:val="18"/>
              </w:rPr>
            </w:pPr>
            <w:r w:rsidRPr="009E5C01">
              <w:rPr>
                <w:rFonts w:ascii="Cambria" w:hAnsi="Cambria"/>
                <w:sz w:val="18"/>
                <w:szCs w:val="18"/>
              </w:rPr>
              <w:t>0.945</w:t>
            </w:r>
          </w:p>
        </w:tc>
        <w:tc>
          <w:tcPr>
            <w:tcW w:w="0" w:type="auto"/>
            <w:hideMark/>
          </w:tcPr>
          <w:p w14:paraId="533E8D56" w14:textId="77777777" w:rsidR="00012498" w:rsidRPr="009E5C01" w:rsidRDefault="00012498" w:rsidP="009E5C01">
            <w:pPr>
              <w:jc w:val="both"/>
              <w:rPr>
                <w:rFonts w:ascii="Cambria" w:hAnsi="Cambria"/>
                <w:sz w:val="18"/>
                <w:szCs w:val="18"/>
              </w:rPr>
            </w:pPr>
            <w:r w:rsidRPr="009E5C01">
              <w:rPr>
                <w:rFonts w:ascii="Cambria" w:hAnsi="Cambria"/>
                <w:sz w:val="18"/>
                <w:szCs w:val="18"/>
              </w:rPr>
              <w:t>35.8</w:t>
            </w:r>
          </w:p>
        </w:tc>
        <w:tc>
          <w:tcPr>
            <w:tcW w:w="0" w:type="auto"/>
            <w:hideMark/>
          </w:tcPr>
          <w:p w14:paraId="21C10A04" w14:textId="77777777" w:rsidR="00012498" w:rsidRPr="009E5C01" w:rsidRDefault="00012498" w:rsidP="009E5C01">
            <w:pPr>
              <w:jc w:val="both"/>
              <w:rPr>
                <w:rFonts w:ascii="Cambria" w:hAnsi="Cambria"/>
                <w:sz w:val="18"/>
                <w:szCs w:val="18"/>
              </w:rPr>
            </w:pPr>
            <w:r w:rsidRPr="009E5C01">
              <w:rPr>
                <w:rFonts w:ascii="Cambria" w:hAnsi="Cambria"/>
                <w:sz w:val="18"/>
                <w:szCs w:val="18"/>
              </w:rPr>
              <w:t>1.63×10³</w:t>
            </w:r>
          </w:p>
        </w:tc>
        <w:tc>
          <w:tcPr>
            <w:tcW w:w="0" w:type="auto"/>
            <w:hideMark/>
          </w:tcPr>
          <w:p w14:paraId="05A9F2E7" w14:textId="77777777" w:rsidR="00012498" w:rsidRPr="009E5C01" w:rsidRDefault="00012498" w:rsidP="009E5C01">
            <w:pPr>
              <w:jc w:val="both"/>
              <w:rPr>
                <w:rFonts w:ascii="Cambria" w:hAnsi="Cambria"/>
                <w:sz w:val="18"/>
                <w:szCs w:val="18"/>
              </w:rPr>
            </w:pPr>
            <w:r w:rsidRPr="009E5C01">
              <w:rPr>
                <w:rFonts w:ascii="Cambria" w:hAnsi="Cambria"/>
                <w:sz w:val="18"/>
                <w:szCs w:val="18"/>
              </w:rPr>
              <w:t>55.8</w:t>
            </w:r>
          </w:p>
        </w:tc>
        <w:tc>
          <w:tcPr>
            <w:tcW w:w="0" w:type="auto"/>
            <w:hideMark/>
          </w:tcPr>
          <w:p w14:paraId="63D84B47" w14:textId="77777777" w:rsidR="00012498" w:rsidRPr="009E5C01" w:rsidRDefault="00012498" w:rsidP="009E5C01">
            <w:pPr>
              <w:jc w:val="both"/>
              <w:rPr>
                <w:rFonts w:ascii="Cambria" w:hAnsi="Cambria"/>
                <w:sz w:val="18"/>
                <w:szCs w:val="18"/>
              </w:rPr>
            </w:pPr>
            <w:r w:rsidRPr="009E5C01">
              <w:rPr>
                <w:rFonts w:ascii="Cambria" w:hAnsi="Cambria"/>
                <w:sz w:val="18"/>
                <w:szCs w:val="18"/>
              </w:rPr>
              <w:t>5.9</w:t>
            </w:r>
          </w:p>
        </w:tc>
      </w:tr>
      <w:tr w:rsidR="00012498" w:rsidRPr="009E5C01" w14:paraId="5231594C" w14:textId="77777777" w:rsidTr="00012498">
        <w:tc>
          <w:tcPr>
            <w:tcW w:w="0" w:type="auto"/>
            <w:hideMark/>
          </w:tcPr>
          <w:p w14:paraId="7A1F70FE" w14:textId="77777777" w:rsidR="00012498" w:rsidRPr="009E5C01" w:rsidRDefault="00012498" w:rsidP="009E5C01">
            <w:pPr>
              <w:jc w:val="both"/>
              <w:rPr>
                <w:rFonts w:ascii="Cambria" w:hAnsi="Cambria"/>
                <w:sz w:val="18"/>
                <w:szCs w:val="18"/>
              </w:rPr>
            </w:pPr>
            <w:r w:rsidRPr="009E5C01">
              <w:rPr>
                <w:rFonts w:ascii="Cambria" w:hAnsi="Cambria"/>
                <w:sz w:val="18"/>
                <w:szCs w:val="18"/>
              </w:rPr>
              <w:t>Ozone Layer Depletion (ODP)</w:t>
            </w:r>
          </w:p>
        </w:tc>
        <w:tc>
          <w:tcPr>
            <w:tcW w:w="0" w:type="auto"/>
            <w:hideMark/>
          </w:tcPr>
          <w:p w14:paraId="233EB7A3" w14:textId="77777777" w:rsidR="00012498" w:rsidRPr="009E5C01" w:rsidRDefault="00012498" w:rsidP="009E5C01">
            <w:pPr>
              <w:jc w:val="both"/>
              <w:rPr>
                <w:rFonts w:ascii="Cambria" w:hAnsi="Cambria"/>
                <w:sz w:val="18"/>
                <w:szCs w:val="18"/>
              </w:rPr>
            </w:pPr>
            <w:r w:rsidRPr="009E5C01">
              <w:rPr>
                <w:rFonts w:ascii="Cambria" w:hAnsi="Cambria"/>
                <w:sz w:val="18"/>
                <w:szCs w:val="18"/>
              </w:rPr>
              <w:t>kg CFC-11 eq</w:t>
            </w:r>
          </w:p>
        </w:tc>
        <w:tc>
          <w:tcPr>
            <w:tcW w:w="0" w:type="auto"/>
            <w:hideMark/>
          </w:tcPr>
          <w:p w14:paraId="3817A954" w14:textId="77777777" w:rsidR="00012498" w:rsidRPr="009E5C01" w:rsidRDefault="00012498" w:rsidP="009E5C01">
            <w:pPr>
              <w:jc w:val="both"/>
              <w:rPr>
                <w:rFonts w:ascii="Cambria" w:hAnsi="Cambria"/>
                <w:sz w:val="18"/>
                <w:szCs w:val="18"/>
              </w:rPr>
            </w:pPr>
            <w:r w:rsidRPr="009E5C01">
              <w:rPr>
                <w:rFonts w:ascii="Cambria" w:hAnsi="Cambria"/>
                <w:sz w:val="18"/>
                <w:szCs w:val="18"/>
              </w:rPr>
              <w:t>6.11×10</w:t>
            </w:r>
            <w:r w:rsidRPr="009E5C01">
              <w:rPr>
                <w:rFonts w:ascii="Cambria" w:hAnsi="Cambria" w:cs="Cambria Math"/>
                <w:sz w:val="18"/>
                <w:szCs w:val="18"/>
              </w:rPr>
              <w:t>⁻</w:t>
            </w:r>
            <w:r w:rsidRPr="009E5C01">
              <w:rPr>
                <w:rFonts w:ascii="Cambria" w:hAnsi="Cambria" w:cs="Aptos"/>
                <w:sz w:val="18"/>
                <w:szCs w:val="18"/>
              </w:rPr>
              <w:t>⁵</w:t>
            </w:r>
          </w:p>
        </w:tc>
        <w:tc>
          <w:tcPr>
            <w:tcW w:w="0" w:type="auto"/>
            <w:hideMark/>
          </w:tcPr>
          <w:p w14:paraId="7EC7CF6F" w14:textId="77777777" w:rsidR="00012498" w:rsidRPr="009E5C01" w:rsidRDefault="00012498" w:rsidP="009E5C01">
            <w:pPr>
              <w:jc w:val="both"/>
              <w:rPr>
                <w:rFonts w:ascii="Cambria" w:hAnsi="Cambria"/>
                <w:sz w:val="18"/>
                <w:szCs w:val="18"/>
              </w:rPr>
            </w:pPr>
            <w:r w:rsidRPr="009E5C01">
              <w:rPr>
                <w:rFonts w:ascii="Cambria" w:hAnsi="Cambria"/>
                <w:sz w:val="18"/>
                <w:szCs w:val="18"/>
              </w:rPr>
              <w:t>5.93×10</w:t>
            </w:r>
            <w:r w:rsidRPr="009E5C01">
              <w:rPr>
                <w:rFonts w:ascii="Cambria" w:hAnsi="Cambria" w:cs="Cambria Math"/>
                <w:sz w:val="18"/>
                <w:szCs w:val="18"/>
              </w:rPr>
              <w:t>⁻</w:t>
            </w:r>
            <w:r w:rsidRPr="009E5C01">
              <w:rPr>
                <w:rFonts w:ascii="Cambria" w:hAnsi="Cambria" w:cs="Aptos"/>
                <w:sz w:val="18"/>
                <w:szCs w:val="18"/>
              </w:rPr>
              <w:t>⁵</w:t>
            </w:r>
          </w:p>
        </w:tc>
        <w:tc>
          <w:tcPr>
            <w:tcW w:w="0" w:type="auto"/>
            <w:hideMark/>
          </w:tcPr>
          <w:p w14:paraId="526DBFF2" w14:textId="77777777" w:rsidR="00012498" w:rsidRPr="009E5C01" w:rsidRDefault="00012498" w:rsidP="009E5C01">
            <w:pPr>
              <w:jc w:val="both"/>
              <w:rPr>
                <w:rFonts w:ascii="Cambria" w:hAnsi="Cambria"/>
                <w:sz w:val="18"/>
                <w:szCs w:val="18"/>
              </w:rPr>
            </w:pPr>
            <w:r w:rsidRPr="009E5C01">
              <w:rPr>
                <w:rFonts w:ascii="Cambria" w:hAnsi="Cambria"/>
                <w:sz w:val="18"/>
                <w:szCs w:val="18"/>
              </w:rPr>
              <w:t>2.1×10</w:t>
            </w:r>
            <w:r w:rsidRPr="009E5C01">
              <w:rPr>
                <w:rFonts w:ascii="Cambria" w:hAnsi="Cambria" w:cs="Cambria Math"/>
                <w:sz w:val="18"/>
                <w:szCs w:val="18"/>
              </w:rPr>
              <w:t>⁻</w:t>
            </w:r>
            <w:r w:rsidRPr="009E5C01">
              <w:rPr>
                <w:rFonts w:ascii="Cambria" w:hAnsi="Cambria" w:cs="Aptos"/>
                <w:sz w:val="18"/>
                <w:szCs w:val="18"/>
              </w:rPr>
              <w:t>⁹</w:t>
            </w:r>
          </w:p>
        </w:tc>
        <w:tc>
          <w:tcPr>
            <w:tcW w:w="0" w:type="auto"/>
            <w:hideMark/>
          </w:tcPr>
          <w:p w14:paraId="57699309" w14:textId="77777777" w:rsidR="00012498" w:rsidRPr="009E5C01" w:rsidRDefault="00012498" w:rsidP="009E5C01">
            <w:pPr>
              <w:jc w:val="both"/>
              <w:rPr>
                <w:rFonts w:ascii="Cambria" w:hAnsi="Cambria"/>
                <w:sz w:val="18"/>
                <w:szCs w:val="18"/>
              </w:rPr>
            </w:pPr>
            <w:r w:rsidRPr="009E5C01">
              <w:rPr>
                <w:rFonts w:ascii="Cambria" w:hAnsi="Cambria"/>
                <w:sz w:val="18"/>
                <w:szCs w:val="18"/>
              </w:rPr>
              <w:t>7.93×10</w:t>
            </w:r>
            <w:r w:rsidRPr="009E5C01">
              <w:rPr>
                <w:rFonts w:ascii="Cambria" w:hAnsi="Cambria" w:cs="Cambria Math"/>
                <w:sz w:val="18"/>
                <w:szCs w:val="18"/>
              </w:rPr>
              <w:t>⁻</w:t>
            </w:r>
            <w:r w:rsidRPr="009E5C01">
              <w:rPr>
                <w:rFonts w:ascii="Cambria" w:hAnsi="Cambria" w:cs="Aptos"/>
                <w:sz w:val="18"/>
                <w:szCs w:val="18"/>
              </w:rPr>
              <w:t>⁸</w:t>
            </w:r>
          </w:p>
        </w:tc>
        <w:tc>
          <w:tcPr>
            <w:tcW w:w="0" w:type="auto"/>
            <w:hideMark/>
          </w:tcPr>
          <w:p w14:paraId="083A9E3C" w14:textId="77777777" w:rsidR="00012498" w:rsidRPr="009E5C01" w:rsidRDefault="00012498" w:rsidP="009E5C01">
            <w:pPr>
              <w:jc w:val="both"/>
              <w:rPr>
                <w:rFonts w:ascii="Cambria" w:hAnsi="Cambria"/>
                <w:sz w:val="18"/>
                <w:szCs w:val="18"/>
              </w:rPr>
            </w:pPr>
            <w:r w:rsidRPr="009E5C01">
              <w:rPr>
                <w:rFonts w:ascii="Cambria" w:hAnsi="Cambria"/>
                <w:sz w:val="18"/>
                <w:szCs w:val="18"/>
              </w:rPr>
              <w:t>1.07×10</w:t>
            </w:r>
            <w:r w:rsidRPr="009E5C01">
              <w:rPr>
                <w:rFonts w:ascii="Cambria" w:hAnsi="Cambria" w:cs="Cambria Math"/>
                <w:sz w:val="18"/>
                <w:szCs w:val="18"/>
              </w:rPr>
              <w:t>⁻</w:t>
            </w:r>
            <w:r w:rsidRPr="009E5C01">
              <w:rPr>
                <w:rFonts w:ascii="Cambria" w:hAnsi="Cambria" w:cs="Aptos"/>
                <w:sz w:val="18"/>
                <w:szCs w:val="18"/>
              </w:rPr>
              <w:t>⁶</w:t>
            </w:r>
          </w:p>
        </w:tc>
        <w:tc>
          <w:tcPr>
            <w:tcW w:w="0" w:type="auto"/>
            <w:hideMark/>
          </w:tcPr>
          <w:p w14:paraId="4BD50EBB" w14:textId="77777777" w:rsidR="00012498" w:rsidRPr="009E5C01" w:rsidRDefault="00012498" w:rsidP="009E5C01">
            <w:pPr>
              <w:jc w:val="both"/>
              <w:rPr>
                <w:rFonts w:ascii="Cambria" w:hAnsi="Cambria"/>
                <w:sz w:val="18"/>
                <w:szCs w:val="18"/>
              </w:rPr>
            </w:pPr>
            <w:r w:rsidRPr="009E5C01">
              <w:rPr>
                <w:rFonts w:ascii="Cambria" w:hAnsi="Cambria"/>
                <w:sz w:val="18"/>
                <w:szCs w:val="18"/>
              </w:rPr>
              <w:t>5.02×10</w:t>
            </w:r>
            <w:r w:rsidRPr="009E5C01">
              <w:rPr>
                <w:rFonts w:ascii="Cambria" w:hAnsi="Cambria" w:cs="Cambria Math"/>
                <w:sz w:val="18"/>
                <w:szCs w:val="18"/>
              </w:rPr>
              <w:t>⁻</w:t>
            </w:r>
            <w:r w:rsidRPr="009E5C01">
              <w:rPr>
                <w:rFonts w:ascii="Cambria" w:hAnsi="Cambria" w:cs="Aptos"/>
                <w:sz w:val="18"/>
                <w:szCs w:val="18"/>
              </w:rPr>
              <w:t>⁷</w:t>
            </w:r>
          </w:p>
        </w:tc>
        <w:tc>
          <w:tcPr>
            <w:tcW w:w="0" w:type="auto"/>
            <w:hideMark/>
          </w:tcPr>
          <w:p w14:paraId="47A2F8D8" w14:textId="77777777" w:rsidR="00012498" w:rsidRPr="009E5C01" w:rsidRDefault="00012498" w:rsidP="009E5C01">
            <w:pPr>
              <w:jc w:val="both"/>
              <w:rPr>
                <w:rFonts w:ascii="Cambria" w:hAnsi="Cambria"/>
                <w:sz w:val="18"/>
                <w:szCs w:val="18"/>
              </w:rPr>
            </w:pPr>
            <w:r w:rsidRPr="009E5C01">
              <w:rPr>
                <w:rFonts w:ascii="Cambria" w:hAnsi="Cambria"/>
                <w:sz w:val="18"/>
                <w:szCs w:val="18"/>
              </w:rPr>
              <w:t>1.29×10</w:t>
            </w:r>
            <w:r w:rsidRPr="009E5C01">
              <w:rPr>
                <w:rFonts w:ascii="Cambria" w:hAnsi="Cambria" w:cs="Cambria Math"/>
                <w:sz w:val="18"/>
                <w:szCs w:val="18"/>
              </w:rPr>
              <w:t>⁻</w:t>
            </w:r>
            <w:r w:rsidRPr="009E5C01">
              <w:rPr>
                <w:rFonts w:ascii="Cambria" w:hAnsi="Cambria" w:cs="Aptos"/>
                <w:sz w:val="18"/>
                <w:szCs w:val="18"/>
              </w:rPr>
              <w:t>⁷</w:t>
            </w:r>
          </w:p>
        </w:tc>
      </w:tr>
      <w:tr w:rsidR="00012498" w:rsidRPr="009E5C01" w14:paraId="6A11F0F9" w14:textId="77777777" w:rsidTr="00012498">
        <w:tc>
          <w:tcPr>
            <w:tcW w:w="0" w:type="auto"/>
            <w:hideMark/>
          </w:tcPr>
          <w:p w14:paraId="4A3BA8DA" w14:textId="77777777" w:rsidR="00012498" w:rsidRPr="009E5C01" w:rsidRDefault="00012498" w:rsidP="009E5C01">
            <w:pPr>
              <w:jc w:val="both"/>
              <w:rPr>
                <w:rFonts w:ascii="Cambria" w:hAnsi="Cambria"/>
                <w:sz w:val="18"/>
                <w:szCs w:val="18"/>
              </w:rPr>
            </w:pPr>
            <w:r w:rsidRPr="009E5C01">
              <w:rPr>
                <w:rFonts w:ascii="Cambria" w:hAnsi="Cambria"/>
                <w:sz w:val="18"/>
                <w:szCs w:val="18"/>
              </w:rPr>
              <w:t>Fresh Water Aquatic Ecotoxicity</w:t>
            </w:r>
          </w:p>
        </w:tc>
        <w:tc>
          <w:tcPr>
            <w:tcW w:w="0" w:type="auto"/>
            <w:hideMark/>
          </w:tcPr>
          <w:p w14:paraId="6DC990C7" w14:textId="77777777" w:rsidR="00012498" w:rsidRPr="009E5C01" w:rsidRDefault="00012498" w:rsidP="009E5C01">
            <w:pPr>
              <w:jc w:val="both"/>
              <w:rPr>
                <w:rFonts w:ascii="Cambria" w:hAnsi="Cambria"/>
                <w:sz w:val="18"/>
                <w:szCs w:val="18"/>
              </w:rPr>
            </w:pPr>
            <w:r w:rsidRPr="009E5C01">
              <w:rPr>
                <w:rFonts w:ascii="Cambria" w:hAnsi="Cambria"/>
                <w:sz w:val="18"/>
                <w:szCs w:val="18"/>
              </w:rPr>
              <w:t>kg 1,4-DB eq</w:t>
            </w:r>
          </w:p>
        </w:tc>
        <w:tc>
          <w:tcPr>
            <w:tcW w:w="0" w:type="auto"/>
            <w:hideMark/>
          </w:tcPr>
          <w:p w14:paraId="68C41D79" w14:textId="77777777" w:rsidR="00012498" w:rsidRPr="009E5C01" w:rsidRDefault="00012498" w:rsidP="009E5C01">
            <w:pPr>
              <w:jc w:val="both"/>
              <w:rPr>
                <w:rFonts w:ascii="Cambria" w:hAnsi="Cambria"/>
                <w:sz w:val="18"/>
                <w:szCs w:val="18"/>
              </w:rPr>
            </w:pPr>
            <w:r w:rsidRPr="009E5C01">
              <w:rPr>
                <w:rFonts w:ascii="Cambria" w:hAnsi="Cambria"/>
                <w:sz w:val="18"/>
                <w:szCs w:val="18"/>
              </w:rPr>
              <w:t>1.33×10³</w:t>
            </w:r>
          </w:p>
        </w:tc>
        <w:tc>
          <w:tcPr>
            <w:tcW w:w="0" w:type="auto"/>
            <w:hideMark/>
          </w:tcPr>
          <w:p w14:paraId="46AB9C79" w14:textId="77777777" w:rsidR="00012498" w:rsidRPr="009E5C01" w:rsidRDefault="00012498" w:rsidP="009E5C01">
            <w:pPr>
              <w:jc w:val="both"/>
              <w:rPr>
                <w:rFonts w:ascii="Cambria" w:hAnsi="Cambria"/>
                <w:sz w:val="18"/>
                <w:szCs w:val="18"/>
              </w:rPr>
            </w:pPr>
            <w:r w:rsidRPr="009E5C01">
              <w:rPr>
                <w:rFonts w:ascii="Cambria" w:hAnsi="Cambria"/>
                <w:sz w:val="18"/>
                <w:szCs w:val="18"/>
              </w:rPr>
              <w:t>1.22×10³</w:t>
            </w:r>
          </w:p>
        </w:tc>
        <w:tc>
          <w:tcPr>
            <w:tcW w:w="0" w:type="auto"/>
            <w:hideMark/>
          </w:tcPr>
          <w:p w14:paraId="409EAEEA" w14:textId="77777777" w:rsidR="00012498" w:rsidRPr="009E5C01" w:rsidRDefault="00012498" w:rsidP="009E5C01">
            <w:pPr>
              <w:jc w:val="both"/>
              <w:rPr>
                <w:rFonts w:ascii="Cambria" w:hAnsi="Cambria"/>
                <w:sz w:val="18"/>
                <w:szCs w:val="18"/>
              </w:rPr>
            </w:pPr>
            <w:r w:rsidRPr="009E5C01">
              <w:rPr>
                <w:rFonts w:ascii="Cambria" w:hAnsi="Cambria"/>
                <w:sz w:val="18"/>
                <w:szCs w:val="18"/>
              </w:rPr>
              <w:t>0.651</w:t>
            </w:r>
          </w:p>
        </w:tc>
        <w:tc>
          <w:tcPr>
            <w:tcW w:w="0" w:type="auto"/>
            <w:hideMark/>
          </w:tcPr>
          <w:p w14:paraId="22A9227F" w14:textId="77777777" w:rsidR="00012498" w:rsidRPr="009E5C01" w:rsidRDefault="00012498" w:rsidP="009E5C01">
            <w:pPr>
              <w:jc w:val="both"/>
              <w:rPr>
                <w:rFonts w:ascii="Cambria" w:hAnsi="Cambria"/>
                <w:sz w:val="18"/>
                <w:szCs w:val="18"/>
              </w:rPr>
            </w:pPr>
            <w:r w:rsidRPr="009E5C01">
              <w:rPr>
                <w:rFonts w:ascii="Cambria" w:hAnsi="Cambria"/>
                <w:sz w:val="18"/>
                <w:szCs w:val="18"/>
              </w:rPr>
              <w:t>24.6</w:t>
            </w:r>
          </w:p>
        </w:tc>
        <w:tc>
          <w:tcPr>
            <w:tcW w:w="0" w:type="auto"/>
            <w:hideMark/>
          </w:tcPr>
          <w:p w14:paraId="4D9D33A8" w14:textId="77777777" w:rsidR="00012498" w:rsidRPr="009E5C01" w:rsidRDefault="00012498" w:rsidP="009E5C01">
            <w:pPr>
              <w:jc w:val="both"/>
              <w:rPr>
                <w:rFonts w:ascii="Cambria" w:hAnsi="Cambria"/>
                <w:sz w:val="18"/>
                <w:szCs w:val="18"/>
              </w:rPr>
            </w:pPr>
            <w:r w:rsidRPr="009E5C01">
              <w:rPr>
                <w:rFonts w:ascii="Cambria" w:hAnsi="Cambria"/>
                <w:sz w:val="18"/>
                <w:szCs w:val="18"/>
              </w:rPr>
              <w:t>70.6</w:t>
            </w:r>
          </w:p>
        </w:tc>
        <w:tc>
          <w:tcPr>
            <w:tcW w:w="0" w:type="auto"/>
            <w:hideMark/>
          </w:tcPr>
          <w:p w14:paraId="22D3A5D9" w14:textId="77777777" w:rsidR="00012498" w:rsidRPr="009E5C01" w:rsidRDefault="00012498" w:rsidP="009E5C01">
            <w:pPr>
              <w:jc w:val="both"/>
              <w:rPr>
                <w:rFonts w:ascii="Cambria" w:hAnsi="Cambria"/>
                <w:sz w:val="18"/>
                <w:szCs w:val="18"/>
              </w:rPr>
            </w:pPr>
            <w:r w:rsidRPr="009E5C01">
              <w:rPr>
                <w:rFonts w:ascii="Cambria" w:hAnsi="Cambria"/>
                <w:sz w:val="18"/>
                <w:szCs w:val="18"/>
              </w:rPr>
              <w:t>14.1</w:t>
            </w:r>
          </w:p>
        </w:tc>
        <w:tc>
          <w:tcPr>
            <w:tcW w:w="0" w:type="auto"/>
            <w:hideMark/>
          </w:tcPr>
          <w:p w14:paraId="2C8E4C4D" w14:textId="77777777" w:rsidR="00012498" w:rsidRPr="009E5C01" w:rsidRDefault="00012498" w:rsidP="009E5C01">
            <w:pPr>
              <w:jc w:val="both"/>
              <w:rPr>
                <w:rFonts w:ascii="Cambria" w:hAnsi="Cambria"/>
                <w:sz w:val="18"/>
                <w:szCs w:val="18"/>
              </w:rPr>
            </w:pPr>
            <w:r w:rsidRPr="009E5C01">
              <w:rPr>
                <w:rFonts w:ascii="Cambria" w:hAnsi="Cambria"/>
                <w:sz w:val="18"/>
                <w:szCs w:val="18"/>
              </w:rPr>
              <w:t>2.75</w:t>
            </w:r>
          </w:p>
        </w:tc>
      </w:tr>
      <w:tr w:rsidR="00012498" w:rsidRPr="009E5C01" w14:paraId="38ED2023" w14:textId="77777777" w:rsidTr="00012498">
        <w:tc>
          <w:tcPr>
            <w:tcW w:w="0" w:type="auto"/>
            <w:hideMark/>
          </w:tcPr>
          <w:p w14:paraId="4D5679D7" w14:textId="77777777" w:rsidR="00012498" w:rsidRPr="009E5C01" w:rsidRDefault="00012498" w:rsidP="009E5C01">
            <w:pPr>
              <w:jc w:val="both"/>
              <w:rPr>
                <w:rFonts w:ascii="Cambria" w:hAnsi="Cambria"/>
                <w:sz w:val="18"/>
                <w:szCs w:val="18"/>
              </w:rPr>
            </w:pPr>
            <w:r w:rsidRPr="009E5C01">
              <w:rPr>
                <w:rFonts w:ascii="Cambria" w:hAnsi="Cambria"/>
                <w:sz w:val="18"/>
                <w:szCs w:val="18"/>
              </w:rPr>
              <w:t>Acidification</w:t>
            </w:r>
          </w:p>
        </w:tc>
        <w:tc>
          <w:tcPr>
            <w:tcW w:w="0" w:type="auto"/>
            <w:hideMark/>
          </w:tcPr>
          <w:p w14:paraId="098D10D7" w14:textId="77777777" w:rsidR="00012498" w:rsidRPr="009E5C01" w:rsidRDefault="00012498" w:rsidP="009E5C01">
            <w:pPr>
              <w:jc w:val="both"/>
              <w:rPr>
                <w:rFonts w:ascii="Cambria" w:hAnsi="Cambria"/>
                <w:sz w:val="18"/>
                <w:szCs w:val="18"/>
              </w:rPr>
            </w:pPr>
            <w:r w:rsidRPr="009E5C01">
              <w:rPr>
                <w:rFonts w:ascii="Cambria" w:hAnsi="Cambria"/>
                <w:sz w:val="18"/>
                <w:szCs w:val="18"/>
              </w:rPr>
              <w:t>kg SO₂ eq</w:t>
            </w:r>
          </w:p>
        </w:tc>
        <w:tc>
          <w:tcPr>
            <w:tcW w:w="0" w:type="auto"/>
            <w:hideMark/>
          </w:tcPr>
          <w:p w14:paraId="03CBB285" w14:textId="77777777" w:rsidR="00012498" w:rsidRPr="009E5C01" w:rsidRDefault="00012498" w:rsidP="009E5C01">
            <w:pPr>
              <w:jc w:val="both"/>
              <w:rPr>
                <w:rFonts w:ascii="Cambria" w:hAnsi="Cambria"/>
                <w:sz w:val="18"/>
                <w:szCs w:val="18"/>
              </w:rPr>
            </w:pPr>
            <w:r w:rsidRPr="009E5C01">
              <w:rPr>
                <w:rFonts w:ascii="Cambria" w:hAnsi="Cambria"/>
                <w:sz w:val="18"/>
                <w:szCs w:val="18"/>
              </w:rPr>
              <w:t>4.59</w:t>
            </w:r>
          </w:p>
        </w:tc>
        <w:tc>
          <w:tcPr>
            <w:tcW w:w="0" w:type="auto"/>
            <w:hideMark/>
          </w:tcPr>
          <w:p w14:paraId="388C4473" w14:textId="77777777" w:rsidR="00012498" w:rsidRPr="009E5C01" w:rsidRDefault="00012498" w:rsidP="009E5C01">
            <w:pPr>
              <w:jc w:val="both"/>
              <w:rPr>
                <w:rFonts w:ascii="Cambria" w:hAnsi="Cambria"/>
                <w:sz w:val="18"/>
                <w:szCs w:val="18"/>
              </w:rPr>
            </w:pPr>
            <w:r w:rsidRPr="009E5C01">
              <w:rPr>
                <w:rFonts w:ascii="Cambria" w:hAnsi="Cambria"/>
                <w:sz w:val="18"/>
                <w:szCs w:val="18"/>
              </w:rPr>
              <w:t>3.53</w:t>
            </w:r>
          </w:p>
        </w:tc>
        <w:tc>
          <w:tcPr>
            <w:tcW w:w="0" w:type="auto"/>
            <w:hideMark/>
          </w:tcPr>
          <w:p w14:paraId="782AC917" w14:textId="77777777" w:rsidR="00012498" w:rsidRPr="009E5C01" w:rsidRDefault="00012498" w:rsidP="009E5C01">
            <w:pPr>
              <w:jc w:val="both"/>
              <w:rPr>
                <w:rFonts w:ascii="Cambria" w:hAnsi="Cambria"/>
                <w:sz w:val="18"/>
                <w:szCs w:val="18"/>
              </w:rPr>
            </w:pPr>
            <w:r w:rsidRPr="009E5C01">
              <w:rPr>
                <w:rFonts w:ascii="Cambria" w:hAnsi="Cambria"/>
                <w:sz w:val="18"/>
                <w:szCs w:val="18"/>
              </w:rPr>
              <w:t>0.00245</w:t>
            </w:r>
          </w:p>
        </w:tc>
        <w:tc>
          <w:tcPr>
            <w:tcW w:w="0" w:type="auto"/>
            <w:hideMark/>
          </w:tcPr>
          <w:p w14:paraId="1C7164FA" w14:textId="77777777" w:rsidR="00012498" w:rsidRPr="009E5C01" w:rsidRDefault="00012498" w:rsidP="009E5C01">
            <w:pPr>
              <w:jc w:val="both"/>
              <w:rPr>
                <w:rFonts w:ascii="Cambria" w:hAnsi="Cambria"/>
                <w:sz w:val="18"/>
                <w:szCs w:val="18"/>
              </w:rPr>
            </w:pPr>
            <w:r w:rsidRPr="009E5C01">
              <w:rPr>
                <w:rFonts w:ascii="Cambria" w:hAnsi="Cambria"/>
                <w:sz w:val="18"/>
                <w:szCs w:val="18"/>
              </w:rPr>
              <w:t>0.0925</w:t>
            </w:r>
          </w:p>
        </w:tc>
        <w:tc>
          <w:tcPr>
            <w:tcW w:w="0" w:type="auto"/>
            <w:hideMark/>
          </w:tcPr>
          <w:p w14:paraId="453B9AC5" w14:textId="77777777" w:rsidR="00012498" w:rsidRPr="009E5C01" w:rsidRDefault="00012498" w:rsidP="009E5C01">
            <w:pPr>
              <w:jc w:val="both"/>
              <w:rPr>
                <w:rFonts w:ascii="Cambria" w:hAnsi="Cambria"/>
                <w:sz w:val="18"/>
                <w:szCs w:val="18"/>
              </w:rPr>
            </w:pPr>
            <w:r w:rsidRPr="009E5C01">
              <w:rPr>
                <w:rFonts w:ascii="Cambria" w:hAnsi="Cambria"/>
                <w:sz w:val="18"/>
                <w:szCs w:val="18"/>
              </w:rPr>
              <w:t>0.723</w:t>
            </w:r>
          </w:p>
        </w:tc>
        <w:tc>
          <w:tcPr>
            <w:tcW w:w="0" w:type="auto"/>
            <w:hideMark/>
          </w:tcPr>
          <w:p w14:paraId="1AAD4A24" w14:textId="77777777" w:rsidR="00012498" w:rsidRPr="009E5C01" w:rsidRDefault="00012498" w:rsidP="009E5C01">
            <w:pPr>
              <w:jc w:val="both"/>
              <w:rPr>
                <w:rFonts w:ascii="Cambria" w:hAnsi="Cambria"/>
                <w:sz w:val="18"/>
                <w:szCs w:val="18"/>
              </w:rPr>
            </w:pPr>
            <w:r w:rsidRPr="009E5C01">
              <w:rPr>
                <w:rFonts w:ascii="Cambria" w:hAnsi="Cambria"/>
                <w:sz w:val="18"/>
                <w:szCs w:val="18"/>
              </w:rPr>
              <w:t>0.226</w:t>
            </w:r>
          </w:p>
        </w:tc>
        <w:tc>
          <w:tcPr>
            <w:tcW w:w="0" w:type="auto"/>
            <w:hideMark/>
          </w:tcPr>
          <w:p w14:paraId="05020100" w14:textId="77777777" w:rsidR="00012498" w:rsidRPr="009E5C01" w:rsidRDefault="00012498" w:rsidP="009E5C01">
            <w:pPr>
              <w:jc w:val="both"/>
              <w:rPr>
                <w:rFonts w:ascii="Cambria" w:hAnsi="Cambria"/>
                <w:sz w:val="18"/>
                <w:szCs w:val="18"/>
              </w:rPr>
            </w:pPr>
            <w:r w:rsidRPr="009E5C01">
              <w:rPr>
                <w:rFonts w:ascii="Cambria" w:hAnsi="Cambria"/>
                <w:sz w:val="18"/>
                <w:szCs w:val="18"/>
              </w:rPr>
              <w:t>0.0176</w:t>
            </w:r>
          </w:p>
        </w:tc>
      </w:tr>
      <w:tr w:rsidR="00012498" w:rsidRPr="009E5C01" w14:paraId="51FDDF01" w14:textId="77777777" w:rsidTr="00012498">
        <w:tc>
          <w:tcPr>
            <w:tcW w:w="0" w:type="auto"/>
            <w:hideMark/>
          </w:tcPr>
          <w:p w14:paraId="7BF6AEF6" w14:textId="77777777" w:rsidR="00012498" w:rsidRPr="009E5C01" w:rsidRDefault="00012498" w:rsidP="009E5C01">
            <w:pPr>
              <w:jc w:val="both"/>
              <w:rPr>
                <w:rFonts w:ascii="Cambria" w:hAnsi="Cambria"/>
                <w:sz w:val="18"/>
                <w:szCs w:val="18"/>
              </w:rPr>
            </w:pPr>
            <w:r w:rsidRPr="009E5C01">
              <w:rPr>
                <w:rFonts w:ascii="Cambria" w:hAnsi="Cambria"/>
                <w:sz w:val="18"/>
                <w:szCs w:val="18"/>
              </w:rPr>
              <w:t>Eutrophication</w:t>
            </w:r>
          </w:p>
        </w:tc>
        <w:tc>
          <w:tcPr>
            <w:tcW w:w="0" w:type="auto"/>
            <w:hideMark/>
          </w:tcPr>
          <w:p w14:paraId="41A301D0" w14:textId="77777777" w:rsidR="00012498" w:rsidRPr="009E5C01" w:rsidRDefault="00012498" w:rsidP="009E5C01">
            <w:pPr>
              <w:jc w:val="both"/>
              <w:rPr>
                <w:rFonts w:ascii="Cambria" w:hAnsi="Cambria"/>
                <w:sz w:val="18"/>
                <w:szCs w:val="18"/>
              </w:rPr>
            </w:pPr>
            <w:r w:rsidRPr="009E5C01">
              <w:rPr>
                <w:rFonts w:ascii="Cambria" w:hAnsi="Cambria"/>
                <w:sz w:val="18"/>
                <w:szCs w:val="18"/>
              </w:rPr>
              <w:t>kg PO₄³</w:t>
            </w:r>
            <w:r w:rsidRPr="009E5C01">
              <w:rPr>
                <w:rFonts w:ascii="Cambria" w:hAnsi="Cambria" w:cs="Cambria Math"/>
                <w:sz w:val="18"/>
                <w:szCs w:val="18"/>
              </w:rPr>
              <w:t>⁻</w:t>
            </w:r>
            <w:r w:rsidRPr="009E5C01">
              <w:rPr>
                <w:rFonts w:ascii="Cambria" w:hAnsi="Cambria"/>
                <w:sz w:val="18"/>
                <w:szCs w:val="18"/>
              </w:rPr>
              <w:t xml:space="preserve"> eq</w:t>
            </w:r>
          </w:p>
        </w:tc>
        <w:tc>
          <w:tcPr>
            <w:tcW w:w="0" w:type="auto"/>
            <w:hideMark/>
          </w:tcPr>
          <w:p w14:paraId="25895883" w14:textId="77777777" w:rsidR="00012498" w:rsidRPr="009E5C01" w:rsidRDefault="00012498" w:rsidP="009E5C01">
            <w:pPr>
              <w:jc w:val="both"/>
              <w:rPr>
                <w:rFonts w:ascii="Cambria" w:hAnsi="Cambria"/>
                <w:sz w:val="18"/>
                <w:szCs w:val="18"/>
              </w:rPr>
            </w:pPr>
            <w:r w:rsidRPr="009E5C01">
              <w:rPr>
                <w:rFonts w:ascii="Cambria" w:hAnsi="Cambria"/>
                <w:sz w:val="18"/>
                <w:szCs w:val="18"/>
              </w:rPr>
              <w:t>9.1</w:t>
            </w:r>
          </w:p>
        </w:tc>
        <w:tc>
          <w:tcPr>
            <w:tcW w:w="0" w:type="auto"/>
            <w:hideMark/>
          </w:tcPr>
          <w:p w14:paraId="21156C2A" w14:textId="77777777" w:rsidR="00012498" w:rsidRPr="009E5C01" w:rsidRDefault="00012498" w:rsidP="009E5C01">
            <w:pPr>
              <w:jc w:val="both"/>
              <w:rPr>
                <w:rFonts w:ascii="Cambria" w:hAnsi="Cambria"/>
                <w:sz w:val="18"/>
                <w:szCs w:val="18"/>
              </w:rPr>
            </w:pPr>
            <w:r w:rsidRPr="009E5C01">
              <w:rPr>
                <w:rFonts w:ascii="Cambria" w:hAnsi="Cambria"/>
                <w:sz w:val="18"/>
                <w:szCs w:val="18"/>
              </w:rPr>
              <w:t>8.3</w:t>
            </w:r>
          </w:p>
        </w:tc>
        <w:tc>
          <w:tcPr>
            <w:tcW w:w="0" w:type="auto"/>
            <w:hideMark/>
          </w:tcPr>
          <w:p w14:paraId="4DE3412D" w14:textId="77777777" w:rsidR="00012498" w:rsidRPr="009E5C01" w:rsidRDefault="00012498" w:rsidP="009E5C01">
            <w:pPr>
              <w:jc w:val="both"/>
              <w:rPr>
                <w:rFonts w:ascii="Cambria" w:hAnsi="Cambria"/>
                <w:sz w:val="18"/>
                <w:szCs w:val="18"/>
              </w:rPr>
            </w:pPr>
            <w:r w:rsidRPr="009E5C01">
              <w:rPr>
                <w:rFonts w:ascii="Cambria" w:hAnsi="Cambria"/>
                <w:sz w:val="18"/>
                <w:szCs w:val="18"/>
              </w:rPr>
              <w:t>0.0034</w:t>
            </w:r>
          </w:p>
        </w:tc>
        <w:tc>
          <w:tcPr>
            <w:tcW w:w="0" w:type="auto"/>
            <w:hideMark/>
          </w:tcPr>
          <w:p w14:paraId="224844D9" w14:textId="77777777" w:rsidR="00012498" w:rsidRPr="009E5C01" w:rsidRDefault="00012498" w:rsidP="009E5C01">
            <w:pPr>
              <w:jc w:val="both"/>
              <w:rPr>
                <w:rFonts w:ascii="Cambria" w:hAnsi="Cambria"/>
                <w:sz w:val="18"/>
                <w:szCs w:val="18"/>
              </w:rPr>
            </w:pPr>
            <w:r w:rsidRPr="009E5C01">
              <w:rPr>
                <w:rFonts w:ascii="Cambria" w:hAnsi="Cambria"/>
                <w:sz w:val="18"/>
                <w:szCs w:val="18"/>
              </w:rPr>
              <w:t>0.128</w:t>
            </w:r>
          </w:p>
        </w:tc>
        <w:tc>
          <w:tcPr>
            <w:tcW w:w="0" w:type="auto"/>
            <w:hideMark/>
          </w:tcPr>
          <w:p w14:paraId="49860914" w14:textId="77777777" w:rsidR="00012498" w:rsidRPr="009E5C01" w:rsidRDefault="00012498" w:rsidP="009E5C01">
            <w:pPr>
              <w:jc w:val="both"/>
              <w:rPr>
                <w:rFonts w:ascii="Cambria" w:hAnsi="Cambria"/>
                <w:sz w:val="18"/>
                <w:szCs w:val="18"/>
              </w:rPr>
            </w:pPr>
            <w:r w:rsidRPr="009E5C01">
              <w:rPr>
                <w:rFonts w:ascii="Cambria" w:hAnsi="Cambria"/>
                <w:sz w:val="18"/>
                <w:szCs w:val="18"/>
              </w:rPr>
              <w:t>0.409</w:t>
            </w:r>
          </w:p>
        </w:tc>
        <w:tc>
          <w:tcPr>
            <w:tcW w:w="0" w:type="auto"/>
            <w:hideMark/>
          </w:tcPr>
          <w:p w14:paraId="361732B6" w14:textId="77777777" w:rsidR="00012498" w:rsidRPr="009E5C01" w:rsidRDefault="00012498" w:rsidP="009E5C01">
            <w:pPr>
              <w:jc w:val="both"/>
              <w:rPr>
                <w:rFonts w:ascii="Cambria" w:hAnsi="Cambria"/>
                <w:sz w:val="18"/>
                <w:szCs w:val="18"/>
              </w:rPr>
            </w:pPr>
            <w:r w:rsidRPr="009E5C01">
              <w:rPr>
                <w:rFonts w:ascii="Cambria" w:hAnsi="Cambria"/>
                <w:sz w:val="18"/>
                <w:szCs w:val="18"/>
              </w:rPr>
              <w:t>0.25</w:t>
            </w:r>
          </w:p>
        </w:tc>
        <w:tc>
          <w:tcPr>
            <w:tcW w:w="0" w:type="auto"/>
            <w:hideMark/>
          </w:tcPr>
          <w:p w14:paraId="33013FEB" w14:textId="77777777" w:rsidR="00012498" w:rsidRPr="009E5C01" w:rsidRDefault="00012498" w:rsidP="009E5C01">
            <w:pPr>
              <w:jc w:val="both"/>
              <w:rPr>
                <w:rFonts w:ascii="Cambria" w:hAnsi="Cambria"/>
                <w:sz w:val="18"/>
                <w:szCs w:val="18"/>
              </w:rPr>
            </w:pPr>
            <w:r w:rsidRPr="009E5C01">
              <w:rPr>
                <w:rFonts w:ascii="Cambria" w:hAnsi="Cambria"/>
                <w:sz w:val="18"/>
                <w:szCs w:val="18"/>
              </w:rPr>
              <w:t>0.00838</w:t>
            </w:r>
          </w:p>
        </w:tc>
      </w:tr>
    </w:tbl>
    <w:p w14:paraId="1F0D7887" w14:textId="77777777" w:rsidR="00012498" w:rsidRPr="00012498" w:rsidRDefault="00012498" w:rsidP="009E5C01">
      <w:pPr>
        <w:spacing w:after="0" w:line="240" w:lineRule="auto"/>
        <w:jc w:val="both"/>
        <w:rPr>
          <w:rFonts w:ascii="Cambria" w:hAnsi="Cambria"/>
          <w:b/>
          <w:bCs/>
          <w:sz w:val="22"/>
          <w:szCs w:val="22"/>
        </w:rPr>
      </w:pPr>
    </w:p>
    <w:p w14:paraId="099FDA3B" w14:textId="5483CC7E" w:rsidR="00012498" w:rsidRPr="00012498" w:rsidRDefault="00012498" w:rsidP="009E5C01">
      <w:pPr>
        <w:spacing w:after="0" w:line="240" w:lineRule="auto"/>
        <w:jc w:val="both"/>
        <w:rPr>
          <w:rFonts w:ascii="Cambria" w:hAnsi="Cambria"/>
          <w:b/>
          <w:bCs/>
          <w:sz w:val="22"/>
          <w:szCs w:val="22"/>
        </w:rPr>
      </w:pPr>
      <w:r w:rsidRPr="00012498">
        <w:rPr>
          <w:rFonts w:ascii="Cambria" w:hAnsi="Cambria"/>
          <w:b/>
          <w:bCs/>
          <w:noProof/>
          <w:sz w:val="22"/>
          <w:szCs w:val="22"/>
        </w:rPr>
        <w:drawing>
          <wp:inline distT="0" distB="0" distL="0" distR="0" wp14:anchorId="5F48ED6A" wp14:editId="0BC8EE14">
            <wp:extent cx="4919980" cy="28105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19980" cy="2810510"/>
                    </a:xfrm>
                    <a:prstGeom prst="rect">
                      <a:avLst/>
                    </a:prstGeom>
                    <a:noFill/>
                  </pic:spPr>
                </pic:pic>
              </a:graphicData>
            </a:graphic>
          </wp:inline>
        </w:drawing>
      </w:r>
    </w:p>
    <w:p w14:paraId="136111E4" w14:textId="4A8658E7" w:rsidR="00012498" w:rsidRPr="00012498" w:rsidRDefault="00012498" w:rsidP="009E5C01">
      <w:pPr>
        <w:spacing w:after="0" w:line="240" w:lineRule="auto"/>
        <w:jc w:val="both"/>
        <w:rPr>
          <w:rFonts w:ascii="Cambria" w:hAnsi="Cambria"/>
          <w:sz w:val="22"/>
          <w:szCs w:val="22"/>
        </w:rPr>
      </w:pPr>
      <w:r w:rsidRPr="00012498">
        <w:rPr>
          <w:rFonts w:ascii="Cambria" w:hAnsi="Cambria"/>
          <w:b/>
          <w:bCs/>
          <w:sz w:val="22"/>
          <w:szCs w:val="22"/>
        </w:rPr>
        <w:t>Figure 2.</w:t>
      </w:r>
      <w:r w:rsidRPr="00012498">
        <w:rPr>
          <w:rFonts w:ascii="Cambria" w:hAnsi="Cambria"/>
          <w:sz w:val="22"/>
          <w:szCs w:val="22"/>
        </w:rPr>
        <w:t xml:space="preserve"> Environmental impact of tofu production across production stages (SimaPro 10.3 output).</w:t>
      </w:r>
    </w:p>
    <w:p w14:paraId="0DF81A38" w14:textId="126540F7"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lastRenderedPageBreak/>
        <w:t xml:space="preserve">The Global Warming Potential (GWP100a) of the tofu production system totals 5.28 × 10³ kg CO₂ eq per production batch. The washing stage constitutes the dominant contributor at 3.56 × 10³ kg CO₂ eq (approximately 67.42% of the total), followed by the boiling stage at 1.63 × 10³ kg CO₂ eq (approximately 30.87%). The remaining stages — coagulation, grinding, molding and packaging, and soaking — contribute marginally. The disproportionate contribution of washing to GWP is mechanistically driven by the large volumes of water consumed at this stage (2,800 L per batch, as shown in Table 1), which, within the LCA framework, are linked to energy-intensive upstream processes of water extraction, treatment, and distribution that generate indirect greenhouse gas emissions </w:t>
      </w:r>
      <w:r w:rsidR="005A4A5F">
        <w:rPr>
          <w:rFonts w:ascii="Cambria" w:hAnsi="Cambria"/>
          <w:sz w:val="22"/>
          <w:szCs w:val="22"/>
        </w:rPr>
        <w:fldChar w:fldCharType="begin" w:fldLock="1"/>
      </w:r>
      <w:r w:rsidR="004441E6">
        <w:rPr>
          <w:rFonts w:ascii="Cambria" w:hAnsi="Cambria"/>
          <w:sz w:val="22"/>
          <w:szCs w:val="22"/>
        </w:rPr>
        <w:instrText>ADDIN CSL_CITATION {"citationItems":[{"id":"ITEM-1","itemData":{"DOI":"10.1016/j.resconrec.2022.106836","ISSN":"09213449 (ISSN)","author":[{"dropping-particle":"","family":"Kara","given":"S","non-dropping-particle":"","parse-names":false,"suffix":""},{"dropping-particle":"","family":"Herrmann","given":"C","non-dropping-particle":"","parse-names":false,"suffix":""},{"dropping-particle":"","family":"Hauschild","given":"M","non-dropping-particle":"","parse-names":false,"suffix":""}],"container-title":"Resources, Conservation and Recycling","id":"ITEM-1","issued":{"date-parts":[["2023"]]},"language":"English","note":"Export Date: 10 January 2024; Cited By: 5; Correspondence Address: S. Kara; Sustainability in Manufacturing &amp;amp; Life Cycle Engineering Research Group, School of Mechanical &amp;amp; Manufacturing Engineering, The University of New South Wales, Sydney, Australia; email: S.Kara@unsw.edu.au; CODEN: RCREE","publisher":"Elsevier B.V.","publisher-place":"Sustainability in Manufacturing &amp; Life Cycle Engineering Research Group, School of Mechanical &amp; Manufacturing Engineering, The University of New South Wales, Sydney, Australia","title":"Operationalization of life cycle engineering","type":"article-journal","volume":"190"},"uris":["http://www.mendeley.com/documents/?uuid=41cc2663-c836-4638-8da8-b2f9ec9b09cd"]}],"mendeley":{"formattedCitation":"[7]","plainTextFormattedCitation":"[7]","previouslyFormattedCitation":"(Kara et al., 2023)"},"properties":{"noteIndex":0},"schema":"https://github.com/citation-style-language/schema/raw/master/csl-citation.json"}</w:instrText>
      </w:r>
      <w:r w:rsidR="005A4A5F">
        <w:rPr>
          <w:rFonts w:ascii="Cambria" w:hAnsi="Cambria"/>
          <w:sz w:val="22"/>
          <w:szCs w:val="22"/>
        </w:rPr>
        <w:fldChar w:fldCharType="separate"/>
      </w:r>
      <w:r w:rsidR="004441E6" w:rsidRPr="004441E6">
        <w:rPr>
          <w:rFonts w:ascii="Cambria" w:hAnsi="Cambria"/>
          <w:noProof/>
          <w:sz w:val="22"/>
          <w:szCs w:val="22"/>
        </w:rPr>
        <w:t>[7]</w:t>
      </w:r>
      <w:r w:rsidR="005A4A5F">
        <w:rPr>
          <w:rFonts w:ascii="Cambria" w:hAnsi="Cambria"/>
          <w:sz w:val="22"/>
          <w:szCs w:val="22"/>
        </w:rPr>
        <w:fldChar w:fldCharType="end"/>
      </w:r>
      <w:r w:rsidRPr="00012498">
        <w:rPr>
          <w:rFonts w:ascii="Cambria" w:hAnsi="Cambria"/>
          <w:sz w:val="22"/>
          <w:szCs w:val="22"/>
        </w:rPr>
        <w:t xml:space="preserve">. Moreover, the organic-laden wastewater generated during washing has the potential to produce methane (CH₄) under anaerobic decomposition conditions if discharged without treatment, further elevating the GWP burden </w:t>
      </w:r>
      <w:r w:rsidR="005A4A5F">
        <w:rPr>
          <w:rFonts w:ascii="Cambria" w:hAnsi="Cambria"/>
          <w:sz w:val="22"/>
          <w:szCs w:val="22"/>
        </w:rPr>
        <w:fldChar w:fldCharType="begin" w:fldLock="1"/>
      </w:r>
      <w:r w:rsidR="004441E6">
        <w:rPr>
          <w:rFonts w:ascii="Cambria" w:hAnsi="Cambria"/>
          <w:sz w:val="22"/>
          <w:szCs w:val="22"/>
        </w:rPr>
        <w:instrText>ADDIN CSL_CITATION {"citationItems":[{"id":"ITEM-1","itemData":{"ISSN":"2190-5487","author":[{"dropping-particle":"","family":"Seroja","given":"Romi","non-dropping-particle":"","parse-names":false,"suffix":""},{"dropping-particle":"","family":"Effendi","given":"Hefni","non-dropping-particle":"","parse-names":false,"suffix":""},{"dropping-particle":"","family":"Hariyadi","given":"Sigid","non-dropping-particle":"","parse-names":false,"suffix":""}],"container-title":"Applied water science","id":"ITEM-1","issue":"1","issued":{"date-parts":[["2018"]]},"page":"2","publisher":"Springer","title":"Tofu wastewater treatment using vetiver grass (Vetiveria zizanioides) and zeliac","type":"article-journal","volume":"8"},"uris":["http://www.mendeley.com/documents/?uuid=d86e39f9-e89f-474c-a858-d8f29e6dc56c"]}],"mendeley":{"formattedCitation":"[15]","plainTextFormattedCitation":"[15]","previouslyFormattedCitation":"(Seroja et al., 2018)"},"properties":{"noteIndex":0},"schema":"https://github.com/citation-style-language/schema/raw/master/csl-citation.json"}</w:instrText>
      </w:r>
      <w:r w:rsidR="005A4A5F">
        <w:rPr>
          <w:rFonts w:ascii="Cambria" w:hAnsi="Cambria"/>
          <w:sz w:val="22"/>
          <w:szCs w:val="22"/>
        </w:rPr>
        <w:fldChar w:fldCharType="separate"/>
      </w:r>
      <w:r w:rsidR="004441E6" w:rsidRPr="004441E6">
        <w:rPr>
          <w:rFonts w:ascii="Cambria" w:hAnsi="Cambria"/>
          <w:noProof/>
          <w:sz w:val="22"/>
          <w:szCs w:val="22"/>
        </w:rPr>
        <w:t>[15]</w:t>
      </w:r>
      <w:r w:rsidR="005A4A5F">
        <w:rPr>
          <w:rFonts w:ascii="Cambria" w:hAnsi="Cambria"/>
          <w:sz w:val="22"/>
          <w:szCs w:val="22"/>
        </w:rPr>
        <w:fldChar w:fldCharType="end"/>
      </w:r>
      <w:r w:rsidRPr="00012498">
        <w:rPr>
          <w:rFonts w:ascii="Cambria" w:hAnsi="Cambria"/>
          <w:sz w:val="22"/>
          <w:szCs w:val="22"/>
        </w:rPr>
        <w:t xml:space="preserve">. The boiling stage contributes substantially through the direct combustion of 800 kg of firewood per batch, which produces CO₂, CH₄, and N₂O — all potent greenhouse gases — consistent with findings reported in comparative LCA studies of tofu industries using wood-based fuel in Indonesia, where boiling was identified as the primary emission source, accounting for up to 98% of total CO₂ equivalent in some production configurations </w:t>
      </w:r>
      <w:r w:rsidR="005A4A5F">
        <w:rPr>
          <w:rFonts w:ascii="Cambria" w:hAnsi="Cambria"/>
          <w:sz w:val="22"/>
          <w:szCs w:val="22"/>
        </w:rPr>
        <w:fldChar w:fldCharType="begin" w:fldLock="1"/>
      </w:r>
      <w:r w:rsidR="004441E6">
        <w:rPr>
          <w:rFonts w:ascii="Cambria" w:hAnsi="Cambria"/>
          <w:sz w:val="22"/>
          <w:szCs w:val="22"/>
        </w:rPr>
        <w:instrText>ADDIN CSL_CITATION {"citationItems":[{"id":"ITEM-1","itemData":{"ISSN":"2722-4015","author":[{"dropping-particle":"","family":"Masayu","given":"Rosyidah","non-dropping-particle":"","parse-names":false,"suffix":""},{"dropping-particle":"","family":"Masruri","given":"Ansyori","non-dropping-particle":"","parse-names":false,"suffix":""},{"dropping-particle":"","family":"Putra","given":"Romyzar Arya","non-dropping-particle":"","parse-names":false,"suffix":""}],"container-title":"International Journal of Science, Technology &amp; Management","id":"ITEM-1","issue":"4","issued":{"date-parts":[["2020"]]},"page":"428-435","title":"Analysis Of Environmental Impact With The Life Cycle Assessment (LCA) Method On Tofu Production","type":"article-journal","volume":"1"},"uris":["http://www.mendeley.com/documents/?uuid=3d602caa-4075-466f-bfa0-f772dd4aeb38"]}],"mendeley":{"formattedCitation":"[5]","plainTextFormattedCitation":"[5]","previouslyFormattedCitation":"(Masayu et al., 2020)"},"properties":{"noteIndex":0},"schema":"https://github.com/citation-style-language/schema/raw/master/csl-citation.json"}</w:instrText>
      </w:r>
      <w:r w:rsidR="005A4A5F">
        <w:rPr>
          <w:rFonts w:ascii="Cambria" w:hAnsi="Cambria"/>
          <w:sz w:val="22"/>
          <w:szCs w:val="22"/>
        </w:rPr>
        <w:fldChar w:fldCharType="separate"/>
      </w:r>
      <w:r w:rsidR="004441E6" w:rsidRPr="004441E6">
        <w:rPr>
          <w:rFonts w:ascii="Cambria" w:hAnsi="Cambria"/>
          <w:noProof/>
          <w:sz w:val="22"/>
          <w:szCs w:val="22"/>
        </w:rPr>
        <w:t>[5]</w:t>
      </w:r>
      <w:r w:rsidR="005A4A5F">
        <w:rPr>
          <w:rFonts w:ascii="Cambria" w:hAnsi="Cambria"/>
          <w:sz w:val="22"/>
          <w:szCs w:val="22"/>
        </w:rPr>
        <w:fldChar w:fldCharType="end"/>
      </w:r>
      <w:r w:rsidRPr="00012498">
        <w:rPr>
          <w:rFonts w:ascii="Cambria" w:hAnsi="Cambria"/>
          <w:sz w:val="22"/>
          <w:szCs w:val="22"/>
        </w:rPr>
        <w:t>.</w:t>
      </w:r>
    </w:p>
    <w:p w14:paraId="02128747" w14:textId="5AE5FCD5"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The Ozone Layer Depletion (ODP) of the system totals 6.11 × 10</w:t>
      </w:r>
      <w:r w:rsidRPr="00012498">
        <w:rPr>
          <w:rFonts w:ascii="Cambria" w:hAnsi="Cambria" w:cs="Cambria Math"/>
          <w:sz w:val="22"/>
          <w:szCs w:val="22"/>
        </w:rPr>
        <w:t>⁻</w:t>
      </w:r>
      <w:r w:rsidRPr="00012498">
        <w:rPr>
          <w:rFonts w:ascii="Cambria" w:hAnsi="Cambria" w:cs="Aptos"/>
          <w:sz w:val="22"/>
          <w:szCs w:val="22"/>
        </w:rPr>
        <w:t>⁵</w:t>
      </w:r>
      <w:r w:rsidRPr="00012498">
        <w:rPr>
          <w:rFonts w:ascii="Cambria" w:hAnsi="Cambria"/>
          <w:sz w:val="22"/>
          <w:szCs w:val="22"/>
        </w:rPr>
        <w:t xml:space="preserve"> kg CFC-11 eq, with the washing stage contributing an overwhelming 5.93 </w:t>
      </w:r>
      <w:r w:rsidRPr="00012498">
        <w:rPr>
          <w:rFonts w:ascii="Cambria" w:hAnsi="Cambria" w:cs="Aptos"/>
          <w:sz w:val="22"/>
          <w:szCs w:val="22"/>
        </w:rPr>
        <w:t>×</w:t>
      </w:r>
      <w:r w:rsidRPr="00012498">
        <w:rPr>
          <w:rFonts w:ascii="Cambria" w:hAnsi="Cambria"/>
          <w:sz w:val="22"/>
          <w:szCs w:val="22"/>
        </w:rPr>
        <w:t xml:space="preserve"> 10</w:t>
      </w:r>
      <w:r w:rsidRPr="00012498">
        <w:rPr>
          <w:rFonts w:ascii="Cambria" w:hAnsi="Cambria" w:cs="Cambria Math"/>
          <w:sz w:val="22"/>
          <w:szCs w:val="22"/>
        </w:rPr>
        <w:t>⁻</w:t>
      </w:r>
      <w:r w:rsidRPr="00012498">
        <w:rPr>
          <w:rFonts w:ascii="Cambria" w:hAnsi="Cambria" w:cs="Aptos"/>
          <w:sz w:val="22"/>
          <w:szCs w:val="22"/>
        </w:rPr>
        <w:t>⁵</w:t>
      </w:r>
      <w:r w:rsidRPr="00012498">
        <w:rPr>
          <w:rFonts w:ascii="Cambria" w:hAnsi="Cambria"/>
          <w:sz w:val="22"/>
          <w:szCs w:val="22"/>
        </w:rPr>
        <w:t xml:space="preserve"> kg CFC-11 eq (approximately 97.05%). This result may initially appear counterintuitive, as washing does not involve halogenated substances. However, within the LCA framework, the ODP impact is attributed to the upstream energy system associated with water supply infrastructure, where indirect emissions from the energy grid </w:t>
      </w:r>
      <w:r w:rsidRPr="00012498">
        <w:rPr>
          <w:rFonts w:ascii="Cambria" w:hAnsi="Cambria" w:cs="Aptos"/>
          <w:sz w:val="22"/>
          <w:szCs w:val="22"/>
        </w:rPr>
        <w:t>—</w:t>
      </w:r>
      <w:r w:rsidRPr="00012498">
        <w:rPr>
          <w:rFonts w:ascii="Cambria" w:hAnsi="Cambria"/>
          <w:sz w:val="22"/>
          <w:szCs w:val="22"/>
        </w:rPr>
        <w:t xml:space="preserve"> including trace quantities of substances with ozone-depleting potential — are allocated to processes consuming large volumes of grid-distributed water </w:t>
      </w:r>
      <w:r w:rsidR="005A4A5F">
        <w:rPr>
          <w:rFonts w:ascii="Cambria" w:hAnsi="Cambria"/>
          <w:sz w:val="22"/>
          <w:szCs w:val="22"/>
        </w:rPr>
        <w:fldChar w:fldCharType="begin" w:fldLock="1"/>
      </w:r>
      <w:r w:rsidR="004441E6">
        <w:rPr>
          <w:rFonts w:ascii="Cambria" w:hAnsi="Cambria"/>
          <w:sz w:val="22"/>
          <w:szCs w:val="22"/>
        </w:rPr>
        <w:instrText>ADDIN CSL_CITATION {"citationItems":[{"id":"ITEM-1","itemData":{"DOI":"10.1016/j.resconrec.2022.106836","ISSN":"09213449 (ISSN)","author":[{"dropping-particle":"","family":"Kara","given":"S","non-dropping-particle":"","parse-names":false,"suffix":""},{"dropping-particle":"","family":"Herrmann","given":"C","non-dropping-particle":"","parse-names":false,"suffix":""},{"dropping-particle":"","family":"Hauschild","given":"M","non-dropping-particle":"","parse-names":false,"suffix":""}],"container-title":"Resources, Conservation and Recycling","id":"ITEM-1","issued":{"date-parts":[["2023"]]},"language":"English","note":"Export Date: 10 January 2024; Cited By: 5; Correspondence Address: S. Kara; Sustainability in Manufacturing &amp;amp; Life Cycle Engineering Research Group, School of Mechanical &amp;amp; Manufacturing Engineering, The University of New South Wales, Sydney, Australia; email: S.Kara@unsw.edu.au; CODEN: RCREE","publisher":"Elsevier B.V.","publisher-place":"Sustainability in Manufacturing &amp; Life Cycle Engineering Research Group, School of Mechanical &amp; Manufacturing Engineering, The University of New South Wales, Sydney, Australia","title":"Operationalization of life cycle engineering","type":"article-journal","volume":"190"},"uris":["http://www.mendeley.com/documents/?uuid=41cc2663-c836-4638-8da8-b2f9ec9b09cd"]}],"mendeley":{"formattedCitation":"[7]","plainTextFormattedCitation":"[7]","previouslyFormattedCitation":"(Kara et al., 2023)"},"properties":{"noteIndex":0},"schema":"https://github.com/citation-style-language/schema/raw/master/csl-citation.json"}</w:instrText>
      </w:r>
      <w:r w:rsidR="005A4A5F">
        <w:rPr>
          <w:rFonts w:ascii="Cambria" w:hAnsi="Cambria"/>
          <w:sz w:val="22"/>
          <w:szCs w:val="22"/>
        </w:rPr>
        <w:fldChar w:fldCharType="separate"/>
      </w:r>
      <w:r w:rsidR="004441E6" w:rsidRPr="004441E6">
        <w:rPr>
          <w:rFonts w:ascii="Cambria" w:hAnsi="Cambria"/>
          <w:noProof/>
          <w:sz w:val="22"/>
          <w:szCs w:val="22"/>
        </w:rPr>
        <w:t>[7]</w:t>
      </w:r>
      <w:r w:rsidR="005A4A5F">
        <w:rPr>
          <w:rFonts w:ascii="Cambria" w:hAnsi="Cambria"/>
          <w:sz w:val="22"/>
          <w:szCs w:val="22"/>
        </w:rPr>
        <w:fldChar w:fldCharType="end"/>
      </w:r>
      <w:r w:rsidRPr="00012498">
        <w:rPr>
          <w:rFonts w:ascii="Cambria" w:hAnsi="Cambria"/>
          <w:sz w:val="22"/>
          <w:szCs w:val="22"/>
        </w:rPr>
        <w:t>. This indirect attribution mechanism explains why stages with the highest water consumption dominate ODP, even in the absence of direct ozone-depleting emissions within the production facility itself.</w:t>
      </w:r>
    </w:p>
    <w:p w14:paraId="1BDC535C" w14:textId="268614F4"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 xml:space="preserve">Fresh Water Aquatic Ecotoxicity (FAET) registers a total impact of 1.33 × 10³ kg 1,4-DB eq, with the washing stage contributing 1.22 × 10³ kg 1,4-DB eq (91.73%), followed by boiling at 70.6 kg 1,4-DB eq (5.31%) and grinding at 24.6 kg 1,4-DB eq (1.85%). The dominance of the washing stage reflects the large volume of wastewater generated — 2,660 L per batch — which contains residual organic matter, suspended solids, and impurities stripped from raw soybeans. In the CML-IA Baseline characterization framework, liquid waste discharged into aquatic environments is assessed for its potential toxicity to freshwater organisms through a fate-and-exposure modeling approach, wherein greater effluent volumes correspond to proportionally larger FAET characterization values </w:t>
      </w:r>
      <w:r w:rsidR="005A4A5F">
        <w:rPr>
          <w:rFonts w:ascii="Cambria" w:hAnsi="Cambria"/>
          <w:sz w:val="22"/>
          <w:szCs w:val="22"/>
        </w:rPr>
        <w:fldChar w:fldCharType="begin" w:fldLock="1"/>
      </w:r>
      <w:r w:rsidR="004441E6">
        <w:rPr>
          <w:rFonts w:ascii="Cambria" w:hAnsi="Cambria"/>
          <w:sz w:val="22"/>
          <w:szCs w:val="22"/>
        </w:rPr>
        <w:instrText>ADDIN CSL_CITATION {"citationItems":[{"id":"ITEM-1","itemData":{"ISSN":"2755-094X","author":[{"dropping-particle":"","family":"Chitaka","given":"Takunda Y","non-dropping-particle":"","parse-names":false,"suffix":""},{"dropping-particle":"","family":"Goga","given":"Taahira","non-dropping-particle":"","parse-names":false,"suffix":""}],"container-title":"Cambridge Prisms: Plastics","id":"ITEM-1","issued":{"date-parts":[["2023"]]},"page":"e2","publisher":"Cambridge University Press","title":"The evolution of life cycle assessment in the food and beverage industry: A review","type":"article-journal","volume":"1"},"uris":["http://www.mendeley.com/documents/?uuid=fd7f1b02-9aad-42fd-9b5e-09e105af09ef"]}],"mendeley":{"formattedCitation":"[8]","plainTextFormattedCitation":"[8]","previouslyFormattedCitation":"(Chitaka and Goga, 2023)"},"properties":{"noteIndex":0},"schema":"https://github.com/citation-style-language/schema/raw/master/csl-citation.json"}</w:instrText>
      </w:r>
      <w:r w:rsidR="005A4A5F">
        <w:rPr>
          <w:rFonts w:ascii="Cambria" w:hAnsi="Cambria"/>
          <w:sz w:val="22"/>
          <w:szCs w:val="22"/>
        </w:rPr>
        <w:fldChar w:fldCharType="separate"/>
      </w:r>
      <w:r w:rsidR="004441E6" w:rsidRPr="004441E6">
        <w:rPr>
          <w:rFonts w:ascii="Cambria" w:hAnsi="Cambria"/>
          <w:noProof/>
          <w:sz w:val="22"/>
          <w:szCs w:val="22"/>
        </w:rPr>
        <w:t>[8]</w:t>
      </w:r>
      <w:r w:rsidR="005A4A5F">
        <w:rPr>
          <w:rFonts w:ascii="Cambria" w:hAnsi="Cambria"/>
          <w:sz w:val="22"/>
          <w:szCs w:val="22"/>
        </w:rPr>
        <w:fldChar w:fldCharType="end"/>
      </w:r>
      <w:r w:rsidRPr="00012498">
        <w:rPr>
          <w:rFonts w:ascii="Cambria" w:hAnsi="Cambria"/>
          <w:sz w:val="22"/>
          <w:szCs w:val="22"/>
        </w:rPr>
        <w:t xml:space="preserve">. This finding aligns with prior LCA studies on Indonesian tofu production that consistently identified freshwater ecotoxicity among the three most significant impact categories, alongside eutrophication and carbon footprint </w:t>
      </w:r>
      <w:r w:rsidR="005A4A5F">
        <w:rPr>
          <w:rFonts w:ascii="Cambria" w:hAnsi="Cambria"/>
          <w:sz w:val="22"/>
          <w:szCs w:val="22"/>
        </w:rPr>
        <w:fldChar w:fldCharType="begin" w:fldLock="1"/>
      </w:r>
      <w:r w:rsidR="004441E6">
        <w:rPr>
          <w:rFonts w:ascii="Cambria" w:hAnsi="Cambria"/>
          <w:sz w:val="22"/>
          <w:szCs w:val="22"/>
        </w:rPr>
        <w:instrText>ADDIN CSL_CITATION {"citationItems":[{"id":"ITEM-1","itemData":{"ISSN":"2383-3572","author":[{"dropping-particle":"","family":"Hartini","given":"S","non-dropping-particle":"","parse-names":false,"suffix":""},{"dropping-particle":"","family":"Fatliana","given":"A N","non-dropping-particle":"","parse-names":false,"suffix":""},{"dropping-particle":"","family":"Handayani","given":"N U","non-dropping-particle":"","parse-names":false,"suffix":""},{"dropping-particle":"","family":"Wicaksono","given":"P A","non-dropping-particle":"","parse-names":false,"suffix":""},{"dropping-particle":"","family":"Ramadan","given":"B S","non-dropping-particle":"","parse-names":false,"suffix":""},{"dropping-particle":"","family":"Matsumoto","given":"T","non-dropping-particle":"","parse-names":false,"suffix":""}],"container-title":"Global Journal of Environmental Science &amp; Management (GJESM)","id":"ITEM-1","issue":"2","issued":{"date-parts":[["2024"]]},"page":"487","title":"Life cycle assessment and life cycle cost of tofu production and its extended recycling scenario.","type":"article-journal","volume":"10"},"uris":["http://www.mendeley.com/documents/?uuid=435e3b18-b974-486b-89b3-c2735abd7073"]}],"mendeley":{"formattedCitation":"[11]","plainTextFormattedCitation":"[11]","previouslyFormattedCitation":"(Hartini et al., 2024)"},"properties":{"noteIndex":0},"schema":"https://github.com/citation-style-language/schema/raw/master/csl-citation.json"}</w:instrText>
      </w:r>
      <w:r w:rsidR="005A4A5F">
        <w:rPr>
          <w:rFonts w:ascii="Cambria" w:hAnsi="Cambria"/>
          <w:sz w:val="22"/>
          <w:szCs w:val="22"/>
        </w:rPr>
        <w:fldChar w:fldCharType="separate"/>
      </w:r>
      <w:r w:rsidR="004441E6" w:rsidRPr="004441E6">
        <w:rPr>
          <w:rFonts w:ascii="Cambria" w:hAnsi="Cambria"/>
          <w:noProof/>
          <w:sz w:val="22"/>
          <w:szCs w:val="22"/>
        </w:rPr>
        <w:t>[11]</w:t>
      </w:r>
      <w:r w:rsidR="005A4A5F">
        <w:rPr>
          <w:rFonts w:ascii="Cambria" w:hAnsi="Cambria"/>
          <w:sz w:val="22"/>
          <w:szCs w:val="22"/>
        </w:rPr>
        <w:fldChar w:fldCharType="end"/>
      </w:r>
      <w:r w:rsidRPr="00012498">
        <w:rPr>
          <w:rFonts w:ascii="Cambria" w:hAnsi="Cambria"/>
          <w:sz w:val="22"/>
          <w:szCs w:val="22"/>
        </w:rPr>
        <w:t>. The contribution of the boiling stage to FAET — while secondary — is driven by atmospheric deposition of combustion-derived pollutants including nitrogen oxides (NO</w:t>
      </w:r>
      <w:r w:rsidRPr="00012498">
        <w:rPr>
          <w:rFonts w:ascii="Cambria" w:hAnsi="Cambria" w:cs="Cambria Math"/>
          <w:sz w:val="22"/>
          <w:szCs w:val="22"/>
        </w:rPr>
        <w:t>ₓ</w:t>
      </w:r>
      <w:r w:rsidRPr="00012498">
        <w:rPr>
          <w:rFonts w:ascii="Cambria" w:hAnsi="Cambria"/>
          <w:sz w:val="22"/>
          <w:szCs w:val="22"/>
        </w:rPr>
        <w:t>) and sulfur oxides (SO</w:t>
      </w:r>
      <w:r w:rsidRPr="00012498">
        <w:rPr>
          <w:rFonts w:ascii="Cambria" w:hAnsi="Cambria" w:cs="Cambria Math"/>
          <w:sz w:val="22"/>
          <w:szCs w:val="22"/>
        </w:rPr>
        <w:t>ₓ</w:t>
      </w:r>
      <w:r w:rsidRPr="00012498">
        <w:rPr>
          <w:rFonts w:ascii="Cambria" w:hAnsi="Cambria"/>
          <w:sz w:val="22"/>
          <w:szCs w:val="22"/>
        </w:rPr>
        <w:t>), which, when deposited into aquatic systems via precipitation, increase hazardous substance concentrations and adversely affect freshwater biota</w:t>
      </w:r>
      <w:r w:rsidR="005A4A5F">
        <w:rPr>
          <w:rFonts w:ascii="Cambria" w:hAnsi="Cambria"/>
          <w:sz w:val="22"/>
          <w:szCs w:val="22"/>
        </w:rPr>
        <w:t xml:space="preserve"> </w:t>
      </w:r>
      <w:r w:rsidR="005A4A5F">
        <w:rPr>
          <w:rFonts w:ascii="Cambria" w:hAnsi="Cambria"/>
          <w:sz w:val="22"/>
          <w:szCs w:val="22"/>
        </w:rPr>
        <w:fldChar w:fldCharType="begin" w:fldLock="1"/>
      </w:r>
      <w:r w:rsidR="004441E6">
        <w:rPr>
          <w:rFonts w:ascii="Cambria" w:hAnsi="Cambria"/>
          <w:sz w:val="22"/>
          <w:szCs w:val="22"/>
        </w:rPr>
        <w:instrText>ADDIN CSL_CITATION {"citationItems":[{"id":"ITEM-1","itemData":{"ISSN":"2722-4015","author":[{"dropping-particle":"","family":"Masayu","given":"Rosyidah","non-dropping-particle":"","parse-names":false,"suffix":""},{"dropping-particle":"","family":"Masruri","given":"Ansyori","non-dropping-particle":"","parse-names":false,"suffix":""},{"dropping-particle":"","family":"Putra","given":"Romyzar Arya","non-dropping-particle":"","parse-names":false,"suffix":""}],"container-title":"International Journal of Science, Technology &amp; Management","id":"ITEM-1","issue":"4","issued":{"date-parts":[["2020"]]},"page":"428-435","title":"Analysis Of Environmental Impact With The Life Cycle Assessment (LCA) Method On Tofu Production","type":"article-journal","volume":"1"},"uris":["http://www.mendeley.com/documents/?uuid=3d602caa-4075-466f-bfa0-f772dd4aeb38"]}],"mendeley":{"formattedCitation":"[5]","plainTextFormattedCitation":"[5]","previouslyFormattedCitation":"(Masayu et al., 2020)"},"properties":{"noteIndex":0},"schema":"https://github.com/citation-style-language/schema/raw/master/csl-citation.json"}</w:instrText>
      </w:r>
      <w:r w:rsidR="005A4A5F">
        <w:rPr>
          <w:rFonts w:ascii="Cambria" w:hAnsi="Cambria"/>
          <w:sz w:val="22"/>
          <w:szCs w:val="22"/>
        </w:rPr>
        <w:fldChar w:fldCharType="separate"/>
      </w:r>
      <w:r w:rsidR="004441E6" w:rsidRPr="004441E6">
        <w:rPr>
          <w:rFonts w:ascii="Cambria" w:hAnsi="Cambria"/>
          <w:noProof/>
          <w:sz w:val="22"/>
          <w:szCs w:val="22"/>
        </w:rPr>
        <w:t>[5]</w:t>
      </w:r>
      <w:r w:rsidR="005A4A5F">
        <w:rPr>
          <w:rFonts w:ascii="Cambria" w:hAnsi="Cambria"/>
          <w:sz w:val="22"/>
          <w:szCs w:val="22"/>
        </w:rPr>
        <w:fldChar w:fldCharType="end"/>
      </w:r>
      <w:r w:rsidRPr="00012498">
        <w:rPr>
          <w:rFonts w:ascii="Cambria" w:hAnsi="Cambria"/>
          <w:sz w:val="22"/>
          <w:szCs w:val="22"/>
        </w:rPr>
        <w:t>.</w:t>
      </w:r>
    </w:p>
    <w:p w14:paraId="6E76BC79" w14:textId="2340555D"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The Acidification category records a total impact of 4.59 kg SO₂ eq, again dominated by the washing stage (3.53 kg SO₂ eq, 76.91%), with the boiling stage as the secondary contributor (0.723 kg SO₂ eq, 15.75%). The acidification burden associated with washing derives principally from the upstream energy system required for water provision, which generates SO₂ and NO</w:t>
      </w:r>
      <w:r w:rsidRPr="00012498">
        <w:rPr>
          <w:rFonts w:ascii="Cambria" w:hAnsi="Cambria" w:cs="Cambria Math"/>
          <w:sz w:val="22"/>
          <w:szCs w:val="22"/>
        </w:rPr>
        <w:t>ₓ</w:t>
      </w:r>
      <w:r w:rsidRPr="00012498">
        <w:rPr>
          <w:rFonts w:ascii="Cambria" w:hAnsi="Cambria"/>
          <w:sz w:val="22"/>
          <w:szCs w:val="22"/>
        </w:rPr>
        <w:t xml:space="preserve"> emissions </w:t>
      </w:r>
      <w:r w:rsidRPr="00012498">
        <w:rPr>
          <w:rFonts w:ascii="Cambria" w:hAnsi="Cambria" w:cs="Aptos"/>
          <w:sz w:val="22"/>
          <w:szCs w:val="22"/>
        </w:rPr>
        <w:t>—</w:t>
      </w:r>
      <w:r w:rsidRPr="00012498">
        <w:rPr>
          <w:rFonts w:ascii="Cambria" w:hAnsi="Cambria"/>
          <w:sz w:val="22"/>
          <w:szCs w:val="22"/>
        </w:rPr>
        <w:t xml:space="preserve"> the primary precursors of environmental acidification </w:t>
      </w:r>
      <w:r w:rsidR="005A4A5F">
        <w:rPr>
          <w:rFonts w:ascii="Cambria" w:hAnsi="Cambria"/>
          <w:sz w:val="22"/>
          <w:szCs w:val="22"/>
        </w:rPr>
        <w:fldChar w:fldCharType="begin" w:fldLock="1"/>
      </w:r>
      <w:r w:rsidR="004441E6">
        <w:rPr>
          <w:rFonts w:ascii="Cambria" w:hAnsi="Cambria"/>
          <w:sz w:val="22"/>
          <w:szCs w:val="22"/>
        </w:rPr>
        <w:instrText>ADDIN CSL_CITATION {"citationItems":[{"id":"ITEM-1","itemData":{"DOI":"10.1016/j.resconrec.2022.106836","ISSN":"09213449 (ISSN)","author":[{"dropping-particle":"","family":"Kara","given":"S","non-dropping-particle":"","parse-names":false,"suffix":""},{"dropping-particle":"","family":"Herrmann","given":"C","non-dropping-particle":"","parse-names":false,"suffix":""},{"dropping-particle":"","family":"Hauschild","given":"M","non-dropping-particle":"","parse-names":false,"suffix":""}],"container-title":"Resources, Conservation and Recycling","id":"ITEM-1","issued":{"date-parts":[["2023"]]},"language":"English","note":"Export Date: 10 January 2024; Cited By: 5; Correspondence Address: S. Kara; Sustainability in Manufacturing &amp;amp; Life Cycle Engineering Research Group, School of Mechanical &amp;amp; Manufacturing Engineering, The University of New South Wales, Sydney, Australia; email: S.Kara@unsw.edu.au; CODEN: RCREE","publisher":"Elsevier B.V.","publisher-place":"Sustainability in Manufacturing &amp; Life Cycle Engineering Research Group, School of Mechanical &amp; Manufacturing Engineering, The University of New South Wales, Sydney, Australia","title":"Operationalization of life cycle engineering","type":"article-journal","volume":"190"},"uris":["http://www.mendeley.com/documents/?uuid=41cc2663-c836-4638-8da8-b2f9ec9b09cd"]}],"mendeley":{"formattedCitation":"[7]","plainTextFormattedCitation":"[7]","previouslyFormattedCitation":"(Kara et al., 2023)"},"properties":{"noteIndex":0},"schema":"https://github.com/citation-style-language/schema/raw/master/csl-citation.json"}</w:instrText>
      </w:r>
      <w:r w:rsidR="005A4A5F">
        <w:rPr>
          <w:rFonts w:ascii="Cambria" w:hAnsi="Cambria"/>
          <w:sz w:val="22"/>
          <w:szCs w:val="22"/>
        </w:rPr>
        <w:fldChar w:fldCharType="separate"/>
      </w:r>
      <w:r w:rsidR="004441E6" w:rsidRPr="004441E6">
        <w:rPr>
          <w:rFonts w:ascii="Cambria" w:hAnsi="Cambria"/>
          <w:noProof/>
          <w:sz w:val="22"/>
          <w:szCs w:val="22"/>
        </w:rPr>
        <w:t>[7]</w:t>
      </w:r>
      <w:r w:rsidR="005A4A5F">
        <w:rPr>
          <w:rFonts w:ascii="Cambria" w:hAnsi="Cambria"/>
          <w:sz w:val="22"/>
          <w:szCs w:val="22"/>
        </w:rPr>
        <w:fldChar w:fldCharType="end"/>
      </w:r>
      <w:r w:rsidRPr="00012498">
        <w:rPr>
          <w:rFonts w:ascii="Cambria" w:hAnsi="Cambria"/>
          <w:sz w:val="22"/>
          <w:szCs w:val="22"/>
        </w:rPr>
        <w:t xml:space="preserve">. The combustion of firewood during boiling further contributes acidifying emissions, which may react with atmospheric moisture to form acid deposition, with potential consequences for soil quality and receiving water bodies in the vicinity of the production facility </w:t>
      </w:r>
      <w:r w:rsidR="005A4A5F">
        <w:rPr>
          <w:rFonts w:ascii="Cambria" w:hAnsi="Cambria"/>
          <w:sz w:val="22"/>
          <w:szCs w:val="22"/>
        </w:rPr>
        <w:fldChar w:fldCharType="begin" w:fldLock="1"/>
      </w:r>
      <w:r w:rsidR="004441E6">
        <w:rPr>
          <w:rFonts w:ascii="Cambria" w:hAnsi="Cambria"/>
          <w:sz w:val="22"/>
          <w:szCs w:val="22"/>
        </w:rPr>
        <w:instrText>ADDIN CSL_CITATION {"citationItems":[{"id":"ITEM-1","itemData":{"ISSN":"2383-3572","author":[{"dropping-particle":"","family":"Hartini","given":"S","non-dropping-particle":"","parse-names":false,"suffix":""},{"dropping-particle":"","family":"Fatliana","given":"A N","non-dropping-particle":"","parse-names":false,"suffix":""},{"dropping-particle":"","family":"Handayani","given":"N U","non-dropping-particle":"","parse-names":false,"suffix":""},{"dropping-particle":"","family":"Wicaksono","given":"P A","non-dropping-particle":"","parse-names":false,"suffix":""},{"dropping-particle":"","family":"Ramadan","given":"B S","non-dropping-particle":"","parse-names":false,"suffix":""},{"dropping-particle":"","family":"Matsumoto","given":"T","non-dropping-particle":"","parse-names":false,"suffix":""}],"container-title":"Global Journal of Environmental Science &amp; Management (GJESM)","id":"ITEM-1","issue":"2","issued":{"date-parts":[["2024"]]},"page":"487","title":"Life cycle assessment and life cycle cost of tofu production and its extended recycling scenario.","type":"article-journal","volume":"10"},"uris":["http://www.mendeley.com/documents/?uuid=435e3b18-b974-486b-89b3-c2735abd7073"]}],"mendeley":{"formattedCitation":"[11]","plainTextFormattedCitation":"[11]","previouslyFormattedCitation":"(Hartini et al., 2024)"},"properties":{"noteIndex":0},"schema":"https://github.com/citation-style-language/schema/raw/master/csl-citation.json"}</w:instrText>
      </w:r>
      <w:r w:rsidR="005A4A5F">
        <w:rPr>
          <w:rFonts w:ascii="Cambria" w:hAnsi="Cambria"/>
          <w:sz w:val="22"/>
          <w:szCs w:val="22"/>
        </w:rPr>
        <w:fldChar w:fldCharType="separate"/>
      </w:r>
      <w:r w:rsidR="004441E6" w:rsidRPr="004441E6">
        <w:rPr>
          <w:rFonts w:ascii="Cambria" w:hAnsi="Cambria"/>
          <w:noProof/>
          <w:sz w:val="22"/>
          <w:szCs w:val="22"/>
        </w:rPr>
        <w:t>[11]</w:t>
      </w:r>
      <w:r w:rsidR="005A4A5F">
        <w:rPr>
          <w:rFonts w:ascii="Cambria" w:hAnsi="Cambria"/>
          <w:sz w:val="22"/>
          <w:szCs w:val="22"/>
        </w:rPr>
        <w:fldChar w:fldCharType="end"/>
      </w:r>
      <w:r w:rsidRPr="00012498">
        <w:rPr>
          <w:rFonts w:ascii="Cambria" w:hAnsi="Cambria"/>
          <w:sz w:val="22"/>
          <w:szCs w:val="22"/>
        </w:rPr>
        <w:t>. The Eutrophication category totals 9.1 kg PO₄³</w:t>
      </w:r>
      <w:r w:rsidRPr="00012498">
        <w:rPr>
          <w:rFonts w:ascii="Cambria" w:hAnsi="Cambria" w:cs="Cambria Math"/>
          <w:sz w:val="22"/>
          <w:szCs w:val="22"/>
        </w:rPr>
        <w:t>⁻</w:t>
      </w:r>
      <w:r w:rsidRPr="00012498">
        <w:rPr>
          <w:rFonts w:ascii="Cambria" w:hAnsi="Cambria"/>
          <w:sz w:val="22"/>
          <w:szCs w:val="22"/>
        </w:rPr>
        <w:t xml:space="preserve"> eq, with the washing stage contributing 8.3 kg PO</w:t>
      </w:r>
      <w:r w:rsidRPr="00012498">
        <w:rPr>
          <w:rFonts w:ascii="Cambria" w:hAnsi="Cambria" w:cs="Aptos"/>
          <w:sz w:val="22"/>
          <w:szCs w:val="22"/>
        </w:rPr>
        <w:t>₄³</w:t>
      </w:r>
      <w:r w:rsidRPr="00012498">
        <w:rPr>
          <w:rFonts w:ascii="Cambria" w:hAnsi="Cambria" w:cs="Cambria Math"/>
          <w:sz w:val="22"/>
          <w:szCs w:val="22"/>
        </w:rPr>
        <w:t>⁻</w:t>
      </w:r>
      <w:r w:rsidRPr="00012498">
        <w:rPr>
          <w:rFonts w:ascii="Cambria" w:hAnsi="Cambria"/>
          <w:sz w:val="22"/>
          <w:szCs w:val="22"/>
        </w:rPr>
        <w:t xml:space="preserve"> eq (91.21%). The eutrophication burden from washing originates from the nutrient-rich organic effluents </w:t>
      </w:r>
      <w:r w:rsidRPr="00012498">
        <w:rPr>
          <w:rFonts w:ascii="Cambria" w:hAnsi="Cambria" w:cs="Aptos"/>
          <w:sz w:val="22"/>
          <w:szCs w:val="22"/>
        </w:rPr>
        <w:t>—</w:t>
      </w:r>
      <w:r w:rsidRPr="00012498">
        <w:rPr>
          <w:rFonts w:ascii="Cambria" w:hAnsi="Cambria"/>
          <w:sz w:val="22"/>
          <w:szCs w:val="22"/>
        </w:rPr>
        <w:t xml:space="preserve"> containing dissolved proteins, phosphorus, and nitrogen compounds leached from soybeans </w:t>
      </w:r>
      <w:r w:rsidRPr="00012498">
        <w:rPr>
          <w:rFonts w:ascii="Cambria" w:hAnsi="Cambria" w:cs="Aptos"/>
          <w:sz w:val="22"/>
          <w:szCs w:val="22"/>
        </w:rPr>
        <w:t>—</w:t>
      </w:r>
      <w:r w:rsidRPr="00012498">
        <w:rPr>
          <w:rFonts w:ascii="Cambria" w:hAnsi="Cambria"/>
          <w:sz w:val="22"/>
          <w:szCs w:val="22"/>
        </w:rPr>
        <w:t xml:space="preserve"> that, if discharged untreated, can trigger excessive algal proliferation in recipient water bodies, leading to dissolved oxygen depletion and disruption of aquatic ecosystems </w:t>
      </w:r>
      <w:r w:rsidR="005A4A5F">
        <w:rPr>
          <w:rFonts w:ascii="Cambria" w:hAnsi="Cambria"/>
          <w:sz w:val="22"/>
          <w:szCs w:val="22"/>
        </w:rPr>
        <w:fldChar w:fldCharType="begin" w:fldLock="1"/>
      </w:r>
      <w:r w:rsidR="004441E6">
        <w:rPr>
          <w:rFonts w:ascii="Cambria" w:hAnsi="Cambria"/>
          <w:sz w:val="22"/>
          <w:szCs w:val="22"/>
        </w:rPr>
        <w:instrText>ADDIN CSL_CITATION {"citationItems":[{"id":"ITEM-1","itemData":{"ISSN":"2190-5487","author":[{"dropping-particle":"","family":"Seroja","given":"Romi","non-dropping-particle":"","parse-names":false,"suffix":""},{"dropping-particle":"","family":"Effendi","given":"Hefni","non-dropping-particle":"","parse-names":false,"suffix":""},{"dropping-particle":"","family":"Hariyadi","given":"Sigid","non-dropping-particle":"","parse-names":false,"suffix":""}],"container-title":"Applied water science","id":"ITEM-1","issue":"1","issued":{"date-parts":[["2018"]]},"page":"2","publisher":"Springer","title":"Tofu wastewater treatment using vetiver grass (Vetiveria zizanioides) and zeliac","type":"article-journal","volume":"8"},"uris":["http://www.mendeley.com/documents/?uuid=d86e39f9-e89f-474c-a858-d8f29e6dc56c"]}],"mendeley":{"formattedCitation":"[15]","plainTextFormattedCitation":"[15]","previouslyFormattedCitation":"(Seroja et al., 2018)"},"properties":{"noteIndex":0},"schema":"https://github.com/citation-style-language/schema/raw/master/csl-citation.json"}</w:instrText>
      </w:r>
      <w:r w:rsidR="005A4A5F">
        <w:rPr>
          <w:rFonts w:ascii="Cambria" w:hAnsi="Cambria"/>
          <w:sz w:val="22"/>
          <w:szCs w:val="22"/>
        </w:rPr>
        <w:fldChar w:fldCharType="separate"/>
      </w:r>
      <w:r w:rsidR="004441E6" w:rsidRPr="004441E6">
        <w:rPr>
          <w:rFonts w:ascii="Cambria" w:hAnsi="Cambria"/>
          <w:noProof/>
          <w:sz w:val="22"/>
          <w:szCs w:val="22"/>
        </w:rPr>
        <w:t>[15]</w:t>
      </w:r>
      <w:r w:rsidR="005A4A5F">
        <w:rPr>
          <w:rFonts w:ascii="Cambria" w:hAnsi="Cambria"/>
          <w:sz w:val="22"/>
          <w:szCs w:val="22"/>
        </w:rPr>
        <w:fldChar w:fldCharType="end"/>
      </w:r>
      <w:r w:rsidRPr="00012498">
        <w:rPr>
          <w:rFonts w:ascii="Cambria" w:hAnsi="Cambria"/>
          <w:sz w:val="22"/>
          <w:szCs w:val="22"/>
        </w:rPr>
        <w:t>. The boiling stage contributes to eutrophication through NO</w:t>
      </w:r>
      <w:r w:rsidRPr="00012498">
        <w:rPr>
          <w:rFonts w:ascii="Cambria" w:hAnsi="Cambria" w:cs="Cambria Math"/>
          <w:sz w:val="22"/>
          <w:szCs w:val="22"/>
        </w:rPr>
        <w:t>ₓ</w:t>
      </w:r>
      <w:r w:rsidRPr="00012498">
        <w:rPr>
          <w:rFonts w:ascii="Cambria" w:hAnsi="Cambria"/>
          <w:sz w:val="22"/>
          <w:szCs w:val="22"/>
        </w:rPr>
        <w:t xml:space="preserve"> emissions from firewood combustion, which are </w:t>
      </w:r>
      <w:r w:rsidRPr="00012498">
        <w:rPr>
          <w:rFonts w:ascii="Cambria" w:hAnsi="Cambria"/>
          <w:sz w:val="22"/>
          <w:szCs w:val="22"/>
        </w:rPr>
        <w:lastRenderedPageBreak/>
        <w:t>subject to atmospheric deposition and subsequent nutrient accumulation in terrestrial and aquatic environments.</w:t>
      </w:r>
    </w:p>
    <w:p w14:paraId="5C296CCF" w14:textId="77777777" w:rsidR="00012498" w:rsidRPr="00012498" w:rsidRDefault="00012498" w:rsidP="009E5C01">
      <w:pPr>
        <w:spacing w:after="0" w:line="240" w:lineRule="auto"/>
        <w:jc w:val="both"/>
        <w:rPr>
          <w:rFonts w:ascii="Cambria" w:hAnsi="Cambria"/>
          <w:b/>
          <w:bCs/>
          <w:sz w:val="22"/>
          <w:szCs w:val="22"/>
        </w:rPr>
      </w:pPr>
      <w:r w:rsidRPr="00012498">
        <w:rPr>
          <w:rFonts w:ascii="Cambria" w:hAnsi="Cambria"/>
          <w:b/>
          <w:bCs/>
          <w:sz w:val="22"/>
          <w:szCs w:val="22"/>
        </w:rPr>
        <w:t>3.2 Water Use in Tofu Production</w:t>
      </w:r>
    </w:p>
    <w:p w14:paraId="3C402EF8" w14:textId="53261638"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 xml:space="preserve">Water use across all production stages was assessed using the AWARE method, which evaluates water consumption relative to the remaining availability of freshwater resources </w:t>
      </w:r>
      <w:r w:rsidRPr="00012498">
        <w:rPr>
          <w:rFonts w:ascii="Cambria" w:hAnsi="Cambria"/>
          <w:sz w:val="22"/>
          <w:szCs w:val="22"/>
        </w:rPr>
        <w:t>in each</w:t>
      </w:r>
      <w:r w:rsidRPr="00012498">
        <w:rPr>
          <w:rFonts w:ascii="Cambria" w:hAnsi="Cambria"/>
          <w:sz w:val="22"/>
          <w:szCs w:val="22"/>
        </w:rPr>
        <w:t xml:space="preserve"> region after accounting for both human and ecosystem </w:t>
      </w:r>
      <w:r w:rsidR="005A4A5F" w:rsidRPr="00012498">
        <w:rPr>
          <w:rFonts w:ascii="Cambria" w:hAnsi="Cambria"/>
          <w:sz w:val="22"/>
          <w:szCs w:val="22"/>
        </w:rPr>
        <w:t>demand</w:t>
      </w:r>
      <w:r w:rsidRPr="00012498">
        <w:rPr>
          <w:rFonts w:ascii="Cambria" w:hAnsi="Cambria"/>
          <w:sz w:val="22"/>
          <w:szCs w:val="22"/>
        </w:rPr>
        <w:t xml:space="preserve"> — a dimension that volumetric water accounting alone cannot capture. The total water scarcity impact of the tofu production system amounts to 515 m³ world eq per production batch. Contrary to the pattern observed in the CML-IA impact categories, the boiling stage emerges as the dominant contributor to water scarcity at 294 m³ world eq (approximately 57.09%), rather than the washing stage. This result reflects the AWARE method's sensitivity to upstream supply chain water consumption: within the LCA framework, firewood procurement, processing, and distribution involve substantial embedded water use that is allocated back to the boiling stage, thereby elevating its water scarcity characterization value well beyond what direct water consumption figures alone would suggest</w:t>
      </w:r>
      <w:r w:rsidR="005A4A5F">
        <w:rPr>
          <w:rFonts w:ascii="Cambria" w:hAnsi="Cambria"/>
          <w:sz w:val="22"/>
          <w:szCs w:val="22"/>
        </w:rPr>
        <w:t xml:space="preserve"> </w:t>
      </w:r>
      <w:r w:rsidR="005A4A5F">
        <w:rPr>
          <w:rFonts w:ascii="Cambria" w:hAnsi="Cambria"/>
          <w:sz w:val="22"/>
          <w:szCs w:val="22"/>
        </w:rPr>
        <w:fldChar w:fldCharType="begin" w:fldLock="1"/>
      </w:r>
      <w:r w:rsidR="004441E6">
        <w:rPr>
          <w:rFonts w:ascii="Cambria" w:hAnsi="Cambria"/>
          <w:sz w:val="22"/>
          <w:szCs w:val="22"/>
        </w:rPr>
        <w:instrText>ADDIN CSL_CITATION {"citationItems":[{"id":"ITEM-1","itemData":{"author":[{"dropping-particle":"","family":"Mir","given":"Basit A","non-dropping-particle":"","parse-names":false,"suffix":""},{"dropping-particle":"","family":"Nurdiawati","given":"Anissa","non-dropping-particle":"","parse-names":false,"suffix":""},{"dropping-particle":"","family":"Al-Ghamdi","given":"Sami G","non-dropping-particle":"","parse-names":false,"suffix":""}],"container-title":"Environmental Science: Water Research &amp; Technology","id":"ITEM-1","issue":"2","issued":{"date-parts":[["2025"]]},"page":"196-221","publisher":"Royal Society of Chemistry","title":"Assessing the environmental impact of freshwater use in LCA: established practices and current methods","type":"article-journal","volume":"11"},"uris":["http://www.mendeley.com/documents/?uuid=925e17cd-d000-42d4-b18b-4e2b149b0cd7"]}],"mendeley":{"formattedCitation":"[16]","plainTextFormattedCitation":"[16]","previouslyFormattedCitation":"(Mir et al., 2025)"},"properties":{"noteIndex":0},"schema":"https://github.com/citation-style-language/schema/raw/master/csl-citation.json"}</w:instrText>
      </w:r>
      <w:r w:rsidR="005A4A5F">
        <w:rPr>
          <w:rFonts w:ascii="Cambria" w:hAnsi="Cambria"/>
          <w:sz w:val="22"/>
          <w:szCs w:val="22"/>
        </w:rPr>
        <w:fldChar w:fldCharType="separate"/>
      </w:r>
      <w:r w:rsidR="004441E6" w:rsidRPr="004441E6">
        <w:rPr>
          <w:rFonts w:ascii="Cambria" w:hAnsi="Cambria"/>
          <w:noProof/>
          <w:sz w:val="22"/>
          <w:szCs w:val="22"/>
        </w:rPr>
        <w:t>[16]</w:t>
      </w:r>
      <w:r w:rsidR="005A4A5F">
        <w:rPr>
          <w:rFonts w:ascii="Cambria" w:hAnsi="Cambria"/>
          <w:sz w:val="22"/>
          <w:szCs w:val="22"/>
        </w:rPr>
        <w:fldChar w:fldCharType="end"/>
      </w:r>
      <w:r w:rsidRPr="00012498">
        <w:rPr>
          <w:rFonts w:ascii="Cambria" w:hAnsi="Cambria"/>
          <w:sz w:val="22"/>
          <w:szCs w:val="22"/>
        </w:rPr>
        <w:t>. The grinding stage contributes the second largest share at 101 m³ world eq (19.61%), consistent with the continuous water addition required during mechanical grinding to achieve the appropriate slurry consistency and facilitate soybean extraction, as documented in Table 1 (4,200 L of water input). The soaking, coagulation, and washing stages contribute 39.3 m³ world eq (7.63%), 38.2 m³ world eq (7.42%), and 35.8 m³ world eq (6.95%), respectively. The comparatively lower water scarcity value of the washing stage under the AWARE method — despite generating the largest wastewater volume — further illustrates that water scarcity characterization is governed not solely by effluent volumes but by the relative availability of water in the regional context and the embedded water footprint of all upstream inputs [6, 12]. The molding and packaging stage exhibits the smallest contribution at 7.63 m³ world eq (1.48%), consistent with its minimal water input of 100 L per batch (Table 1).</w:t>
      </w:r>
    </w:p>
    <w:p w14:paraId="0556BDE8" w14:textId="77777777" w:rsidR="00012498" w:rsidRPr="00012498" w:rsidRDefault="00012498" w:rsidP="009E5C01">
      <w:pPr>
        <w:spacing w:after="0" w:line="240" w:lineRule="auto"/>
        <w:jc w:val="both"/>
        <w:rPr>
          <w:rFonts w:ascii="Cambria" w:hAnsi="Cambria"/>
          <w:b/>
          <w:bCs/>
          <w:sz w:val="22"/>
          <w:szCs w:val="22"/>
        </w:rPr>
      </w:pPr>
      <w:r w:rsidRPr="00012498">
        <w:rPr>
          <w:rFonts w:ascii="Cambria" w:hAnsi="Cambria"/>
          <w:b/>
          <w:bCs/>
          <w:sz w:val="22"/>
          <w:szCs w:val="22"/>
        </w:rPr>
        <w:t>3.3 Normalization</w:t>
      </w:r>
    </w:p>
    <w:p w14:paraId="6BC030A4" w14:textId="09FB0F02"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Normalization was performed using the CML-IA Baseline reference values within SimaPro 10.3 to enable the direct comparison of impact categories expressed in disparate units, thereby identifying the most environmentally significant category within the tofu production system. The normalization results are presented in Table 3.</w:t>
      </w:r>
    </w:p>
    <w:p w14:paraId="4716E8BB" w14:textId="77777777" w:rsidR="00012498" w:rsidRPr="00012498" w:rsidRDefault="00012498" w:rsidP="009E5C01">
      <w:pPr>
        <w:spacing w:after="0" w:line="240" w:lineRule="auto"/>
        <w:jc w:val="both"/>
        <w:rPr>
          <w:rFonts w:ascii="Cambria" w:hAnsi="Cambria"/>
          <w:sz w:val="22"/>
          <w:szCs w:val="22"/>
        </w:rPr>
      </w:pPr>
      <w:r w:rsidRPr="00012498">
        <w:rPr>
          <w:rFonts w:ascii="Cambria" w:hAnsi="Cambria"/>
          <w:b/>
          <w:bCs/>
          <w:sz w:val="22"/>
          <w:szCs w:val="22"/>
        </w:rPr>
        <w:t>Table 3.</w:t>
      </w:r>
      <w:r w:rsidRPr="00012498">
        <w:rPr>
          <w:rFonts w:ascii="Cambria" w:hAnsi="Cambria"/>
          <w:sz w:val="22"/>
          <w:szCs w:val="22"/>
        </w:rPr>
        <w:t xml:space="preserve"> Normalization results of tofu production environmental impacts.</w:t>
      </w:r>
    </w:p>
    <w:tbl>
      <w:tblPr>
        <w:tblStyle w:val="TableGrid"/>
        <w:tblW w:w="0" w:type="auto"/>
        <w:tblLook w:val="04A0" w:firstRow="1" w:lastRow="0" w:firstColumn="1" w:lastColumn="0" w:noHBand="0" w:noVBand="1"/>
      </w:tblPr>
      <w:tblGrid>
        <w:gridCol w:w="3250"/>
        <w:gridCol w:w="1679"/>
      </w:tblGrid>
      <w:tr w:rsidR="00012498" w:rsidRPr="009E5C01" w14:paraId="685C4916" w14:textId="77777777" w:rsidTr="00012498">
        <w:tc>
          <w:tcPr>
            <w:tcW w:w="0" w:type="auto"/>
            <w:hideMark/>
          </w:tcPr>
          <w:p w14:paraId="54EB302A"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Impact Category</w:t>
            </w:r>
          </w:p>
        </w:tc>
        <w:tc>
          <w:tcPr>
            <w:tcW w:w="0" w:type="auto"/>
            <w:hideMark/>
          </w:tcPr>
          <w:p w14:paraId="5DA39A1E"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Normalized Value</w:t>
            </w:r>
          </w:p>
        </w:tc>
      </w:tr>
      <w:tr w:rsidR="00012498" w:rsidRPr="009E5C01" w14:paraId="279674D5" w14:textId="77777777" w:rsidTr="00012498">
        <w:tc>
          <w:tcPr>
            <w:tcW w:w="0" w:type="auto"/>
            <w:hideMark/>
          </w:tcPr>
          <w:p w14:paraId="376CC92E" w14:textId="77777777" w:rsidR="00012498" w:rsidRPr="009E5C01" w:rsidRDefault="00012498" w:rsidP="009E5C01">
            <w:pPr>
              <w:jc w:val="both"/>
              <w:rPr>
                <w:rFonts w:ascii="Cambria" w:hAnsi="Cambria"/>
                <w:sz w:val="18"/>
                <w:szCs w:val="18"/>
              </w:rPr>
            </w:pPr>
            <w:r w:rsidRPr="009E5C01">
              <w:rPr>
                <w:rFonts w:ascii="Cambria" w:hAnsi="Cambria"/>
                <w:sz w:val="18"/>
                <w:szCs w:val="18"/>
              </w:rPr>
              <w:t>Global Warming Potential (GWP100a)</w:t>
            </w:r>
          </w:p>
        </w:tc>
        <w:tc>
          <w:tcPr>
            <w:tcW w:w="0" w:type="auto"/>
            <w:hideMark/>
          </w:tcPr>
          <w:p w14:paraId="636EAAAC" w14:textId="77777777" w:rsidR="00012498" w:rsidRPr="009E5C01" w:rsidRDefault="00012498" w:rsidP="009E5C01">
            <w:pPr>
              <w:jc w:val="both"/>
              <w:rPr>
                <w:rFonts w:ascii="Cambria" w:hAnsi="Cambria"/>
                <w:sz w:val="18"/>
                <w:szCs w:val="18"/>
              </w:rPr>
            </w:pPr>
            <w:r w:rsidRPr="009E5C01">
              <w:rPr>
                <w:rFonts w:ascii="Cambria" w:hAnsi="Cambria"/>
                <w:sz w:val="18"/>
                <w:szCs w:val="18"/>
              </w:rPr>
              <w:t>1.05×10</w:t>
            </w:r>
            <w:r w:rsidRPr="009E5C01">
              <w:rPr>
                <w:rFonts w:ascii="Cambria" w:hAnsi="Cambria" w:cs="Cambria Math"/>
                <w:sz w:val="18"/>
                <w:szCs w:val="18"/>
              </w:rPr>
              <w:t>⁻</w:t>
            </w:r>
            <w:r w:rsidRPr="009E5C01">
              <w:rPr>
                <w:rFonts w:ascii="Cambria" w:hAnsi="Cambria" w:cs="Aptos"/>
                <w:sz w:val="18"/>
                <w:szCs w:val="18"/>
              </w:rPr>
              <w:t>⁹</w:t>
            </w:r>
          </w:p>
        </w:tc>
      </w:tr>
      <w:tr w:rsidR="00012498" w:rsidRPr="009E5C01" w14:paraId="35F8614E" w14:textId="77777777" w:rsidTr="00012498">
        <w:tc>
          <w:tcPr>
            <w:tcW w:w="0" w:type="auto"/>
            <w:hideMark/>
          </w:tcPr>
          <w:p w14:paraId="520CDBE1" w14:textId="77777777" w:rsidR="00012498" w:rsidRPr="009E5C01" w:rsidRDefault="00012498" w:rsidP="009E5C01">
            <w:pPr>
              <w:jc w:val="both"/>
              <w:rPr>
                <w:rFonts w:ascii="Cambria" w:hAnsi="Cambria"/>
                <w:sz w:val="18"/>
                <w:szCs w:val="18"/>
              </w:rPr>
            </w:pPr>
            <w:r w:rsidRPr="009E5C01">
              <w:rPr>
                <w:rFonts w:ascii="Cambria" w:hAnsi="Cambria"/>
                <w:sz w:val="18"/>
                <w:szCs w:val="18"/>
              </w:rPr>
              <w:t>Ozone Layer Depletion (ODP)</w:t>
            </w:r>
          </w:p>
        </w:tc>
        <w:tc>
          <w:tcPr>
            <w:tcW w:w="0" w:type="auto"/>
            <w:hideMark/>
          </w:tcPr>
          <w:p w14:paraId="525C3209" w14:textId="77777777" w:rsidR="00012498" w:rsidRPr="009E5C01" w:rsidRDefault="00012498" w:rsidP="009E5C01">
            <w:pPr>
              <w:jc w:val="both"/>
              <w:rPr>
                <w:rFonts w:ascii="Cambria" w:hAnsi="Cambria"/>
                <w:sz w:val="18"/>
                <w:szCs w:val="18"/>
              </w:rPr>
            </w:pPr>
            <w:r w:rsidRPr="009E5C01">
              <w:rPr>
                <w:rFonts w:ascii="Cambria" w:hAnsi="Cambria"/>
                <w:sz w:val="18"/>
                <w:szCs w:val="18"/>
              </w:rPr>
              <w:t>6.84×10</w:t>
            </w:r>
            <w:r w:rsidRPr="009E5C01">
              <w:rPr>
                <w:rFonts w:ascii="Cambria" w:hAnsi="Cambria" w:cs="Cambria Math"/>
                <w:sz w:val="18"/>
                <w:szCs w:val="18"/>
              </w:rPr>
              <w:t>⁻</w:t>
            </w:r>
            <w:r w:rsidRPr="009E5C01">
              <w:rPr>
                <w:rFonts w:ascii="Cambria" w:hAnsi="Cambria" w:cs="Aptos"/>
                <w:sz w:val="18"/>
                <w:szCs w:val="18"/>
              </w:rPr>
              <w:t>¹³</w:t>
            </w:r>
          </w:p>
        </w:tc>
      </w:tr>
      <w:tr w:rsidR="00012498" w:rsidRPr="009E5C01" w14:paraId="338A7881" w14:textId="77777777" w:rsidTr="00012498">
        <w:tc>
          <w:tcPr>
            <w:tcW w:w="0" w:type="auto"/>
            <w:hideMark/>
          </w:tcPr>
          <w:p w14:paraId="14B9C59B" w14:textId="77777777" w:rsidR="00012498" w:rsidRPr="009E5C01" w:rsidRDefault="00012498" w:rsidP="009E5C01">
            <w:pPr>
              <w:jc w:val="both"/>
              <w:rPr>
                <w:rFonts w:ascii="Cambria" w:hAnsi="Cambria"/>
                <w:sz w:val="18"/>
                <w:szCs w:val="18"/>
              </w:rPr>
            </w:pPr>
            <w:r w:rsidRPr="009E5C01">
              <w:rPr>
                <w:rFonts w:ascii="Cambria" w:hAnsi="Cambria"/>
                <w:sz w:val="18"/>
                <w:szCs w:val="18"/>
              </w:rPr>
              <w:t>Fresh Water Aquatic Ecotoxicity (FAET)</w:t>
            </w:r>
          </w:p>
        </w:tc>
        <w:tc>
          <w:tcPr>
            <w:tcW w:w="0" w:type="auto"/>
            <w:hideMark/>
          </w:tcPr>
          <w:p w14:paraId="35DE7DBC" w14:textId="77777777" w:rsidR="00012498" w:rsidRPr="009E5C01" w:rsidRDefault="00012498" w:rsidP="009E5C01">
            <w:pPr>
              <w:jc w:val="both"/>
              <w:rPr>
                <w:rFonts w:ascii="Cambria" w:hAnsi="Cambria"/>
                <w:sz w:val="18"/>
                <w:szCs w:val="18"/>
              </w:rPr>
            </w:pPr>
            <w:r w:rsidRPr="009E5C01">
              <w:rPr>
                <w:rFonts w:ascii="Cambria" w:hAnsi="Cambria"/>
                <w:sz w:val="18"/>
                <w:szCs w:val="18"/>
              </w:rPr>
              <w:t>2.57×10</w:t>
            </w:r>
            <w:r w:rsidRPr="009E5C01">
              <w:rPr>
                <w:rFonts w:ascii="Cambria" w:hAnsi="Cambria" w:cs="Cambria Math"/>
                <w:sz w:val="18"/>
                <w:szCs w:val="18"/>
              </w:rPr>
              <w:t>⁻</w:t>
            </w:r>
            <w:r w:rsidRPr="009E5C01">
              <w:rPr>
                <w:rFonts w:ascii="Cambria" w:hAnsi="Cambria" w:cs="Aptos"/>
                <w:sz w:val="18"/>
                <w:szCs w:val="18"/>
              </w:rPr>
              <w:t>⁹</w:t>
            </w:r>
          </w:p>
        </w:tc>
      </w:tr>
      <w:tr w:rsidR="00012498" w:rsidRPr="009E5C01" w14:paraId="58D0E8A1" w14:textId="77777777" w:rsidTr="00012498">
        <w:tc>
          <w:tcPr>
            <w:tcW w:w="0" w:type="auto"/>
            <w:hideMark/>
          </w:tcPr>
          <w:p w14:paraId="623DB338" w14:textId="77777777" w:rsidR="00012498" w:rsidRPr="009E5C01" w:rsidRDefault="00012498" w:rsidP="009E5C01">
            <w:pPr>
              <w:jc w:val="both"/>
              <w:rPr>
                <w:rFonts w:ascii="Cambria" w:hAnsi="Cambria"/>
                <w:sz w:val="18"/>
                <w:szCs w:val="18"/>
              </w:rPr>
            </w:pPr>
            <w:r w:rsidRPr="009E5C01">
              <w:rPr>
                <w:rFonts w:ascii="Cambria" w:hAnsi="Cambria"/>
                <w:sz w:val="18"/>
                <w:szCs w:val="18"/>
              </w:rPr>
              <w:t>Acidification</w:t>
            </w:r>
          </w:p>
        </w:tc>
        <w:tc>
          <w:tcPr>
            <w:tcW w:w="0" w:type="auto"/>
            <w:hideMark/>
          </w:tcPr>
          <w:p w14:paraId="74115AAF" w14:textId="77777777" w:rsidR="00012498" w:rsidRPr="009E5C01" w:rsidRDefault="00012498" w:rsidP="009E5C01">
            <w:pPr>
              <w:jc w:val="both"/>
              <w:rPr>
                <w:rFonts w:ascii="Cambria" w:hAnsi="Cambria"/>
                <w:sz w:val="18"/>
                <w:szCs w:val="18"/>
              </w:rPr>
            </w:pPr>
            <w:r w:rsidRPr="009E5C01">
              <w:rPr>
                <w:rFonts w:ascii="Cambria" w:hAnsi="Cambria"/>
                <w:sz w:val="18"/>
                <w:szCs w:val="18"/>
              </w:rPr>
              <w:t>1.63×10</w:t>
            </w:r>
            <w:r w:rsidRPr="009E5C01">
              <w:rPr>
                <w:rFonts w:ascii="Cambria" w:hAnsi="Cambria" w:cs="Cambria Math"/>
                <w:sz w:val="18"/>
                <w:szCs w:val="18"/>
              </w:rPr>
              <w:t>⁻</w:t>
            </w:r>
            <w:r w:rsidRPr="009E5C01">
              <w:rPr>
                <w:rFonts w:ascii="Cambria" w:hAnsi="Cambria" w:cs="Aptos"/>
                <w:sz w:val="18"/>
                <w:szCs w:val="18"/>
              </w:rPr>
              <w:t>¹⁰</w:t>
            </w:r>
          </w:p>
        </w:tc>
      </w:tr>
      <w:tr w:rsidR="00012498" w:rsidRPr="009E5C01" w14:paraId="573B8FDC" w14:textId="77777777" w:rsidTr="00012498">
        <w:tc>
          <w:tcPr>
            <w:tcW w:w="0" w:type="auto"/>
            <w:hideMark/>
          </w:tcPr>
          <w:p w14:paraId="61794878" w14:textId="77777777" w:rsidR="00012498" w:rsidRPr="009E5C01" w:rsidRDefault="00012498" w:rsidP="009E5C01">
            <w:pPr>
              <w:jc w:val="both"/>
              <w:rPr>
                <w:rFonts w:ascii="Cambria" w:hAnsi="Cambria"/>
                <w:sz w:val="18"/>
                <w:szCs w:val="18"/>
              </w:rPr>
            </w:pPr>
            <w:r w:rsidRPr="009E5C01">
              <w:rPr>
                <w:rFonts w:ascii="Cambria" w:hAnsi="Cambria"/>
                <w:sz w:val="18"/>
                <w:szCs w:val="18"/>
              </w:rPr>
              <w:t>Eutrophication</w:t>
            </w:r>
          </w:p>
        </w:tc>
        <w:tc>
          <w:tcPr>
            <w:tcW w:w="0" w:type="auto"/>
            <w:hideMark/>
          </w:tcPr>
          <w:p w14:paraId="04DE1796" w14:textId="77777777" w:rsidR="00012498" w:rsidRPr="009E5C01" w:rsidRDefault="00012498" w:rsidP="009E5C01">
            <w:pPr>
              <w:jc w:val="both"/>
              <w:rPr>
                <w:rFonts w:ascii="Cambria" w:hAnsi="Cambria"/>
                <w:sz w:val="18"/>
                <w:szCs w:val="18"/>
              </w:rPr>
            </w:pPr>
            <w:r w:rsidRPr="009E5C01">
              <w:rPr>
                <w:rFonts w:ascii="Cambria" w:hAnsi="Cambria"/>
                <w:sz w:val="18"/>
                <w:szCs w:val="18"/>
              </w:rPr>
              <w:t>6.89×10</w:t>
            </w:r>
            <w:r w:rsidRPr="009E5C01">
              <w:rPr>
                <w:rFonts w:ascii="Cambria" w:hAnsi="Cambria" w:cs="Cambria Math"/>
                <w:sz w:val="18"/>
                <w:szCs w:val="18"/>
              </w:rPr>
              <w:t>⁻</w:t>
            </w:r>
            <w:r w:rsidRPr="009E5C01">
              <w:rPr>
                <w:rFonts w:ascii="Cambria" w:hAnsi="Cambria" w:cs="Aptos"/>
                <w:sz w:val="18"/>
                <w:szCs w:val="18"/>
              </w:rPr>
              <w:t>¹⁰</w:t>
            </w:r>
          </w:p>
        </w:tc>
      </w:tr>
    </w:tbl>
    <w:p w14:paraId="230AD7DF" w14:textId="0D6A273A"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The normalization results reveal that Fresh Water Aquatic Ecotoxicity (FAET) exhibits the highest normalized impact value at 2.57 × 10</w:t>
      </w:r>
      <w:r w:rsidRPr="00012498">
        <w:rPr>
          <w:rFonts w:ascii="Cambria" w:hAnsi="Cambria" w:cs="Cambria Math"/>
          <w:sz w:val="22"/>
          <w:szCs w:val="22"/>
        </w:rPr>
        <w:t>⁻</w:t>
      </w:r>
      <w:r w:rsidRPr="00012498">
        <w:rPr>
          <w:rFonts w:ascii="Cambria" w:hAnsi="Cambria" w:cs="Aptos"/>
          <w:sz w:val="22"/>
          <w:szCs w:val="22"/>
        </w:rPr>
        <w:t>⁹</w:t>
      </w:r>
      <w:r w:rsidRPr="00012498">
        <w:rPr>
          <w:rFonts w:ascii="Cambria" w:hAnsi="Cambria"/>
          <w:sz w:val="22"/>
          <w:szCs w:val="22"/>
        </w:rPr>
        <w:t xml:space="preserve">, confirming it as the primary environmental hotspot of the tofu production system. This finding is particularly significant given that FAET ranked second in absolute characterization terms behind GWP (5.28 </w:t>
      </w:r>
      <w:r w:rsidRPr="00012498">
        <w:rPr>
          <w:rFonts w:ascii="Cambria" w:hAnsi="Cambria" w:cs="Aptos"/>
          <w:sz w:val="22"/>
          <w:szCs w:val="22"/>
        </w:rPr>
        <w:t>×</w:t>
      </w:r>
      <w:r w:rsidRPr="00012498">
        <w:rPr>
          <w:rFonts w:ascii="Cambria" w:hAnsi="Cambria"/>
          <w:sz w:val="22"/>
          <w:szCs w:val="22"/>
        </w:rPr>
        <w:t xml:space="preserve"> 10</w:t>
      </w:r>
      <w:r w:rsidRPr="00012498">
        <w:rPr>
          <w:rFonts w:ascii="Cambria" w:hAnsi="Cambria" w:cs="Aptos"/>
          <w:sz w:val="22"/>
          <w:szCs w:val="22"/>
        </w:rPr>
        <w:t>³</w:t>
      </w:r>
      <w:r w:rsidRPr="00012498">
        <w:rPr>
          <w:rFonts w:ascii="Cambria" w:hAnsi="Cambria"/>
          <w:sz w:val="22"/>
          <w:szCs w:val="22"/>
        </w:rPr>
        <w:t xml:space="preserve"> kg CO</w:t>
      </w:r>
      <w:r w:rsidRPr="00012498">
        <w:rPr>
          <w:rFonts w:ascii="Cambria" w:hAnsi="Cambria" w:cs="Aptos"/>
          <w:sz w:val="22"/>
          <w:szCs w:val="22"/>
        </w:rPr>
        <w:t>₂</w:t>
      </w:r>
      <w:r w:rsidRPr="00012498">
        <w:rPr>
          <w:rFonts w:ascii="Cambria" w:hAnsi="Cambria"/>
          <w:sz w:val="22"/>
          <w:szCs w:val="22"/>
        </w:rPr>
        <w:t xml:space="preserve"> eq versus 1.33 </w:t>
      </w:r>
      <w:r w:rsidRPr="00012498">
        <w:rPr>
          <w:rFonts w:ascii="Cambria" w:hAnsi="Cambria" w:cs="Aptos"/>
          <w:sz w:val="22"/>
          <w:szCs w:val="22"/>
        </w:rPr>
        <w:t>×</w:t>
      </w:r>
      <w:r w:rsidRPr="00012498">
        <w:rPr>
          <w:rFonts w:ascii="Cambria" w:hAnsi="Cambria"/>
          <w:sz w:val="22"/>
          <w:szCs w:val="22"/>
        </w:rPr>
        <w:t xml:space="preserve"> 10</w:t>
      </w:r>
      <w:r w:rsidRPr="00012498">
        <w:rPr>
          <w:rFonts w:ascii="Cambria" w:hAnsi="Cambria" w:cs="Aptos"/>
          <w:sz w:val="22"/>
          <w:szCs w:val="22"/>
        </w:rPr>
        <w:t>³</w:t>
      </w:r>
      <w:r w:rsidRPr="00012498">
        <w:rPr>
          <w:rFonts w:ascii="Cambria" w:hAnsi="Cambria"/>
          <w:sz w:val="22"/>
          <w:szCs w:val="22"/>
        </w:rPr>
        <w:t xml:space="preserve"> kg 1,4-DB eq), yet emerges as dominant following normalization </w:t>
      </w:r>
      <w:r w:rsidRPr="00012498">
        <w:rPr>
          <w:rFonts w:ascii="Cambria" w:hAnsi="Cambria" w:cs="Aptos"/>
          <w:sz w:val="22"/>
          <w:szCs w:val="22"/>
        </w:rPr>
        <w:t>—</w:t>
      </w:r>
      <w:r w:rsidRPr="00012498">
        <w:rPr>
          <w:rFonts w:ascii="Cambria" w:hAnsi="Cambria"/>
          <w:sz w:val="22"/>
          <w:szCs w:val="22"/>
        </w:rPr>
        <w:t xml:space="preserve"> indicating that the ecotoxicity burden generated by this system is disproportionately large relative to global reference values </w:t>
      </w:r>
      <w:r w:rsidR="00683648">
        <w:rPr>
          <w:rFonts w:ascii="Cambria" w:hAnsi="Cambria"/>
          <w:sz w:val="22"/>
          <w:szCs w:val="22"/>
        </w:rPr>
        <w:fldChar w:fldCharType="begin" w:fldLock="1"/>
      </w:r>
      <w:r w:rsidR="004441E6">
        <w:rPr>
          <w:rFonts w:ascii="Cambria" w:hAnsi="Cambria"/>
          <w:sz w:val="22"/>
          <w:szCs w:val="22"/>
        </w:rPr>
        <w:instrText>ADDIN CSL_CITATION {"citationItems":[{"id":"ITEM-1","itemData":{"ISSN":"2755-094X","author":[{"dropping-particle":"","family":"Chitaka","given":"Takunda Y","non-dropping-particle":"","parse-names":false,"suffix":""},{"dropping-particle":"","family":"Goga","given":"Taahira","non-dropping-particle":"","parse-names":false,"suffix":""}],"container-title":"Cambridge Prisms: Plastics","id":"ITEM-1","issued":{"date-parts":[["2023"]]},"page":"e2","publisher":"Cambridge University Press","title":"The evolution of life cycle assessment in the food and beverage industry: A review","type":"article-journal","volume":"1"},"uris":["http://www.mendeley.com/documents/?uuid=fd7f1b02-9aad-42fd-9b5e-09e105af09ef"]}],"mendeley":{"formattedCitation":"[8]","plainTextFormattedCitation":"[8]","previouslyFormattedCitation":"(Chitaka and Goga, 2023)"},"properties":{"noteIndex":0},"schema":"https://github.com/citation-style-language/schema/raw/master/csl-citation.json"}</w:instrText>
      </w:r>
      <w:r w:rsidR="00683648">
        <w:rPr>
          <w:rFonts w:ascii="Cambria" w:hAnsi="Cambria"/>
          <w:sz w:val="22"/>
          <w:szCs w:val="22"/>
        </w:rPr>
        <w:fldChar w:fldCharType="separate"/>
      </w:r>
      <w:r w:rsidR="004441E6" w:rsidRPr="004441E6">
        <w:rPr>
          <w:rFonts w:ascii="Cambria" w:hAnsi="Cambria"/>
          <w:noProof/>
          <w:sz w:val="22"/>
          <w:szCs w:val="22"/>
        </w:rPr>
        <w:t>[8]</w:t>
      </w:r>
      <w:r w:rsidR="00683648">
        <w:rPr>
          <w:rFonts w:ascii="Cambria" w:hAnsi="Cambria"/>
          <w:sz w:val="22"/>
          <w:szCs w:val="22"/>
        </w:rPr>
        <w:fldChar w:fldCharType="end"/>
      </w:r>
      <w:r w:rsidRPr="00012498">
        <w:rPr>
          <w:rFonts w:ascii="Cambria" w:hAnsi="Cambria"/>
          <w:sz w:val="22"/>
          <w:szCs w:val="22"/>
        </w:rPr>
        <w:t>. This pattern aligns with findings from analogous LCA studies on tofu production in Central Java, where freshwater ecotoxicity consistently ranked among the most significant impact categories even when greenhouse gas emissions were also substantial. The dominance of FAET affirms that the organic liquid waste streams — particularly washing effluents containing soybean-derived organic matter and whey from coagulation — constitute the most ecologically consequential outputs of this production system, exerting greater pressure on freshwater ecosystems than the greenhouse gas emissions generated by firewood combustion.</w:t>
      </w:r>
    </w:p>
    <w:p w14:paraId="72083D88" w14:textId="6A062E7F"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Global Warming Potential ranks second in normalized terms (1.05 × 10</w:t>
      </w:r>
      <w:r w:rsidRPr="00012498">
        <w:rPr>
          <w:rFonts w:ascii="Cambria" w:hAnsi="Cambria" w:cs="Cambria Math"/>
          <w:sz w:val="22"/>
          <w:szCs w:val="22"/>
        </w:rPr>
        <w:t>⁻</w:t>
      </w:r>
      <w:r w:rsidRPr="00012498">
        <w:rPr>
          <w:rFonts w:ascii="Cambria" w:hAnsi="Cambria" w:cs="Aptos"/>
          <w:sz w:val="22"/>
          <w:szCs w:val="22"/>
        </w:rPr>
        <w:t>⁹</w:t>
      </w:r>
      <w:r w:rsidRPr="00012498">
        <w:rPr>
          <w:rFonts w:ascii="Cambria" w:hAnsi="Cambria"/>
          <w:sz w:val="22"/>
          <w:szCs w:val="22"/>
        </w:rPr>
        <w:t>), reflecting the substantial CO</w:t>
      </w:r>
      <w:r w:rsidRPr="00012498">
        <w:rPr>
          <w:rFonts w:ascii="Cambria" w:hAnsi="Cambria" w:cs="Aptos"/>
          <w:sz w:val="22"/>
          <w:szCs w:val="22"/>
        </w:rPr>
        <w:t>₂</w:t>
      </w:r>
      <w:r w:rsidRPr="00012498">
        <w:rPr>
          <w:rFonts w:ascii="Cambria" w:hAnsi="Cambria"/>
          <w:sz w:val="22"/>
          <w:szCs w:val="22"/>
        </w:rPr>
        <w:t>, CH</w:t>
      </w:r>
      <w:r w:rsidRPr="00012498">
        <w:rPr>
          <w:rFonts w:ascii="Cambria" w:hAnsi="Cambria" w:cs="Aptos"/>
          <w:sz w:val="22"/>
          <w:szCs w:val="22"/>
        </w:rPr>
        <w:t>₄</w:t>
      </w:r>
      <w:r w:rsidRPr="00012498">
        <w:rPr>
          <w:rFonts w:ascii="Cambria" w:hAnsi="Cambria"/>
          <w:sz w:val="22"/>
          <w:szCs w:val="22"/>
        </w:rPr>
        <w:t>, and N</w:t>
      </w:r>
      <w:r w:rsidRPr="00012498">
        <w:rPr>
          <w:rFonts w:ascii="Cambria" w:hAnsi="Cambria" w:cs="Aptos"/>
          <w:sz w:val="22"/>
          <w:szCs w:val="22"/>
        </w:rPr>
        <w:t>₂</w:t>
      </w:r>
      <w:r w:rsidRPr="00012498">
        <w:rPr>
          <w:rFonts w:ascii="Cambria" w:hAnsi="Cambria"/>
          <w:sz w:val="22"/>
          <w:szCs w:val="22"/>
        </w:rPr>
        <w:t xml:space="preserve">O emissions associated with both water supply infrastructure (washing stage) and firewood combustion (boiling stage). Although GWP is frequently prioritized in environmental studies and policy discussions, its normalized position below FAET in this </w:t>
      </w:r>
      <w:r w:rsidRPr="00012498">
        <w:rPr>
          <w:rFonts w:ascii="Cambria" w:hAnsi="Cambria"/>
          <w:sz w:val="22"/>
          <w:szCs w:val="22"/>
        </w:rPr>
        <w:lastRenderedPageBreak/>
        <w:t xml:space="preserve">analysis underscores that climate impact alone does not capture the full environmental burden profile of small-scale tofu production </w:t>
      </w:r>
      <w:r w:rsidRPr="00012498">
        <w:rPr>
          <w:rFonts w:ascii="Cambria" w:hAnsi="Cambria" w:cs="Aptos"/>
          <w:sz w:val="22"/>
          <w:szCs w:val="22"/>
        </w:rPr>
        <w:t>—</w:t>
      </w:r>
      <w:r w:rsidRPr="00012498">
        <w:rPr>
          <w:rFonts w:ascii="Cambria" w:hAnsi="Cambria"/>
          <w:sz w:val="22"/>
          <w:szCs w:val="22"/>
        </w:rPr>
        <w:t xml:space="preserve"> a finding with direct implications for how environmental management priorities are framed in the SME food industry context </w:t>
      </w:r>
      <w:r w:rsidR="00683648">
        <w:rPr>
          <w:rFonts w:ascii="Cambria" w:hAnsi="Cambria"/>
          <w:sz w:val="22"/>
          <w:szCs w:val="22"/>
        </w:rPr>
        <w:fldChar w:fldCharType="begin" w:fldLock="1"/>
      </w:r>
      <w:r w:rsidR="004441E6">
        <w:rPr>
          <w:rFonts w:ascii="Cambria" w:hAnsi="Cambria"/>
          <w:sz w:val="22"/>
          <w:szCs w:val="22"/>
        </w:rPr>
        <w:instrText>ADDIN CSL_CITATION {"citationItems":[{"id":"ITEM-1","itemData":{"ISSN":"2755-094X","author":[{"dropping-particle":"","family":"Chitaka","given":"Takunda Y","non-dropping-particle":"","parse-names":false,"suffix":""},{"dropping-particle":"","family":"Goga","given":"Taahira","non-dropping-particle":"","parse-names":false,"suffix":""}],"container-title":"Cambridge Prisms: Plastics","id":"ITEM-1","issued":{"date-parts":[["2023"]]},"page":"e2","publisher":"Cambridge University Press","title":"The evolution of life cycle assessment in the food and beverage industry: A review","type":"article-journal","volume":"1"},"uris":["http://www.mendeley.com/documents/?uuid=fd7f1b02-9aad-42fd-9b5e-09e105af09ef"]},{"id":"ITEM-2","itemData":{"ISSN":"2722-4015","author":[{"dropping-particle":"","family":"Masayu","given":"Rosyidah","non-dropping-particle":"","parse-names":false,"suffix":""},{"dropping-particle":"","family":"Masruri","given":"Ansyori","non-dropping-particle":"","parse-names":false,"suffix":""},{"dropping-particle":"","family":"Putra","given":"Romyzar Arya","non-dropping-particle":"","parse-names":false,"suffix":""}],"container-title":"International Journal of Science, Technology &amp; Management","id":"ITEM-2","issue":"4","issued":{"date-parts":[["2020"]]},"page":"428-435","title":"Analysis Of Environmental Impact With The Life Cycle Assessment (LCA) Method On Tofu Production","type":"article-journal","volume":"1"},"uris":["http://www.mendeley.com/documents/?uuid=3d602caa-4075-466f-bfa0-f772dd4aeb38"]}],"mendeley":{"formattedCitation":"[5], [8]","plainTextFormattedCitation":"[5], [8]","previouslyFormattedCitation":"(Chitaka and Goga, 2023; Masayu et al., 2020)"},"properties":{"noteIndex":0},"schema":"https://github.com/citation-style-language/schema/raw/master/csl-citation.json"}</w:instrText>
      </w:r>
      <w:r w:rsidR="00683648">
        <w:rPr>
          <w:rFonts w:ascii="Cambria" w:hAnsi="Cambria"/>
          <w:sz w:val="22"/>
          <w:szCs w:val="22"/>
        </w:rPr>
        <w:fldChar w:fldCharType="separate"/>
      </w:r>
      <w:r w:rsidR="004441E6" w:rsidRPr="004441E6">
        <w:rPr>
          <w:rFonts w:ascii="Cambria" w:hAnsi="Cambria"/>
          <w:noProof/>
          <w:sz w:val="22"/>
          <w:szCs w:val="22"/>
        </w:rPr>
        <w:t>[5], [8]</w:t>
      </w:r>
      <w:r w:rsidR="00683648">
        <w:rPr>
          <w:rFonts w:ascii="Cambria" w:hAnsi="Cambria"/>
          <w:sz w:val="22"/>
          <w:szCs w:val="22"/>
        </w:rPr>
        <w:fldChar w:fldCharType="end"/>
      </w:r>
      <w:r w:rsidRPr="00012498">
        <w:rPr>
          <w:rFonts w:ascii="Cambria" w:hAnsi="Cambria"/>
          <w:sz w:val="22"/>
          <w:szCs w:val="22"/>
        </w:rPr>
        <w:t>. Eutrophication follows at 6.89 × 10</w:t>
      </w:r>
      <w:r w:rsidRPr="00012498">
        <w:rPr>
          <w:rFonts w:ascii="Cambria" w:hAnsi="Cambria" w:cs="Cambria Math"/>
          <w:sz w:val="22"/>
          <w:szCs w:val="22"/>
        </w:rPr>
        <w:t>⁻</w:t>
      </w:r>
      <w:r w:rsidRPr="00012498">
        <w:rPr>
          <w:rFonts w:ascii="Cambria" w:hAnsi="Cambria" w:cs="Aptos"/>
          <w:sz w:val="22"/>
          <w:szCs w:val="22"/>
        </w:rPr>
        <w:t>¹⁰</w:t>
      </w:r>
      <w:r w:rsidRPr="00012498">
        <w:rPr>
          <w:rFonts w:ascii="Cambria" w:hAnsi="Cambria"/>
          <w:sz w:val="22"/>
          <w:szCs w:val="22"/>
        </w:rPr>
        <w:t xml:space="preserve">, reflecting the nutrient loading potential of organic effluents from washing and boiling stages </w:t>
      </w:r>
      <w:r w:rsidRPr="00012498">
        <w:rPr>
          <w:rFonts w:ascii="Cambria" w:hAnsi="Cambria" w:cs="Aptos"/>
          <w:sz w:val="22"/>
          <w:szCs w:val="22"/>
        </w:rPr>
        <w:t>—</w:t>
      </w:r>
      <w:r w:rsidRPr="00012498">
        <w:rPr>
          <w:rFonts w:ascii="Cambria" w:hAnsi="Cambria"/>
          <w:sz w:val="22"/>
          <w:szCs w:val="22"/>
        </w:rPr>
        <w:t xml:space="preserve"> a burden that, if realized through uncontrolled discharge, would contribute to dissolved oxygen depletion in receiving water bodies consistent with the elevated BOD and COD concentrations documented in tofu industry effluents across Indonesia </w:t>
      </w:r>
      <w:r w:rsidR="00683648">
        <w:rPr>
          <w:rFonts w:ascii="Cambria" w:hAnsi="Cambria"/>
          <w:sz w:val="22"/>
          <w:szCs w:val="22"/>
        </w:rPr>
        <w:fldChar w:fldCharType="begin" w:fldLock="1"/>
      </w:r>
      <w:r w:rsidR="004441E6">
        <w:rPr>
          <w:rFonts w:ascii="Cambria" w:hAnsi="Cambria"/>
          <w:sz w:val="22"/>
          <w:szCs w:val="22"/>
        </w:rPr>
        <w:instrText>ADDIN CSL_CITATION {"citationItems":[{"id":"ITEM-1","itemData":{"ISSN":"2190-5487","author":[{"dropping-particle":"","family":"Seroja","given":"Romi","non-dropping-particle":"","parse-names":false,"suffix":""},{"dropping-particle":"","family":"Effendi","given":"Hefni","non-dropping-particle":"","parse-names":false,"suffix":""},{"dropping-particle":"","family":"Hariyadi","given":"Sigid","non-dropping-particle":"","parse-names":false,"suffix":""}],"container-title":"Applied water science","id":"ITEM-1","issue":"1","issued":{"date-parts":[["2018"]]},"page":"2","publisher":"Springer","title":"Tofu wastewater treatment using vetiver grass (Vetiveria zizanioides) and zeliac","type":"article-journal","volume":"8"},"uris":["http://www.mendeley.com/documents/?uuid=d86e39f9-e89f-474c-a858-d8f29e6dc56c"]}],"mendeley":{"formattedCitation":"[15]","plainTextFormattedCitation":"[15]","previouslyFormattedCitation":"(Seroja et al., 2018)"},"properties":{"noteIndex":0},"schema":"https://github.com/citation-style-language/schema/raw/master/csl-citation.json"}</w:instrText>
      </w:r>
      <w:r w:rsidR="00683648">
        <w:rPr>
          <w:rFonts w:ascii="Cambria" w:hAnsi="Cambria"/>
          <w:sz w:val="22"/>
          <w:szCs w:val="22"/>
        </w:rPr>
        <w:fldChar w:fldCharType="separate"/>
      </w:r>
      <w:r w:rsidR="004441E6" w:rsidRPr="004441E6">
        <w:rPr>
          <w:rFonts w:ascii="Cambria" w:hAnsi="Cambria"/>
          <w:noProof/>
          <w:sz w:val="22"/>
          <w:szCs w:val="22"/>
        </w:rPr>
        <w:t>[15]</w:t>
      </w:r>
      <w:r w:rsidR="00683648">
        <w:rPr>
          <w:rFonts w:ascii="Cambria" w:hAnsi="Cambria"/>
          <w:sz w:val="22"/>
          <w:szCs w:val="22"/>
        </w:rPr>
        <w:fldChar w:fldCharType="end"/>
      </w:r>
      <w:r w:rsidRPr="00012498">
        <w:rPr>
          <w:rFonts w:ascii="Cambria" w:hAnsi="Cambria"/>
          <w:sz w:val="22"/>
          <w:szCs w:val="22"/>
        </w:rPr>
        <w:t>. Acidification records a normalized value of 1.63 × 10</w:t>
      </w:r>
      <w:r w:rsidRPr="00012498">
        <w:rPr>
          <w:rFonts w:ascii="Cambria" w:hAnsi="Cambria" w:cs="Cambria Math"/>
          <w:sz w:val="22"/>
          <w:szCs w:val="22"/>
        </w:rPr>
        <w:t>⁻</w:t>
      </w:r>
      <w:r w:rsidRPr="00012498">
        <w:rPr>
          <w:rFonts w:ascii="Cambria" w:hAnsi="Cambria" w:cs="Aptos"/>
          <w:sz w:val="22"/>
          <w:szCs w:val="22"/>
        </w:rPr>
        <w:t>¹⁰</w:t>
      </w:r>
      <w:r w:rsidRPr="00012498">
        <w:rPr>
          <w:rFonts w:ascii="Cambria" w:hAnsi="Cambria"/>
          <w:sz w:val="22"/>
          <w:szCs w:val="22"/>
        </w:rPr>
        <w:t>, attributable primarily to SO</w:t>
      </w:r>
      <w:r w:rsidRPr="00012498">
        <w:rPr>
          <w:rFonts w:ascii="Cambria" w:hAnsi="Cambria" w:cs="Aptos"/>
          <w:sz w:val="22"/>
          <w:szCs w:val="22"/>
        </w:rPr>
        <w:t>₂</w:t>
      </w:r>
      <w:r w:rsidRPr="00012498">
        <w:rPr>
          <w:rFonts w:ascii="Cambria" w:hAnsi="Cambria"/>
          <w:sz w:val="22"/>
          <w:szCs w:val="22"/>
        </w:rPr>
        <w:t xml:space="preserve"> and NO</w:t>
      </w:r>
      <w:r w:rsidRPr="00012498">
        <w:rPr>
          <w:rFonts w:ascii="Cambria" w:hAnsi="Cambria" w:cs="Cambria Math"/>
          <w:sz w:val="22"/>
          <w:szCs w:val="22"/>
        </w:rPr>
        <w:t>ₓ</w:t>
      </w:r>
      <w:r w:rsidRPr="00012498">
        <w:rPr>
          <w:rFonts w:ascii="Cambria" w:hAnsi="Cambria"/>
          <w:sz w:val="22"/>
          <w:szCs w:val="22"/>
        </w:rPr>
        <w:t xml:space="preserve"> emissions from upstream water supply systems and firewood combustion, while Ozone Layer Depletion exhibits the lowest normalized contribution at 6.84 </w:t>
      </w:r>
      <w:r w:rsidRPr="00012498">
        <w:rPr>
          <w:rFonts w:ascii="Cambria" w:hAnsi="Cambria" w:cs="Aptos"/>
          <w:sz w:val="22"/>
          <w:szCs w:val="22"/>
        </w:rPr>
        <w:t>×</w:t>
      </w:r>
      <w:r w:rsidRPr="00012498">
        <w:rPr>
          <w:rFonts w:ascii="Cambria" w:hAnsi="Cambria"/>
          <w:sz w:val="22"/>
          <w:szCs w:val="22"/>
        </w:rPr>
        <w:t xml:space="preserve"> 10</w:t>
      </w:r>
      <w:r w:rsidRPr="00012498">
        <w:rPr>
          <w:rFonts w:ascii="Cambria" w:hAnsi="Cambria" w:cs="Cambria Math"/>
          <w:sz w:val="22"/>
          <w:szCs w:val="22"/>
        </w:rPr>
        <w:t>⁻</w:t>
      </w:r>
      <w:r w:rsidRPr="00012498">
        <w:rPr>
          <w:rFonts w:ascii="Cambria" w:hAnsi="Cambria" w:cs="Aptos"/>
          <w:sz w:val="22"/>
          <w:szCs w:val="22"/>
        </w:rPr>
        <w:t>¹³</w:t>
      </w:r>
      <w:r w:rsidRPr="00012498">
        <w:rPr>
          <w:rFonts w:ascii="Cambria" w:hAnsi="Cambria"/>
          <w:sz w:val="22"/>
          <w:szCs w:val="22"/>
        </w:rPr>
        <w:t>, indicating a negligible contribution of this production system to stratospheric ozone depletion.</w:t>
      </w:r>
    </w:p>
    <w:p w14:paraId="412D7B19" w14:textId="77777777" w:rsidR="00012498" w:rsidRPr="00012498" w:rsidRDefault="00012498" w:rsidP="009E5C01">
      <w:pPr>
        <w:spacing w:after="0" w:line="240" w:lineRule="auto"/>
        <w:jc w:val="both"/>
        <w:rPr>
          <w:rFonts w:ascii="Cambria" w:hAnsi="Cambria"/>
          <w:b/>
          <w:bCs/>
          <w:sz w:val="22"/>
          <w:szCs w:val="22"/>
        </w:rPr>
      </w:pPr>
      <w:r w:rsidRPr="00012498">
        <w:rPr>
          <w:rFonts w:ascii="Cambria" w:hAnsi="Cambria"/>
          <w:b/>
          <w:bCs/>
          <w:sz w:val="22"/>
          <w:szCs w:val="22"/>
        </w:rPr>
        <w:t>3.4 Improvement Opportunities and Mitigation Recommendations</w:t>
      </w:r>
    </w:p>
    <w:p w14:paraId="08D84F1E" w14:textId="77777777"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The LCIA and normalization results establish a clear hierarchy of environmental priorities for the tofu production system analyzed in this study: freshwater ecotoxicity and eutrophication — both driven by organic liquid waste — constitute the most pressing environmental concerns, followed by global warming and acidification associated with energy use in the washing and boiling stages. Mitigation strategies must therefore be directed toward two principal intervention domains: liquid waste management and thermal energy efficiency. The recommended improvement strategies, grounded in peer-reviewed technical literature, are summarized in Table 4.</w:t>
      </w:r>
    </w:p>
    <w:p w14:paraId="6D5FEDFD" w14:textId="77777777" w:rsidR="00012498" w:rsidRPr="00012498" w:rsidRDefault="00012498" w:rsidP="009E5C01">
      <w:pPr>
        <w:spacing w:after="0" w:line="240" w:lineRule="auto"/>
        <w:jc w:val="both"/>
        <w:rPr>
          <w:rFonts w:ascii="Cambria" w:hAnsi="Cambria"/>
          <w:sz w:val="22"/>
          <w:szCs w:val="22"/>
        </w:rPr>
      </w:pPr>
      <w:r w:rsidRPr="00012498">
        <w:rPr>
          <w:rFonts w:ascii="Cambria" w:hAnsi="Cambria"/>
          <w:b/>
          <w:bCs/>
          <w:sz w:val="22"/>
          <w:szCs w:val="22"/>
        </w:rPr>
        <w:t>Table 4.</w:t>
      </w:r>
      <w:r w:rsidRPr="00012498">
        <w:rPr>
          <w:rFonts w:ascii="Cambria" w:hAnsi="Cambria"/>
          <w:sz w:val="22"/>
          <w:szCs w:val="22"/>
        </w:rPr>
        <w:t xml:space="preserve"> Environmental improvement strategies for tofu production.</w:t>
      </w:r>
    </w:p>
    <w:tbl>
      <w:tblPr>
        <w:tblStyle w:val="TableGrid"/>
        <w:tblW w:w="0" w:type="auto"/>
        <w:tblLook w:val="04A0" w:firstRow="1" w:lastRow="0" w:firstColumn="1" w:lastColumn="0" w:noHBand="0" w:noVBand="1"/>
      </w:tblPr>
      <w:tblGrid>
        <w:gridCol w:w="2495"/>
        <w:gridCol w:w="5476"/>
        <w:gridCol w:w="1045"/>
      </w:tblGrid>
      <w:tr w:rsidR="00012498" w:rsidRPr="009E5C01" w14:paraId="456F5B66" w14:textId="77777777" w:rsidTr="00012498">
        <w:tc>
          <w:tcPr>
            <w:tcW w:w="0" w:type="auto"/>
            <w:hideMark/>
          </w:tcPr>
          <w:p w14:paraId="1439F6AD"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Improvement Strategy</w:t>
            </w:r>
          </w:p>
        </w:tc>
        <w:tc>
          <w:tcPr>
            <w:tcW w:w="0" w:type="auto"/>
            <w:hideMark/>
          </w:tcPr>
          <w:p w14:paraId="0EB916C1"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Description</w:t>
            </w:r>
          </w:p>
        </w:tc>
        <w:tc>
          <w:tcPr>
            <w:tcW w:w="0" w:type="auto"/>
            <w:hideMark/>
          </w:tcPr>
          <w:p w14:paraId="6DAA9DA9" w14:textId="77777777" w:rsidR="00012498" w:rsidRPr="009E5C01" w:rsidRDefault="00012498" w:rsidP="009E5C01">
            <w:pPr>
              <w:jc w:val="both"/>
              <w:rPr>
                <w:rFonts w:ascii="Cambria" w:hAnsi="Cambria"/>
                <w:b/>
                <w:bCs/>
                <w:sz w:val="18"/>
                <w:szCs w:val="18"/>
              </w:rPr>
            </w:pPr>
            <w:r w:rsidRPr="009E5C01">
              <w:rPr>
                <w:rFonts w:ascii="Cambria" w:hAnsi="Cambria"/>
                <w:b/>
                <w:bCs/>
                <w:sz w:val="18"/>
                <w:szCs w:val="18"/>
              </w:rPr>
              <w:t>Reference</w:t>
            </w:r>
          </w:p>
        </w:tc>
      </w:tr>
      <w:tr w:rsidR="00012498" w:rsidRPr="009E5C01" w14:paraId="6F5F50E7" w14:textId="77777777" w:rsidTr="00012498">
        <w:tc>
          <w:tcPr>
            <w:tcW w:w="0" w:type="auto"/>
            <w:hideMark/>
          </w:tcPr>
          <w:p w14:paraId="5C122D66" w14:textId="77777777" w:rsidR="00012498" w:rsidRPr="009E5C01" w:rsidRDefault="00012498" w:rsidP="009E5C01">
            <w:pPr>
              <w:jc w:val="both"/>
              <w:rPr>
                <w:rFonts w:ascii="Cambria" w:hAnsi="Cambria"/>
                <w:sz w:val="18"/>
                <w:szCs w:val="18"/>
              </w:rPr>
            </w:pPr>
            <w:r w:rsidRPr="009E5C01">
              <w:rPr>
                <w:rFonts w:ascii="Cambria" w:hAnsi="Cambria"/>
                <w:sz w:val="18"/>
                <w:szCs w:val="18"/>
              </w:rPr>
              <w:t>Wastewater treatment via anaerobic digestion or biofilter system</w:t>
            </w:r>
          </w:p>
        </w:tc>
        <w:tc>
          <w:tcPr>
            <w:tcW w:w="0" w:type="auto"/>
            <w:hideMark/>
          </w:tcPr>
          <w:p w14:paraId="406477A0" w14:textId="77777777" w:rsidR="00012498" w:rsidRPr="009E5C01" w:rsidRDefault="00012498" w:rsidP="009E5C01">
            <w:pPr>
              <w:jc w:val="both"/>
              <w:rPr>
                <w:rFonts w:ascii="Cambria" w:hAnsi="Cambria"/>
                <w:sz w:val="18"/>
                <w:szCs w:val="18"/>
              </w:rPr>
            </w:pPr>
            <w:r w:rsidRPr="009E5C01">
              <w:rPr>
                <w:rFonts w:ascii="Cambria" w:hAnsi="Cambria"/>
                <w:sz w:val="18"/>
                <w:szCs w:val="18"/>
              </w:rPr>
              <w:t>Reduces organic load (BOD, COD) from washing, soaking, and whey effluents; anaerobic digestion simultaneously enables biogas recovery as a renewable energy source, providing co-benefits for FAET and GWP reduction.</w:t>
            </w:r>
          </w:p>
        </w:tc>
        <w:tc>
          <w:tcPr>
            <w:tcW w:w="0" w:type="auto"/>
            <w:hideMark/>
          </w:tcPr>
          <w:p w14:paraId="694DF93C" w14:textId="3DC8DEB0" w:rsidR="00012498" w:rsidRPr="009E5C01" w:rsidRDefault="00683648" w:rsidP="009E5C01">
            <w:pPr>
              <w:jc w:val="both"/>
              <w:rPr>
                <w:rFonts w:ascii="Cambria" w:hAnsi="Cambria"/>
                <w:sz w:val="18"/>
                <w:szCs w:val="18"/>
              </w:rPr>
            </w:pPr>
            <w:r w:rsidRPr="009E5C01">
              <w:rPr>
                <w:rFonts w:ascii="Cambria" w:hAnsi="Cambria"/>
                <w:sz w:val="18"/>
                <w:szCs w:val="18"/>
              </w:rPr>
              <w:fldChar w:fldCharType="begin" w:fldLock="1"/>
            </w:r>
            <w:r w:rsidR="004441E6">
              <w:rPr>
                <w:rFonts w:ascii="Cambria" w:hAnsi="Cambria"/>
                <w:sz w:val="18"/>
                <w:szCs w:val="18"/>
              </w:rPr>
              <w:instrText>ADDIN CSL_CITATION {"citationItems":[{"id":"ITEM-1","itemData":{"ISSN":"2190-5487","author":[{"dropping-particle":"","family":"Seroja","given":"Romi","non-dropping-particle":"","parse-names":false,"suffix":""},{"dropping-particle":"","family":"Effendi","given":"Hefni","non-dropping-particle":"","parse-names":false,"suffix":""},{"dropping-particle":"","family":"Hariyadi","given":"Sigid","non-dropping-particle":"","parse-names":false,"suffix":""}],"container-title":"Applied water science","id":"ITEM-1","issue":"1","issued":{"date-parts":[["2018"]]},"page":"2","publisher":"Springer","title":"Tofu wastewater treatment using vetiver grass (Vetiveria zizanioides) and zeliac","type":"article-journal","volume":"8"},"uris":["http://www.mendeley.com/documents/?uuid=d86e39f9-e89f-474c-a858-d8f29e6dc56c"]}],"mendeley":{"formattedCitation":"[15]","plainTextFormattedCitation":"[15]","previouslyFormattedCitation":"(Seroja et al., 2018)"},"properties":{"noteIndex":0},"schema":"https://github.com/citation-style-language/schema/raw/master/csl-citation.json"}</w:instrText>
            </w:r>
            <w:r w:rsidRPr="009E5C01">
              <w:rPr>
                <w:rFonts w:ascii="Cambria" w:hAnsi="Cambria"/>
                <w:sz w:val="18"/>
                <w:szCs w:val="18"/>
              </w:rPr>
              <w:fldChar w:fldCharType="separate"/>
            </w:r>
            <w:r w:rsidR="004441E6" w:rsidRPr="004441E6">
              <w:rPr>
                <w:rFonts w:ascii="Cambria" w:hAnsi="Cambria"/>
                <w:noProof/>
                <w:sz w:val="18"/>
                <w:szCs w:val="18"/>
              </w:rPr>
              <w:t>[15]</w:t>
            </w:r>
            <w:r w:rsidRPr="009E5C01">
              <w:rPr>
                <w:rFonts w:ascii="Cambria" w:hAnsi="Cambria"/>
                <w:sz w:val="18"/>
                <w:szCs w:val="18"/>
              </w:rPr>
              <w:fldChar w:fldCharType="end"/>
            </w:r>
          </w:p>
        </w:tc>
      </w:tr>
      <w:tr w:rsidR="00012498" w:rsidRPr="009E5C01" w14:paraId="7AEDD2B1" w14:textId="77777777" w:rsidTr="00012498">
        <w:tc>
          <w:tcPr>
            <w:tcW w:w="0" w:type="auto"/>
            <w:hideMark/>
          </w:tcPr>
          <w:p w14:paraId="36AFB384" w14:textId="77777777" w:rsidR="00012498" w:rsidRPr="009E5C01" w:rsidRDefault="00012498" w:rsidP="009E5C01">
            <w:pPr>
              <w:jc w:val="both"/>
              <w:rPr>
                <w:rFonts w:ascii="Cambria" w:hAnsi="Cambria"/>
                <w:sz w:val="18"/>
                <w:szCs w:val="18"/>
              </w:rPr>
            </w:pPr>
            <w:r w:rsidRPr="009E5C01">
              <w:rPr>
                <w:rFonts w:ascii="Cambria" w:hAnsi="Cambria"/>
                <w:sz w:val="18"/>
                <w:szCs w:val="18"/>
              </w:rPr>
              <w:t>Water recycling system</w:t>
            </w:r>
          </w:p>
        </w:tc>
        <w:tc>
          <w:tcPr>
            <w:tcW w:w="0" w:type="auto"/>
            <w:hideMark/>
          </w:tcPr>
          <w:p w14:paraId="0D86A3B3" w14:textId="77777777" w:rsidR="00012498" w:rsidRPr="009E5C01" w:rsidRDefault="00012498" w:rsidP="009E5C01">
            <w:pPr>
              <w:jc w:val="both"/>
              <w:rPr>
                <w:rFonts w:ascii="Cambria" w:hAnsi="Cambria"/>
                <w:sz w:val="18"/>
                <w:szCs w:val="18"/>
              </w:rPr>
            </w:pPr>
            <w:r w:rsidRPr="009E5C01">
              <w:rPr>
                <w:rFonts w:ascii="Cambria" w:hAnsi="Cambria"/>
                <w:sz w:val="18"/>
                <w:szCs w:val="18"/>
              </w:rPr>
              <w:t>Implements water reuse at washing and soaking stages to reduce clean water consumption and minimize effluent generation.</w:t>
            </w:r>
          </w:p>
        </w:tc>
        <w:tc>
          <w:tcPr>
            <w:tcW w:w="0" w:type="auto"/>
            <w:hideMark/>
          </w:tcPr>
          <w:p w14:paraId="0142CE37" w14:textId="65702206" w:rsidR="00012498" w:rsidRPr="009E5C01" w:rsidRDefault="00683648" w:rsidP="009E5C01">
            <w:pPr>
              <w:jc w:val="both"/>
              <w:rPr>
                <w:rFonts w:ascii="Cambria" w:hAnsi="Cambria"/>
                <w:sz w:val="18"/>
                <w:szCs w:val="18"/>
              </w:rPr>
            </w:pPr>
            <w:r w:rsidRPr="009E5C01">
              <w:rPr>
                <w:rFonts w:ascii="Cambria" w:hAnsi="Cambria"/>
                <w:sz w:val="18"/>
                <w:szCs w:val="18"/>
              </w:rPr>
              <w:fldChar w:fldCharType="begin" w:fldLock="1"/>
            </w:r>
            <w:r w:rsidR="004441E6">
              <w:rPr>
                <w:rFonts w:ascii="Cambria" w:hAnsi="Cambria"/>
                <w:sz w:val="18"/>
                <w:szCs w:val="18"/>
              </w:rPr>
              <w:instrText>ADDIN CSL_CITATION {"citationItems":[{"id":"ITEM-1","itemData":{"ISSN":"2598-6279","author":[{"dropping-particle":"","family":"Satar","given":"Ibdal","non-dropping-particle":"","parse-names":false,"suffix":""},{"dropping-particle":"","family":"Permadi","given":"Adi","non-dropping-particle":"","parse-names":false,"suffix":""}],"container-title":"Indonesian Journal of Environmental Management and Sustainability","id":"ITEM-1","issue":"1","issued":{"date-parts":[["2022"]]},"page":"1-6","title":"Treating The Tofu Wastewater (TWW) using a Green Technology of Microbial Fuel Cell (MFC) System","type":"article-journal","volume":"6"},"uris":["http://www.mendeley.com/documents/?uuid=6798b6d4-e12a-4d1e-ba00-cf22b5769436"]}],"mendeley":{"formattedCitation":"[17]","plainTextFormattedCitation":"[17]","previouslyFormattedCitation":"(Satar and Permadi, 2022)"},"properties":{"noteIndex":0},"schema":"https://github.com/citation-style-language/schema/raw/master/csl-citation.json"}</w:instrText>
            </w:r>
            <w:r w:rsidRPr="009E5C01">
              <w:rPr>
                <w:rFonts w:ascii="Cambria" w:hAnsi="Cambria"/>
                <w:sz w:val="18"/>
                <w:szCs w:val="18"/>
              </w:rPr>
              <w:fldChar w:fldCharType="separate"/>
            </w:r>
            <w:r w:rsidR="004441E6" w:rsidRPr="004441E6">
              <w:rPr>
                <w:rFonts w:ascii="Cambria" w:hAnsi="Cambria"/>
                <w:noProof/>
                <w:sz w:val="18"/>
                <w:szCs w:val="18"/>
              </w:rPr>
              <w:t>[17]</w:t>
            </w:r>
            <w:r w:rsidRPr="009E5C01">
              <w:rPr>
                <w:rFonts w:ascii="Cambria" w:hAnsi="Cambria"/>
                <w:sz w:val="18"/>
                <w:szCs w:val="18"/>
              </w:rPr>
              <w:fldChar w:fldCharType="end"/>
            </w:r>
          </w:p>
        </w:tc>
      </w:tr>
      <w:tr w:rsidR="00012498" w:rsidRPr="009E5C01" w14:paraId="016E1CBC" w14:textId="77777777" w:rsidTr="00012498">
        <w:tc>
          <w:tcPr>
            <w:tcW w:w="0" w:type="auto"/>
            <w:hideMark/>
          </w:tcPr>
          <w:p w14:paraId="10B8D1C8" w14:textId="77777777" w:rsidR="00012498" w:rsidRPr="009E5C01" w:rsidRDefault="00012498" w:rsidP="009E5C01">
            <w:pPr>
              <w:jc w:val="both"/>
              <w:rPr>
                <w:rFonts w:ascii="Cambria" w:hAnsi="Cambria"/>
                <w:sz w:val="18"/>
                <w:szCs w:val="18"/>
              </w:rPr>
            </w:pPr>
            <w:r w:rsidRPr="009E5C01">
              <w:rPr>
                <w:rFonts w:ascii="Cambria" w:hAnsi="Cambria"/>
                <w:sz w:val="18"/>
                <w:szCs w:val="18"/>
              </w:rPr>
              <w:t>Fuel substitution and energy efficiency improvement at the boiling stage</w:t>
            </w:r>
          </w:p>
        </w:tc>
        <w:tc>
          <w:tcPr>
            <w:tcW w:w="0" w:type="auto"/>
            <w:hideMark/>
          </w:tcPr>
          <w:p w14:paraId="1D549FE1" w14:textId="3A4BC9BC" w:rsidR="00012498" w:rsidRPr="009E5C01" w:rsidRDefault="00683648" w:rsidP="009E5C01">
            <w:pPr>
              <w:jc w:val="both"/>
              <w:rPr>
                <w:rFonts w:ascii="Cambria" w:hAnsi="Cambria"/>
                <w:sz w:val="18"/>
                <w:szCs w:val="18"/>
              </w:rPr>
            </w:pPr>
            <w:r w:rsidRPr="009E5C01">
              <w:rPr>
                <w:rFonts w:ascii="Cambria" w:hAnsi="Cambria"/>
                <w:sz w:val="18"/>
                <w:szCs w:val="18"/>
              </w:rPr>
              <w:t>Replacing firewood with biomethane fuel derived from liquid waste from tofu production thus reducing combustion emissions.</w:t>
            </w:r>
          </w:p>
        </w:tc>
        <w:tc>
          <w:tcPr>
            <w:tcW w:w="0" w:type="auto"/>
            <w:hideMark/>
          </w:tcPr>
          <w:p w14:paraId="52863362" w14:textId="1DDE8371" w:rsidR="00012498" w:rsidRPr="009E5C01" w:rsidRDefault="006023BC" w:rsidP="009E5C01">
            <w:pPr>
              <w:jc w:val="both"/>
              <w:rPr>
                <w:rFonts w:ascii="Cambria" w:hAnsi="Cambria"/>
                <w:sz w:val="18"/>
                <w:szCs w:val="18"/>
              </w:rPr>
            </w:pPr>
            <w:r w:rsidRPr="009E5C01">
              <w:rPr>
                <w:rFonts w:ascii="Cambria" w:hAnsi="Cambria"/>
                <w:sz w:val="18"/>
                <w:szCs w:val="18"/>
              </w:rPr>
              <w:fldChar w:fldCharType="begin" w:fldLock="1"/>
            </w:r>
            <w:r w:rsidR="004441E6">
              <w:rPr>
                <w:rFonts w:ascii="Cambria" w:hAnsi="Cambria"/>
                <w:sz w:val="18"/>
                <w:szCs w:val="18"/>
              </w:rPr>
              <w:instrText>ADDIN CSL_CITATION {"citationItems":[{"id":"ITEM-1","itemData":{"ISSN":"1573-2975","author":[{"dropping-particle":"","family":"Ningsih","given":"Lydia Mawar","non-dropping-particle":"","parse-names":false,"suffix":""},{"dropping-particle":"","family":"Mazancová","given":"Jana","non-dropping-particle":"","parse-names":false,"suffix":""},{"dropping-particle":"","family":"Hasanudin","given":"Udin","non-dropping-particle":"","parse-names":false,"suffix":""},{"dropping-particle":"","family":"Roubík","given":"Hynek","non-dropping-particle":"","parse-names":false,"suffix":""}],"container-title":"Environment, Development and Sustainability","id":"ITEM-1","issue":"2","issued":{"date-parts":[["2026"]]},"page":"3737-3759","publisher":"Springer","title":"Energy audits in the tofu industry; an evaluation of energy consumption towards a green and sustainable industry: LM Ningsih et al.","type":"article-journal","volume":"28"},"uris":["http://www.mendeley.com/documents/?uuid=002effe7-6795-454c-bd50-89b0a0c10013"]}],"mendeley":{"formattedCitation":"[18]","plainTextFormattedCitation":"[18]","previouslyFormattedCitation":"(Ningsih et al., 2026)"},"properties":{"noteIndex":0},"schema":"https://github.com/citation-style-language/schema/raw/master/csl-citation.json"}</w:instrText>
            </w:r>
            <w:r w:rsidRPr="009E5C01">
              <w:rPr>
                <w:rFonts w:ascii="Cambria" w:hAnsi="Cambria"/>
                <w:sz w:val="18"/>
                <w:szCs w:val="18"/>
              </w:rPr>
              <w:fldChar w:fldCharType="separate"/>
            </w:r>
            <w:r w:rsidR="004441E6" w:rsidRPr="004441E6">
              <w:rPr>
                <w:rFonts w:ascii="Cambria" w:hAnsi="Cambria"/>
                <w:noProof/>
                <w:sz w:val="18"/>
                <w:szCs w:val="18"/>
              </w:rPr>
              <w:t>[18]</w:t>
            </w:r>
            <w:r w:rsidRPr="009E5C01">
              <w:rPr>
                <w:rFonts w:ascii="Cambria" w:hAnsi="Cambria"/>
                <w:sz w:val="18"/>
                <w:szCs w:val="18"/>
              </w:rPr>
              <w:fldChar w:fldCharType="end"/>
            </w:r>
          </w:p>
        </w:tc>
      </w:tr>
    </w:tbl>
    <w:p w14:paraId="7850FB83" w14:textId="5942745E"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 xml:space="preserve">The most immediate and impactful intervention is the implementation of a wastewater treatment system designed to reduce the organic pollutant load of washing, soaking, and coagulation effluents prior to discharge. Technologies such as anaerobic digestion and constructed wetlands — as well as combined systems integrating settling tanks with biofilters — have been demonstrated to achieve substantial reductions in COD and BOD concentrations in tofu wastewater, with reported treatment efficiencies sufficient to bring effluent quality into regulatory compliance </w:t>
      </w:r>
      <w:r w:rsidR="006023BC">
        <w:rPr>
          <w:rFonts w:ascii="Cambria" w:hAnsi="Cambria"/>
          <w:sz w:val="22"/>
          <w:szCs w:val="22"/>
        </w:rPr>
        <w:fldChar w:fldCharType="begin" w:fldLock="1"/>
      </w:r>
      <w:r w:rsidR="004441E6">
        <w:rPr>
          <w:rFonts w:ascii="Cambria" w:hAnsi="Cambria"/>
          <w:sz w:val="22"/>
          <w:szCs w:val="22"/>
        </w:rPr>
        <w:instrText>ADDIN CSL_CITATION {"citationItems":[{"id":"ITEM-1","itemData":{"ISSN":"2190-5487","author":[{"dropping-particle":"","family":"Seroja","given":"Romi","non-dropping-particle":"","parse-names":false,"suffix":""},{"dropping-particle":"","family":"Effendi","given":"Hefni","non-dropping-particle":"","parse-names":false,"suffix":""},{"dropping-particle":"","family":"Hariyadi","given":"Sigid","non-dropping-particle":"","parse-names":false,"suffix":""}],"container-title":"Applied water science","id":"ITEM-1","issue":"1","issued":{"date-parts":[["2018"]]},"page":"2","publisher":"Springer","title":"Tofu wastewater treatment using vetiver grass (Vetiveria zizanioides) and zeliac","type":"article-journal","volume":"8"},"uris":["http://www.mendeley.com/documents/?uuid=d86e39f9-e89f-474c-a858-d8f29e6dc56c"]}],"mendeley":{"formattedCitation":"[15]","plainTextFormattedCitation":"[15]","previouslyFormattedCitation":"(Seroja et al., 2018)"},"properties":{"noteIndex":0},"schema":"https://github.com/citation-style-language/schema/raw/master/csl-citation.json"}</w:instrText>
      </w:r>
      <w:r w:rsidR="006023BC">
        <w:rPr>
          <w:rFonts w:ascii="Cambria" w:hAnsi="Cambria"/>
          <w:sz w:val="22"/>
          <w:szCs w:val="22"/>
        </w:rPr>
        <w:fldChar w:fldCharType="separate"/>
      </w:r>
      <w:r w:rsidR="004441E6" w:rsidRPr="004441E6">
        <w:rPr>
          <w:rFonts w:ascii="Cambria" w:hAnsi="Cambria"/>
          <w:noProof/>
          <w:sz w:val="22"/>
          <w:szCs w:val="22"/>
        </w:rPr>
        <w:t>[15]</w:t>
      </w:r>
      <w:r w:rsidR="006023BC">
        <w:rPr>
          <w:rFonts w:ascii="Cambria" w:hAnsi="Cambria"/>
          <w:sz w:val="22"/>
          <w:szCs w:val="22"/>
        </w:rPr>
        <w:fldChar w:fldCharType="end"/>
      </w:r>
      <w:r w:rsidRPr="00012498">
        <w:rPr>
          <w:rFonts w:ascii="Cambria" w:hAnsi="Cambria"/>
          <w:sz w:val="22"/>
          <w:szCs w:val="22"/>
        </w:rPr>
        <w:t xml:space="preserve">. Crucially, anaerobic digestion also generates biogas as a recoverable energy by-product, which can be redirected to supply part of the thermal energy demand during boiling — simultaneously reducing both FAET through effluent load reduction and GWP through fossil and biomass fuel displacement. This co-benefit characteristic makes anaerobic digestion a particularly high-leverage intervention for SME-scale tofu enterprises operating under resource and investment constraints </w:t>
      </w:r>
      <w:r w:rsidR="006023BC">
        <w:rPr>
          <w:rFonts w:ascii="Cambria" w:hAnsi="Cambria"/>
          <w:sz w:val="22"/>
          <w:szCs w:val="22"/>
        </w:rPr>
        <w:fldChar w:fldCharType="begin" w:fldLock="1"/>
      </w:r>
      <w:r w:rsidR="004441E6">
        <w:rPr>
          <w:rFonts w:ascii="Cambria" w:hAnsi="Cambria"/>
          <w:sz w:val="22"/>
          <w:szCs w:val="22"/>
        </w:rPr>
        <w:instrText>ADDIN CSL_CITATION {"citationItems":[{"id":"ITEM-1","itemData":{"ISSN":"2190-5487","author":[{"dropping-particle":"","family":"Seroja","given":"Romi","non-dropping-particle":"","parse-names":false,"suffix":""},{"dropping-particle":"","family":"Effendi","given":"Hefni","non-dropping-particle":"","parse-names":false,"suffix":""},{"dropping-particle":"","family":"Hariyadi","given":"Sigid","non-dropping-particle":"","parse-names":false,"suffix":""}],"container-title":"Applied water science","id":"ITEM-1","issue":"1","issued":{"date-parts":[["2018"]]},"page":"2","publisher":"Springer","title":"Tofu wastewater treatment using vetiver grass (Vetiveria zizanioides) and zeliac","type":"article-journal","volume":"8"},"uris":["http://www.mendeley.com/documents/?uuid=d86e39f9-e89f-474c-a858-d8f29e6dc56c"]},{"id":"ITEM-2","itemData":{"ISSN":"2598-6279","author":[{"dropping-particle":"","family":"Satar","given":"Ibdal","non-dropping-particle":"","parse-names":false,"suffix":""},{"dropping-particle":"","family":"Permadi","given":"Adi","non-dropping-particle":"","parse-names":false,"suffix":""}],"container-title":"Indonesian Journal of Environmental Management and Sustainability","id":"ITEM-2","issue":"1","issued":{"date-parts":[["2022"]]},"page":"1-6","title":"Treating The Tofu Wastewater (TWW) using a Green Technology of Microbial Fuel Cell (MFC) System","type":"article-journal","volume":"6"},"uris":["http://www.mendeley.com/documents/?uuid=6798b6d4-e12a-4d1e-ba00-cf22b5769436"]}],"mendeley":{"formattedCitation":"[15], [17]","plainTextFormattedCitation":"[15], [17]","previouslyFormattedCitation":"(Satar and Permadi, 2022; Seroja et al., 2018)"},"properties":{"noteIndex":0},"schema":"https://github.com/citation-style-language/schema/raw/master/csl-citation.json"}</w:instrText>
      </w:r>
      <w:r w:rsidR="006023BC">
        <w:rPr>
          <w:rFonts w:ascii="Cambria" w:hAnsi="Cambria"/>
          <w:sz w:val="22"/>
          <w:szCs w:val="22"/>
        </w:rPr>
        <w:fldChar w:fldCharType="separate"/>
      </w:r>
      <w:r w:rsidR="004441E6" w:rsidRPr="004441E6">
        <w:rPr>
          <w:rFonts w:ascii="Cambria" w:hAnsi="Cambria"/>
          <w:noProof/>
          <w:sz w:val="22"/>
          <w:szCs w:val="22"/>
        </w:rPr>
        <w:t>[15], [17]</w:t>
      </w:r>
      <w:r w:rsidR="006023BC">
        <w:rPr>
          <w:rFonts w:ascii="Cambria" w:hAnsi="Cambria"/>
          <w:sz w:val="22"/>
          <w:szCs w:val="22"/>
        </w:rPr>
        <w:fldChar w:fldCharType="end"/>
      </w:r>
      <w:r w:rsidRPr="00012498">
        <w:rPr>
          <w:rFonts w:ascii="Cambria" w:hAnsi="Cambria"/>
          <w:sz w:val="22"/>
          <w:szCs w:val="22"/>
        </w:rPr>
        <w:t>.</w:t>
      </w:r>
    </w:p>
    <w:p w14:paraId="55CDB8AA" w14:textId="4460CC6B"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 xml:space="preserve">Complementing wastewater treatment, the adoption of a water recycling or counter-current washing system at the washing and soaking stages would reduce the volume of clean water consumed per batch and correspondingly reduce the volume and organic concentration of effluents generated. Water reuse systems have been successfully implemented in comparable food processing SME contexts, demonstrating measurable reductions in both water consumption and effluent discharge without compromising product quality </w:t>
      </w:r>
      <w:r w:rsidR="006023BC">
        <w:rPr>
          <w:rFonts w:ascii="Cambria" w:hAnsi="Cambria"/>
          <w:sz w:val="22"/>
          <w:szCs w:val="22"/>
        </w:rPr>
        <w:fldChar w:fldCharType="begin" w:fldLock="1"/>
      </w:r>
      <w:r w:rsidR="004441E6">
        <w:rPr>
          <w:rFonts w:ascii="Cambria" w:hAnsi="Cambria"/>
          <w:sz w:val="22"/>
          <w:szCs w:val="22"/>
        </w:rPr>
        <w:instrText>ADDIN CSL_CITATION {"citationItems":[{"id":"ITEM-1","itemData":{"ISSN":"2598-6279","author":[{"dropping-particle":"","family":"Satar","given":"Ibdal","non-dropping-particle":"","parse-names":false,"suffix":""},{"dropping-particle":"","family":"Permadi","given":"Adi","non-dropping-particle":"","parse-names":false,"suffix":""}],"container-title":"Indonesian Journal of Environmental Management and Sustainability","id":"ITEM-1","issue":"1","issued":{"date-parts":[["2022"]]},"page":"1-6","title":"Treating The Tofu Wastewater (TWW) using a Green Technology of Microbial Fuel Cell (MFC) System","type":"article-journal","volume":"6"},"uris":["http://www.mendeley.com/documents/?uuid=6798b6d4-e12a-4d1e-ba00-cf22b5769436"]}],"mendeley":{"formattedCitation":"[17]","plainTextFormattedCitation":"[17]","previouslyFormattedCitation":"(Satar and Permadi, 2022)"},"properties":{"noteIndex":0},"schema":"https://github.com/citation-style-language/schema/raw/master/csl-citation.json"}</w:instrText>
      </w:r>
      <w:r w:rsidR="006023BC">
        <w:rPr>
          <w:rFonts w:ascii="Cambria" w:hAnsi="Cambria"/>
          <w:sz w:val="22"/>
          <w:szCs w:val="22"/>
        </w:rPr>
        <w:fldChar w:fldCharType="separate"/>
      </w:r>
      <w:r w:rsidR="004441E6" w:rsidRPr="004441E6">
        <w:rPr>
          <w:rFonts w:ascii="Cambria" w:hAnsi="Cambria"/>
          <w:noProof/>
          <w:sz w:val="22"/>
          <w:szCs w:val="22"/>
        </w:rPr>
        <w:t>[17]</w:t>
      </w:r>
      <w:r w:rsidR="006023BC">
        <w:rPr>
          <w:rFonts w:ascii="Cambria" w:hAnsi="Cambria"/>
          <w:sz w:val="22"/>
          <w:szCs w:val="22"/>
        </w:rPr>
        <w:fldChar w:fldCharType="end"/>
      </w:r>
      <w:r w:rsidRPr="00012498">
        <w:rPr>
          <w:rFonts w:ascii="Cambria" w:hAnsi="Cambria"/>
          <w:sz w:val="22"/>
          <w:szCs w:val="22"/>
        </w:rPr>
        <w:t>. Standardization of washing procedures and the deployment of water-efficient equipment would further enhance operational efficiency across these stages, contributing to reductions in GWP, FAET, acidification, and eutrophication simultaneously, given that the washing stage is the dominant contributor across all four of these categories (Table 2).</w:t>
      </w:r>
    </w:p>
    <w:p w14:paraId="503242AD" w14:textId="2F1AE8A3" w:rsidR="00012498" w:rsidRPr="00012498" w:rsidRDefault="00012498" w:rsidP="009E5C01">
      <w:pPr>
        <w:spacing w:after="0" w:line="240" w:lineRule="auto"/>
        <w:jc w:val="both"/>
        <w:rPr>
          <w:rFonts w:ascii="Cambria" w:hAnsi="Cambria"/>
          <w:sz w:val="22"/>
          <w:szCs w:val="22"/>
        </w:rPr>
      </w:pPr>
      <w:r w:rsidRPr="00012498">
        <w:rPr>
          <w:rFonts w:ascii="Cambria" w:hAnsi="Cambria"/>
          <w:sz w:val="22"/>
          <w:szCs w:val="22"/>
        </w:rPr>
        <w:t xml:space="preserve">With respect to energy use, the boiling stage — identified as the primary driver of GWP and the dominant contributor to water scarcity under the AWARE assessment (Section 3.2) — requires targeted fuel substitution to reduce combustion-derived emissions of CO₂, CH₄, and N₂O. The </w:t>
      </w:r>
      <w:r w:rsidRPr="00012498">
        <w:rPr>
          <w:rFonts w:ascii="Cambria" w:hAnsi="Cambria"/>
          <w:sz w:val="22"/>
          <w:szCs w:val="22"/>
        </w:rPr>
        <w:lastRenderedPageBreak/>
        <w:t xml:space="preserve">replacement of firewood with cleaner energy sources, such as </w:t>
      </w:r>
      <w:r w:rsidR="006023BC">
        <w:rPr>
          <w:rFonts w:ascii="Cambria" w:hAnsi="Cambria"/>
          <w:sz w:val="22"/>
          <w:szCs w:val="22"/>
        </w:rPr>
        <w:t>biomethane fuel</w:t>
      </w:r>
      <w:r w:rsidRPr="00012498">
        <w:rPr>
          <w:rFonts w:ascii="Cambria" w:hAnsi="Cambria"/>
          <w:sz w:val="22"/>
          <w:szCs w:val="22"/>
        </w:rPr>
        <w:t xml:space="preserve"> or controlled-combustion improved biomass stoves, has been demonstrated to reduce emission factors per unit of thermal energy delivered, thereby lowering contributions to GWP, acidification, and eutrophication</w:t>
      </w:r>
      <w:r w:rsidR="006023BC">
        <w:rPr>
          <w:rFonts w:ascii="Cambria" w:hAnsi="Cambria"/>
          <w:sz w:val="22"/>
          <w:szCs w:val="22"/>
        </w:rPr>
        <w:t xml:space="preserve"> </w:t>
      </w:r>
      <w:r w:rsidR="006023BC">
        <w:rPr>
          <w:rFonts w:ascii="Cambria" w:hAnsi="Cambria"/>
          <w:sz w:val="22"/>
          <w:szCs w:val="22"/>
        </w:rPr>
        <w:fldChar w:fldCharType="begin" w:fldLock="1"/>
      </w:r>
      <w:r w:rsidR="004441E6">
        <w:rPr>
          <w:rFonts w:ascii="Cambria" w:hAnsi="Cambria"/>
          <w:sz w:val="22"/>
          <w:szCs w:val="22"/>
        </w:rPr>
        <w:instrText>ADDIN CSL_CITATION {"citationItems":[{"id":"ITEM-1","itemData":{"ISSN":"1573-2975","author":[{"dropping-particle":"","family":"Ningsih","given":"Lydia Mawar","non-dropping-particle":"","parse-names":false,"suffix":""},{"dropping-particle":"","family":"Mazancová","given":"Jana","non-dropping-particle":"","parse-names":false,"suffix":""},{"dropping-particle":"","family":"Hasanudin","given":"Udin","non-dropping-particle":"","parse-names":false,"suffix":""},{"dropping-particle":"","family":"Roubík","given":"Hynek","non-dropping-particle":"","parse-names":false,"suffix":""}],"container-title":"Environment, Development and Sustainability","id":"ITEM-1","issue":"2","issued":{"date-parts":[["2026"]]},"page":"3737-3759","publisher":"Springer","title":"Energy audits in the tofu industry; an evaluation of energy consumption towards a green and sustainable industry: LM Ningsih et al.","type":"article-journal","volume":"28"},"uris":["http://www.mendeley.com/documents/?uuid=002effe7-6795-454c-bd50-89b0a0c10013"]}],"mendeley":{"formattedCitation":"[18]","plainTextFormattedCitation":"[18]","previouslyFormattedCitation":"(Ningsih et al., 2026)"},"properties":{"noteIndex":0},"schema":"https://github.com/citation-style-language/schema/raw/master/csl-citation.json"}</w:instrText>
      </w:r>
      <w:r w:rsidR="006023BC">
        <w:rPr>
          <w:rFonts w:ascii="Cambria" w:hAnsi="Cambria"/>
          <w:sz w:val="22"/>
          <w:szCs w:val="22"/>
        </w:rPr>
        <w:fldChar w:fldCharType="separate"/>
      </w:r>
      <w:r w:rsidR="004441E6" w:rsidRPr="004441E6">
        <w:rPr>
          <w:rFonts w:ascii="Cambria" w:hAnsi="Cambria"/>
          <w:noProof/>
          <w:sz w:val="22"/>
          <w:szCs w:val="22"/>
        </w:rPr>
        <w:t>[18]</w:t>
      </w:r>
      <w:r w:rsidR="006023BC">
        <w:rPr>
          <w:rFonts w:ascii="Cambria" w:hAnsi="Cambria"/>
          <w:sz w:val="22"/>
          <w:szCs w:val="22"/>
        </w:rPr>
        <w:fldChar w:fldCharType="end"/>
      </w:r>
      <w:r w:rsidRPr="00012498">
        <w:rPr>
          <w:rFonts w:ascii="Cambria" w:hAnsi="Cambria"/>
          <w:sz w:val="22"/>
          <w:szCs w:val="22"/>
        </w:rPr>
        <w:t>. Additionally, the adoption of insulated boiling tanks or improved boiler systems would reduce heat losses and decrease the quantity of fuel required per batch, amplifying the emission reduction benefits of fuel substitution. These energy-side interventions are particularly important given that firewood combustion contributes not only to atmospheric emissions but also — through upstream supply chain water consumption — to the water scarcity burden identified under the AWARE method, suggesting that fuel substitution carries broader environmental co-benefits than combustion emission reduction alone.</w:t>
      </w:r>
    </w:p>
    <w:p w14:paraId="1A9933AB" w14:textId="5A1B1BBC" w:rsidR="00012498" w:rsidRDefault="00012498" w:rsidP="009E5C01">
      <w:pPr>
        <w:spacing w:after="0" w:line="240" w:lineRule="auto"/>
        <w:jc w:val="both"/>
        <w:rPr>
          <w:rFonts w:ascii="Cambria" w:hAnsi="Cambria"/>
          <w:sz w:val="22"/>
          <w:szCs w:val="22"/>
        </w:rPr>
      </w:pPr>
      <w:r w:rsidRPr="00012498">
        <w:rPr>
          <w:rFonts w:ascii="Cambria" w:hAnsi="Cambria"/>
          <w:sz w:val="22"/>
          <w:szCs w:val="22"/>
        </w:rPr>
        <w:t xml:space="preserve">Taken together, the LCA-based evidence presented in this study demonstrates that environmental improvement in small-scale tofu production is most effectively achieved through upstream intervention in liquid waste generation and management, rather than through end-of-pipe emission control measures. The disproportionate contribution of the washing stage to FAET, GWP, acidification, and eutrophication — as consistently evidenced across Table 2, Figure 2, and the normalization results in Table 3 — indicates that process-level modifications at the earliest stages of the production chain yield the greatest systemic environmental benefits, a conclusion consistent with the hierarchical waste reduction principles embedded in the ISO 14040 LCA framework </w:t>
      </w:r>
      <w:r w:rsidR="006023BC">
        <w:rPr>
          <w:rFonts w:ascii="Cambria" w:hAnsi="Cambria"/>
          <w:sz w:val="22"/>
          <w:szCs w:val="22"/>
        </w:rPr>
        <w:fldChar w:fldCharType="begin" w:fldLock="1"/>
      </w:r>
      <w:r w:rsidR="004441E6">
        <w:rPr>
          <w:rFonts w:ascii="Cambria" w:hAnsi="Cambria"/>
          <w:sz w:val="22"/>
          <w:szCs w:val="22"/>
        </w:rPr>
        <w:instrText>ADDIN CSL_CITATION {"citationItems":[{"id":"ITEM-1","itemData":{"DOI":"10.1016/j.resconrec.2022.106836","ISSN":"09213449 (ISSN)","author":[{"dropping-particle":"","family":"Kara","given":"S","non-dropping-particle":"","parse-names":false,"suffix":""},{"dropping-particle":"","family":"Herrmann","given":"C","non-dropping-particle":"","parse-names":false,"suffix":""},{"dropping-particle":"","family":"Hauschild","given":"M","non-dropping-particle":"","parse-names":false,"suffix":""}],"container-title":"Resources, Conservation and Recycling","id":"ITEM-1","issued":{"date-parts":[["2023"]]},"language":"English","note":"Export Date: 10 January 2024; Cited By: 5; Correspondence Address: S. Kara; Sustainability in Manufacturing &amp;amp; Life Cycle Engineering Research Group, School of Mechanical &amp;amp; Manufacturing Engineering, The University of New South Wales, Sydney, Australia; email: S.Kara@unsw.edu.au; CODEN: RCREE","publisher":"Elsevier B.V.","publisher-place":"Sustainability in Manufacturing &amp; Life Cycle Engineering Research Group, School of Mechanical &amp; Manufacturing Engineering, The University of New South Wales, Sydney, Australia","title":"Operationalization of life cycle engineering","type":"article-journal","volume":"190"},"uris":["http://www.mendeley.com/documents/?uuid=41cc2663-c836-4638-8da8-b2f9ec9b09cd"]},{"id":"ITEM-2","itemData":{"ISSN":"2755-094X","author":[{"dropping-particle":"","family":"Chitaka","given":"Takunda Y","non-dropping-particle":"","parse-names":false,"suffix":""},{"dropping-particle":"","family":"Goga","given":"Taahira","non-dropping-particle":"","parse-names":false,"suffix":""}],"container-title":"Cambridge Prisms: Plastics","id":"ITEM-2","issued":{"date-parts":[["2023"]]},"page":"e2","publisher":"Cambridge University Press","title":"The evolution of life cycle assessment in the food and beverage industry: A review","type":"article-journal","volume":"1"},"uris":["http://www.mendeley.com/documents/?uuid=fd7f1b02-9aad-42fd-9b5e-09e105af09ef"]}],"mendeley":{"formattedCitation":"[7], [8]","plainTextFormattedCitation":"[7], [8]","previouslyFormattedCitation":"(Chitaka and Goga, 2023; Kara et al., 2023)"},"properties":{"noteIndex":0},"schema":"https://github.com/citation-style-language/schema/raw/master/csl-citation.json"}</w:instrText>
      </w:r>
      <w:r w:rsidR="006023BC">
        <w:rPr>
          <w:rFonts w:ascii="Cambria" w:hAnsi="Cambria"/>
          <w:sz w:val="22"/>
          <w:szCs w:val="22"/>
        </w:rPr>
        <w:fldChar w:fldCharType="separate"/>
      </w:r>
      <w:r w:rsidR="004441E6" w:rsidRPr="004441E6">
        <w:rPr>
          <w:rFonts w:ascii="Cambria" w:hAnsi="Cambria"/>
          <w:noProof/>
          <w:sz w:val="22"/>
          <w:szCs w:val="22"/>
        </w:rPr>
        <w:t>[7], [8]</w:t>
      </w:r>
      <w:r w:rsidR="006023BC">
        <w:rPr>
          <w:rFonts w:ascii="Cambria" w:hAnsi="Cambria"/>
          <w:sz w:val="22"/>
          <w:szCs w:val="22"/>
        </w:rPr>
        <w:fldChar w:fldCharType="end"/>
      </w:r>
      <w:r w:rsidR="006023BC">
        <w:rPr>
          <w:rFonts w:ascii="Cambria" w:hAnsi="Cambria"/>
          <w:sz w:val="22"/>
          <w:szCs w:val="22"/>
        </w:rPr>
        <w:t>.</w:t>
      </w:r>
    </w:p>
    <w:p w14:paraId="6E95D5E2" w14:textId="77777777" w:rsidR="004441E6" w:rsidRDefault="004441E6" w:rsidP="009E5C01">
      <w:pPr>
        <w:spacing w:after="0" w:line="240" w:lineRule="auto"/>
        <w:jc w:val="both"/>
        <w:rPr>
          <w:rFonts w:ascii="Cambria" w:hAnsi="Cambria"/>
          <w:b/>
          <w:bCs/>
          <w:sz w:val="22"/>
          <w:szCs w:val="22"/>
        </w:rPr>
      </w:pPr>
    </w:p>
    <w:p w14:paraId="234964C6" w14:textId="7576EE03" w:rsidR="009E5C01" w:rsidRPr="004441E6" w:rsidRDefault="009E5C01" w:rsidP="009E5C01">
      <w:pPr>
        <w:spacing w:after="0" w:line="240" w:lineRule="auto"/>
        <w:jc w:val="both"/>
        <w:rPr>
          <w:rFonts w:ascii="Cambria" w:hAnsi="Cambria"/>
          <w:b/>
          <w:bCs/>
        </w:rPr>
      </w:pPr>
      <w:r w:rsidRPr="004441E6">
        <w:rPr>
          <w:rFonts w:ascii="Cambria" w:hAnsi="Cambria"/>
          <w:b/>
          <w:bCs/>
        </w:rPr>
        <w:t>Conclusion</w:t>
      </w:r>
    </w:p>
    <w:p w14:paraId="48E20E3F" w14:textId="46CF67A1" w:rsidR="009E5C01" w:rsidRPr="004441E6" w:rsidRDefault="009E5C01" w:rsidP="009E5C01">
      <w:pPr>
        <w:spacing w:after="0" w:line="240" w:lineRule="auto"/>
        <w:jc w:val="both"/>
        <w:rPr>
          <w:rFonts w:ascii="Cambria" w:hAnsi="Cambria"/>
        </w:rPr>
      </w:pPr>
      <w:r w:rsidRPr="004441E6">
        <w:rPr>
          <w:rFonts w:ascii="Cambria" w:hAnsi="Cambria"/>
        </w:rPr>
        <w:t xml:space="preserve">The environmental impact assessment of small-scale tofu manufacturing in Semarang successfully reveals critical ecological hotspots concentrated within the raw material washing and soybean boiling stages. The comprehensive evaluation demonstrates that the most dominant impact category threatening local ecosystems is freshwater aquatic ecotoxicity. This acute environmental degradation is heavily triggered by the direct discharge of highly concentrated organic wastewater without preliminary treatment during the washing, soaking, and coagulation processes. Concurrently, global warming potential emerges as the second most significant environmental threat due to substantial greenhouse gas emissions from conventional firewood combustion during the boiling phase. Interestingly, this combustion activity also drives regional water scarcity issues due to the </w:t>
      </w:r>
      <w:r w:rsidR="004441E6" w:rsidRPr="004441E6">
        <w:rPr>
          <w:rFonts w:ascii="Cambria" w:hAnsi="Cambria"/>
        </w:rPr>
        <w:t>high-water</w:t>
      </w:r>
      <w:r w:rsidRPr="004441E6">
        <w:rPr>
          <w:rFonts w:ascii="Cambria" w:hAnsi="Cambria"/>
        </w:rPr>
        <w:t xml:space="preserve"> consumption embedded within the firewood supply chain. The practical implications of these findings highlight the urgent need for a paradigm shift in environmental management, moving away from reactive end-of-pipe wastewater treatment toward proactive upstream interventions at the manufacturing process level. Primary recommendations include the implementation of biofilter technology systems, wastewater recycling mechanisms, and the substitution of firewood with more environmentally friendly gas fuels. Academically, this study provides a valuable contribution to the environmental science body of knowledge by presenting an empirical, life cycle assessment-based analysis of lower-middle-scale food industries in developing urban corridors. For future development, subsequent research should be directed toward expanding the study's system boundary from cradle-to-grave and integrating a life cycle costing analysis to ensure the economic sustainability of the proposed environmental interventions.</w:t>
      </w:r>
    </w:p>
    <w:p w14:paraId="4B7CF627" w14:textId="77777777" w:rsidR="004441E6" w:rsidRPr="004441E6" w:rsidRDefault="004441E6" w:rsidP="009E5C01">
      <w:pPr>
        <w:spacing w:after="0" w:line="240" w:lineRule="auto"/>
        <w:jc w:val="both"/>
        <w:rPr>
          <w:rFonts w:ascii="Cambria" w:hAnsi="Cambria"/>
          <w:b/>
          <w:bCs/>
        </w:rPr>
      </w:pPr>
    </w:p>
    <w:p w14:paraId="350B3781" w14:textId="053B356B" w:rsidR="009E5C01" w:rsidRPr="004441E6" w:rsidRDefault="009E5C01" w:rsidP="009E5C01">
      <w:pPr>
        <w:spacing w:after="0" w:line="240" w:lineRule="auto"/>
        <w:jc w:val="both"/>
        <w:rPr>
          <w:rFonts w:ascii="Cambria" w:hAnsi="Cambria"/>
          <w:b/>
          <w:bCs/>
        </w:rPr>
      </w:pPr>
      <w:r w:rsidRPr="004441E6">
        <w:rPr>
          <w:rFonts w:ascii="Cambria" w:hAnsi="Cambria"/>
          <w:b/>
          <w:bCs/>
        </w:rPr>
        <w:t>REFERENCES</w:t>
      </w:r>
    </w:p>
    <w:p w14:paraId="09420385" w14:textId="34903319" w:rsidR="004441E6" w:rsidRPr="004441E6" w:rsidRDefault="009E5C01" w:rsidP="004441E6">
      <w:pPr>
        <w:widowControl w:val="0"/>
        <w:autoSpaceDE w:val="0"/>
        <w:autoSpaceDN w:val="0"/>
        <w:adjustRightInd w:val="0"/>
        <w:spacing w:after="0" w:line="240" w:lineRule="auto"/>
        <w:ind w:left="640" w:hanging="640"/>
        <w:rPr>
          <w:rFonts w:ascii="Cambria" w:hAnsi="Cambria" w:cs="Times New Roman"/>
          <w:noProof/>
          <w:kern w:val="0"/>
        </w:rPr>
      </w:pPr>
      <w:r w:rsidRPr="004441E6">
        <w:rPr>
          <w:rFonts w:ascii="Cambria" w:hAnsi="Cambria"/>
        </w:rPr>
        <w:fldChar w:fldCharType="begin" w:fldLock="1"/>
      </w:r>
      <w:r w:rsidRPr="004441E6">
        <w:rPr>
          <w:rFonts w:ascii="Cambria" w:hAnsi="Cambria"/>
        </w:rPr>
        <w:instrText xml:space="preserve">ADDIN Mendeley Bibliography CSL_BIBLIOGRAPHY </w:instrText>
      </w:r>
      <w:r w:rsidRPr="004441E6">
        <w:rPr>
          <w:rFonts w:ascii="Cambria" w:hAnsi="Cambria"/>
        </w:rPr>
        <w:fldChar w:fldCharType="separate"/>
      </w:r>
      <w:r w:rsidR="004441E6" w:rsidRPr="004441E6">
        <w:rPr>
          <w:rFonts w:ascii="Cambria" w:hAnsi="Cambria" w:cs="Times New Roman"/>
          <w:noProof/>
          <w:kern w:val="0"/>
        </w:rPr>
        <w:t>[1]</w:t>
      </w:r>
      <w:r w:rsidR="004441E6" w:rsidRPr="004441E6">
        <w:rPr>
          <w:rFonts w:ascii="Cambria" w:hAnsi="Cambria" w:cs="Times New Roman"/>
          <w:noProof/>
          <w:kern w:val="0"/>
        </w:rPr>
        <w:tab/>
        <w:t xml:space="preserve">Ghisellini P Cialani C and Ulgiati S, 2016 A review on circular economy: the expected transition to a balanced interplay of environmental and economic systems </w:t>
      </w:r>
      <w:r w:rsidR="004441E6" w:rsidRPr="004441E6">
        <w:rPr>
          <w:rFonts w:ascii="Cambria" w:hAnsi="Cambria" w:cs="Times New Roman"/>
          <w:i/>
          <w:iCs/>
          <w:noProof/>
          <w:kern w:val="0"/>
        </w:rPr>
        <w:t>J. Clean. Prod.</w:t>
      </w:r>
      <w:r w:rsidR="004441E6" w:rsidRPr="004441E6">
        <w:rPr>
          <w:rFonts w:ascii="Cambria" w:hAnsi="Cambria" w:cs="Times New Roman"/>
          <w:noProof/>
          <w:kern w:val="0"/>
        </w:rPr>
        <w:t xml:space="preserve"> </w:t>
      </w:r>
      <w:r w:rsidR="004441E6" w:rsidRPr="004441E6">
        <w:rPr>
          <w:rFonts w:ascii="Cambria" w:hAnsi="Cambria" w:cs="Times New Roman"/>
          <w:b/>
          <w:bCs/>
          <w:noProof/>
          <w:kern w:val="0"/>
        </w:rPr>
        <w:t>114</w:t>
      </w:r>
      <w:r w:rsidR="004441E6" w:rsidRPr="004441E6">
        <w:rPr>
          <w:rFonts w:ascii="Cambria" w:hAnsi="Cambria" w:cs="Times New Roman"/>
          <w:noProof/>
          <w:kern w:val="0"/>
        </w:rPr>
        <w:t xml:space="preserve"> p. 11–32.</w:t>
      </w:r>
    </w:p>
    <w:p w14:paraId="448DB8DE" w14:textId="77777777" w:rsidR="004441E6" w:rsidRPr="004441E6" w:rsidRDefault="004441E6" w:rsidP="004441E6">
      <w:pPr>
        <w:widowControl w:val="0"/>
        <w:autoSpaceDE w:val="0"/>
        <w:autoSpaceDN w:val="0"/>
        <w:adjustRightInd w:val="0"/>
        <w:spacing w:after="0" w:line="240" w:lineRule="auto"/>
        <w:ind w:left="640" w:hanging="640"/>
        <w:rPr>
          <w:rFonts w:ascii="Cambria" w:hAnsi="Cambria" w:cs="Times New Roman"/>
          <w:noProof/>
          <w:kern w:val="0"/>
        </w:rPr>
      </w:pPr>
      <w:r w:rsidRPr="004441E6">
        <w:rPr>
          <w:rFonts w:ascii="Cambria" w:hAnsi="Cambria" w:cs="Times New Roman"/>
          <w:noProof/>
          <w:kern w:val="0"/>
        </w:rPr>
        <w:t>[2]</w:t>
      </w:r>
      <w:r w:rsidRPr="004441E6">
        <w:rPr>
          <w:rFonts w:ascii="Cambria" w:hAnsi="Cambria" w:cs="Times New Roman"/>
          <w:noProof/>
          <w:kern w:val="0"/>
        </w:rPr>
        <w:tab/>
        <w:t xml:space="preserve">Widiatami A K Solikhah B Setiyani R and Yanitama A, 2021 The effect of environmental management disclosure and green innovation on the Indonesian </w:t>
      </w:r>
      <w:r w:rsidRPr="004441E6">
        <w:rPr>
          <w:rFonts w:ascii="Cambria" w:hAnsi="Cambria" w:cs="Times New Roman"/>
          <w:noProof/>
          <w:kern w:val="0"/>
        </w:rPr>
        <w:lastRenderedPageBreak/>
        <w:t xml:space="preserve">food and beverages industry’s sales growth in </w:t>
      </w:r>
      <w:r w:rsidRPr="004441E6">
        <w:rPr>
          <w:rFonts w:ascii="Cambria" w:hAnsi="Cambria" w:cs="Times New Roman"/>
          <w:i/>
          <w:iCs/>
          <w:noProof/>
          <w:kern w:val="0"/>
        </w:rPr>
        <w:t>IOP Conference Series: Earth and Environmental Science</w:t>
      </w:r>
      <w:r w:rsidRPr="004441E6">
        <w:rPr>
          <w:rFonts w:ascii="Cambria" w:hAnsi="Cambria" w:cs="Times New Roman"/>
          <w:noProof/>
          <w:kern w:val="0"/>
        </w:rPr>
        <w:t xml:space="preserve"> </w:t>
      </w:r>
      <w:r w:rsidRPr="004441E6">
        <w:rPr>
          <w:rFonts w:ascii="Cambria" w:hAnsi="Cambria" w:cs="Times New Roman"/>
          <w:b/>
          <w:bCs/>
          <w:noProof/>
          <w:kern w:val="0"/>
        </w:rPr>
        <w:t>896</w:t>
      </w:r>
      <w:r w:rsidRPr="004441E6">
        <w:rPr>
          <w:rFonts w:ascii="Cambria" w:hAnsi="Cambria" w:cs="Times New Roman"/>
          <w:noProof/>
          <w:kern w:val="0"/>
        </w:rPr>
        <w:t>, 1 p. 12018.</w:t>
      </w:r>
    </w:p>
    <w:p w14:paraId="0BF9F54B" w14:textId="77777777" w:rsidR="004441E6" w:rsidRPr="004441E6" w:rsidRDefault="004441E6" w:rsidP="004441E6">
      <w:pPr>
        <w:widowControl w:val="0"/>
        <w:autoSpaceDE w:val="0"/>
        <w:autoSpaceDN w:val="0"/>
        <w:adjustRightInd w:val="0"/>
        <w:spacing w:after="0" w:line="240" w:lineRule="auto"/>
        <w:ind w:left="640" w:hanging="640"/>
        <w:rPr>
          <w:rFonts w:ascii="Cambria" w:hAnsi="Cambria" w:cs="Times New Roman"/>
          <w:noProof/>
          <w:kern w:val="0"/>
        </w:rPr>
      </w:pPr>
      <w:r w:rsidRPr="004441E6">
        <w:rPr>
          <w:rFonts w:ascii="Cambria" w:hAnsi="Cambria" w:cs="Times New Roman"/>
          <w:noProof/>
          <w:kern w:val="0"/>
        </w:rPr>
        <w:t>[3]</w:t>
      </w:r>
      <w:r w:rsidRPr="004441E6">
        <w:rPr>
          <w:rFonts w:ascii="Cambria" w:hAnsi="Cambria" w:cs="Times New Roman"/>
          <w:noProof/>
          <w:kern w:val="0"/>
        </w:rPr>
        <w:tab/>
        <w:t xml:space="preserve">Basuki T M </w:t>
      </w:r>
      <w:r w:rsidRPr="004441E6">
        <w:rPr>
          <w:rFonts w:ascii="Cambria" w:hAnsi="Cambria" w:cs="Times New Roman"/>
          <w:i/>
          <w:iCs/>
          <w:noProof/>
          <w:kern w:val="0"/>
        </w:rPr>
        <w:t>et al.</w:t>
      </w:r>
      <w:r w:rsidRPr="004441E6">
        <w:rPr>
          <w:rFonts w:ascii="Cambria" w:hAnsi="Cambria" w:cs="Times New Roman"/>
          <w:noProof/>
          <w:kern w:val="0"/>
        </w:rPr>
        <w:t xml:space="preserve">, 2024 Water pollution of some major rivers in Indonesia: The status, institution, regulation, and recommendation for its mitigation </w:t>
      </w:r>
      <w:r w:rsidRPr="004441E6">
        <w:rPr>
          <w:rFonts w:ascii="Cambria" w:hAnsi="Cambria" w:cs="Times New Roman"/>
          <w:i/>
          <w:iCs/>
          <w:noProof/>
          <w:kern w:val="0"/>
        </w:rPr>
        <w:t>Polish J. Environ. Stud.</w:t>
      </w:r>
      <w:r w:rsidRPr="004441E6">
        <w:rPr>
          <w:rFonts w:ascii="Cambria" w:hAnsi="Cambria" w:cs="Times New Roman"/>
          <w:noProof/>
          <w:kern w:val="0"/>
        </w:rPr>
        <w:t xml:space="preserve"> </w:t>
      </w:r>
      <w:r w:rsidRPr="004441E6">
        <w:rPr>
          <w:rFonts w:ascii="Cambria" w:hAnsi="Cambria" w:cs="Times New Roman"/>
          <w:b/>
          <w:bCs/>
          <w:noProof/>
          <w:kern w:val="0"/>
        </w:rPr>
        <w:t>33</w:t>
      </w:r>
      <w:r w:rsidRPr="004441E6">
        <w:rPr>
          <w:rFonts w:ascii="Cambria" w:hAnsi="Cambria" w:cs="Times New Roman"/>
          <w:noProof/>
          <w:kern w:val="0"/>
        </w:rPr>
        <w:t>, 4 p. 3515–3530.</w:t>
      </w:r>
    </w:p>
    <w:p w14:paraId="0F43ED28" w14:textId="77777777" w:rsidR="004441E6" w:rsidRPr="004441E6" w:rsidRDefault="004441E6" w:rsidP="004441E6">
      <w:pPr>
        <w:widowControl w:val="0"/>
        <w:autoSpaceDE w:val="0"/>
        <w:autoSpaceDN w:val="0"/>
        <w:adjustRightInd w:val="0"/>
        <w:spacing w:after="0" w:line="240" w:lineRule="auto"/>
        <w:ind w:left="640" w:hanging="640"/>
        <w:rPr>
          <w:rFonts w:ascii="Cambria" w:hAnsi="Cambria" w:cs="Times New Roman"/>
          <w:noProof/>
          <w:kern w:val="0"/>
        </w:rPr>
      </w:pPr>
      <w:r w:rsidRPr="004441E6">
        <w:rPr>
          <w:rFonts w:ascii="Cambria" w:hAnsi="Cambria" w:cs="Times New Roman"/>
          <w:noProof/>
          <w:kern w:val="0"/>
        </w:rPr>
        <w:t>[4]</w:t>
      </w:r>
      <w:r w:rsidRPr="004441E6">
        <w:rPr>
          <w:rFonts w:ascii="Cambria" w:hAnsi="Cambria" w:cs="Times New Roman"/>
          <w:noProof/>
          <w:kern w:val="0"/>
        </w:rPr>
        <w:tab/>
        <w:t>Badan Pusat Statistik, 2026, Rata-Rata Konsumsi per Kapita Seminggu Beberapa Macam Bahan Makanan Penting 2007-2025, Jakarta.</w:t>
      </w:r>
    </w:p>
    <w:p w14:paraId="3BEDBFC5" w14:textId="77777777" w:rsidR="004441E6" w:rsidRPr="004441E6" w:rsidRDefault="004441E6" w:rsidP="004441E6">
      <w:pPr>
        <w:widowControl w:val="0"/>
        <w:autoSpaceDE w:val="0"/>
        <w:autoSpaceDN w:val="0"/>
        <w:adjustRightInd w:val="0"/>
        <w:spacing w:after="0" w:line="240" w:lineRule="auto"/>
        <w:ind w:left="640" w:hanging="640"/>
        <w:rPr>
          <w:rFonts w:ascii="Cambria" w:hAnsi="Cambria" w:cs="Times New Roman"/>
          <w:noProof/>
          <w:kern w:val="0"/>
        </w:rPr>
      </w:pPr>
      <w:r w:rsidRPr="004441E6">
        <w:rPr>
          <w:rFonts w:ascii="Cambria" w:hAnsi="Cambria" w:cs="Times New Roman"/>
          <w:noProof/>
          <w:kern w:val="0"/>
        </w:rPr>
        <w:t>[5]</w:t>
      </w:r>
      <w:r w:rsidRPr="004441E6">
        <w:rPr>
          <w:rFonts w:ascii="Cambria" w:hAnsi="Cambria" w:cs="Times New Roman"/>
          <w:noProof/>
          <w:kern w:val="0"/>
        </w:rPr>
        <w:tab/>
        <w:t xml:space="preserve">Masayu R Masruri A and Putra R A, 2020 Analysis Of Environmental Impact With The Life Cycle Assessment (LCA) Method On Tofu Production </w:t>
      </w:r>
      <w:r w:rsidRPr="004441E6">
        <w:rPr>
          <w:rFonts w:ascii="Cambria" w:hAnsi="Cambria" w:cs="Times New Roman"/>
          <w:i/>
          <w:iCs/>
          <w:noProof/>
          <w:kern w:val="0"/>
        </w:rPr>
        <w:t>Int. J. Sci. Technol. Manag.</w:t>
      </w:r>
      <w:r w:rsidRPr="004441E6">
        <w:rPr>
          <w:rFonts w:ascii="Cambria" w:hAnsi="Cambria" w:cs="Times New Roman"/>
          <w:noProof/>
          <w:kern w:val="0"/>
        </w:rPr>
        <w:t xml:space="preserve"> </w:t>
      </w:r>
      <w:r w:rsidRPr="004441E6">
        <w:rPr>
          <w:rFonts w:ascii="Cambria" w:hAnsi="Cambria" w:cs="Times New Roman"/>
          <w:b/>
          <w:bCs/>
          <w:noProof/>
          <w:kern w:val="0"/>
        </w:rPr>
        <w:t>1</w:t>
      </w:r>
      <w:r w:rsidRPr="004441E6">
        <w:rPr>
          <w:rFonts w:ascii="Cambria" w:hAnsi="Cambria" w:cs="Times New Roman"/>
          <w:noProof/>
          <w:kern w:val="0"/>
        </w:rPr>
        <w:t>, 4 p. 428–435.</w:t>
      </w:r>
    </w:p>
    <w:p w14:paraId="2AE2B0CD" w14:textId="77777777" w:rsidR="004441E6" w:rsidRPr="004441E6" w:rsidRDefault="004441E6" w:rsidP="004441E6">
      <w:pPr>
        <w:widowControl w:val="0"/>
        <w:autoSpaceDE w:val="0"/>
        <w:autoSpaceDN w:val="0"/>
        <w:adjustRightInd w:val="0"/>
        <w:spacing w:after="0" w:line="240" w:lineRule="auto"/>
        <w:ind w:left="640" w:hanging="640"/>
        <w:rPr>
          <w:rFonts w:ascii="Cambria" w:hAnsi="Cambria" w:cs="Times New Roman"/>
          <w:noProof/>
          <w:kern w:val="0"/>
        </w:rPr>
      </w:pPr>
      <w:r w:rsidRPr="004441E6">
        <w:rPr>
          <w:rFonts w:ascii="Cambria" w:hAnsi="Cambria" w:cs="Times New Roman"/>
          <w:noProof/>
          <w:kern w:val="0"/>
        </w:rPr>
        <w:t>[6]</w:t>
      </w:r>
      <w:r w:rsidRPr="004441E6">
        <w:rPr>
          <w:rFonts w:ascii="Cambria" w:hAnsi="Cambria" w:cs="Times New Roman"/>
          <w:noProof/>
          <w:kern w:val="0"/>
        </w:rPr>
        <w:tab/>
        <w:t xml:space="preserve">Sjafruddin R Agustang A and Pertiwi N, 2022 Estimasi limbah industri tahu dan kajian penerapan sistem produksi bersih </w:t>
      </w:r>
      <w:r w:rsidRPr="004441E6">
        <w:rPr>
          <w:rFonts w:ascii="Cambria" w:hAnsi="Cambria" w:cs="Times New Roman"/>
          <w:i/>
          <w:iCs/>
          <w:noProof/>
          <w:kern w:val="0"/>
        </w:rPr>
        <w:t>J. Ilm. Mandala Educ.</w:t>
      </w:r>
      <w:r w:rsidRPr="004441E6">
        <w:rPr>
          <w:rFonts w:ascii="Cambria" w:hAnsi="Cambria" w:cs="Times New Roman"/>
          <w:noProof/>
          <w:kern w:val="0"/>
        </w:rPr>
        <w:t xml:space="preserve"> </w:t>
      </w:r>
      <w:r w:rsidRPr="004441E6">
        <w:rPr>
          <w:rFonts w:ascii="Cambria" w:hAnsi="Cambria" w:cs="Times New Roman"/>
          <w:b/>
          <w:bCs/>
          <w:noProof/>
          <w:kern w:val="0"/>
        </w:rPr>
        <w:t>8</w:t>
      </w:r>
      <w:r w:rsidRPr="004441E6">
        <w:rPr>
          <w:rFonts w:ascii="Cambria" w:hAnsi="Cambria" w:cs="Times New Roman"/>
          <w:noProof/>
          <w:kern w:val="0"/>
        </w:rPr>
        <w:t>, 2.</w:t>
      </w:r>
    </w:p>
    <w:p w14:paraId="55A55FD8" w14:textId="77777777" w:rsidR="004441E6" w:rsidRPr="004441E6" w:rsidRDefault="004441E6" w:rsidP="004441E6">
      <w:pPr>
        <w:widowControl w:val="0"/>
        <w:autoSpaceDE w:val="0"/>
        <w:autoSpaceDN w:val="0"/>
        <w:adjustRightInd w:val="0"/>
        <w:spacing w:after="0" w:line="240" w:lineRule="auto"/>
        <w:ind w:left="640" w:hanging="640"/>
        <w:rPr>
          <w:rFonts w:ascii="Cambria" w:hAnsi="Cambria" w:cs="Times New Roman"/>
          <w:noProof/>
          <w:kern w:val="0"/>
        </w:rPr>
      </w:pPr>
      <w:r w:rsidRPr="004441E6">
        <w:rPr>
          <w:rFonts w:ascii="Cambria" w:hAnsi="Cambria" w:cs="Times New Roman"/>
          <w:noProof/>
          <w:kern w:val="0"/>
        </w:rPr>
        <w:t>[7]</w:t>
      </w:r>
      <w:r w:rsidRPr="004441E6">
        <w:rPr>
          <w:rFonts w:ascii="Cambria" w:hAnsi="Cambria" w:cs="Times New Roman"/>
          <w:noProof/>
          <w:kern w:val="0"/>
        </w:rPr>
        <w:tab/>
        <w:t xml:space="preserve">Kara S Herrmann C and Hauschild M, 2023 Operationalization of life cycle engineering </w:t>
      </w:r>
      <w:r w:rsidRPr="004441E6">
        <w:rPr>
          <w:rFonts w:ascii="Cambria" w:hAnsi="Cambria" w:cs="Times New Roman"/>
          <w:i/>
          <w:iCs/>
          <w:noProof/>
          <w:kern w:val="0"/>
        </w:rPr>
        <w:t>Resour. Conserv. Recycl.</w:t>
      </w:r>
      <w:r w:rsidRPr="004441E6">
        <w:rPr>
          <w:rFonts w:ascii="Cambria" w:hAnsi="Cambria" w:cs="Times New Roman"/>
          <w:noProof/>
          <w:kern w:val="0"/>
        </w:rPr>
        <w:t xml:space="preserve"> </w:t>
      </w:r>
      <w:r w:rsidRPr="004441E6">
        <w:rPr>
          <w:rFonts w:ascii="Cambria" w:hAnsi="Cambria" w:cs="Times New Roman"/>
          <w:b/>
          <w:bCs/>
          <w:noProof/>
          <w:kern w:val="0"/>
        </w:rPr>
        <w:t>190</w:t>
      </w:r>
      <w:r w:rsidRPr="004441E6">
        <w:rPr>
          <w:rFonts w:ascii="Cambria" w:hAnsi="Cambria" w:cs="Times New Roman"/>
          <w:noProof/>
          <w:kern w:val="0"/>
        </w:rPr>
        <w:t>.</w:t>
      </w:r>
    </w:p>
    <w:p w14:paraId="445AC439" w14:textId="77777777" w:rsidR="004441E6" w:rsidRPr="004441E6" w:rsidRDefault="004441E6" w:rsidP="004441E6">
      <w:pPr>
        <w:widowControl w:val="0"/>
        <w:autoSpaceDE w:val="0"/>
        <w:autoSpaceDN w:val="0"/>
        <w:adjustRightInd w:val="0"/>
        <w:spacing w:after="0" w:line="240" w:lineRule="auto"/>
        <w:ind w:left="640" w:hanging="640"/>
        <w:rPr>
          <w:rFonts w:ascii="Cambria" w:hAnsi="Cambria" w:cs="Times New Roman"/>
          <w:noProof/>
          <w:kern w:val="0"/>
        </w:rPr>
      </w:pPr>
      <w:r w:rsidRPr="004441E6">
        <w:rPr>
          <w:rFonts w:ascii="Cambria" w:hAnsi="Cambria" w:cs="Times New Roman"/>
          <w:noProof/>
          <w:kern w:val="0"/>
        </w:rPr>
        <w:t>[8]</w:t>
      </w:r>
      <w:r w:rsidRPr="004441E6">
        <w:rPr>
          <w:rFonts w:ascii="Cambria" w:hAnsi="Cambria" w:cs="Times New Roman"/>
          <w:noProof/>
          <w:kern w:val="0"/>
        </w:rPr>
        <w:tab/>
        <w:t xml:space="preserve">Chitaka T Y and Goga T, 2023 The evolution of life cycle assessment in the food and beverage industry: A review </w:t>
      </w:r>
      <w:r w:rsidRPr="004441E6">
        <w:rPr>
          <w:rFonts w:ascii="Cambria" w:hAnsi="Cambria" w:cs="Times New Roman"/>
          <w:i/>
          <w:iCs/>
          <w:noProof/>
          <w:kern w:val="0"/>
        </w:rPr>
        <w:t>Cambridge Prism. Plast.</w:t>
      </w:r>
      <w:r w:rsidRPr="004441E6">
        <w:rPr>
          <w:rFonts w:ascii="Cambria" w:hAnsi="Cambria" w:cs="Times New Roman"/>
          <w:noProof/>
          <w:kern w:val="0"/>
        </w:rPr>
        <w:t xml:space="preserve"> </w:t>
      </w:r>
      <w:r w:rsidRPr="004441E6">
        <w:rPr>
          <w:rFonts w:ascii="Cambria" w:hAnsi="Cambria" w:cs="Times New Roman"/>
          <w:b/>
          <w:bCs/>
          <w:noProof/>
          <w:kern w:val="0"/>
        </w:rPr>
        <w:t>1</w:t>
      </w:r>
      <w:r w:rsidRPr="004441E6">
        <w:rPr>
          <w:rFonts w:ascii="Cambria" w:hAnsi="Cambria" w:cs="Times New Roman"/>
          <w:noProof/>
          <w:kern w:val="0"/>
        </w:rPr>
        <w:t xml:space="preserve"> p. e2.</w:t>
      </w:r>
    </w:p>
    <w:p w14:paraId="6926A7FB" w14:textId="77777777" w:rsidR="004441E6" w:rsidRPr="004441E6" w:rsidRDefault="004441E6" w:rsidP="004441E6">
      <w:pPr>
        <w:widowControl w:val="0"/>
        <w:autoSpaceDE w:val="0"/>
        <w:autoSpaceDN w:val="0"/>
        <w:adjustRightInd w:val="0"/>
        <w:spacing w:after="0" w:line="240" w:lineRule="auto"/>
        <w:ind w:left="640" w:hanging="640"/>
        <w:rPr>
          <w:rFonts w:ascii="Cambria" w:hAnsi="Cambria" w:cs="Times New Roman"/>
          <w:noProof/>
          <w:kern w:val="0"/>
        </w:rPr>
      </w:pPr>
      <w:r w:rsidRPr="004441E6">
        <w:rPr>
          <w:rFonts w:ascii="Cambria" w:hAnsi="Cambria" w:cs="Times New Roman"/>
          <w:noProof/>
          <w:kern w:val="0"/>
        </w:rPr>
        <w:t>[9]</w:t>
      </w:r>
      <w:r w:rsidRPr="004441E6">
        <w:rPr>
          <w:rFonts w:ascii="Cambria" w:hAnsi="Cambria" w:cs="Times New Roman"/>
          <w:noProof/>
          <w:kern w:val="0"/>
        </w:rPr>
        <w:tab/>
        <w:t xml:space="preserve">Parvathy S U Kolil V K and Achuthan K, 2025 Assessing Environmental Hotspots and Sustainable Development Goal Alignment in Food Production in India </w:t>
      </w:r>
      <w:r w:rsidRPr="004441E6">
        <w:rPr>
          <w:rFonts w:ascii="Cambria" w:hAnsi="Cambria" w:cs="Times New Roman"/>
          <w:i/>
          <w:iCs/>
          <w:noProof/>
          <w:kern w:val="0"/>
        </w:rPr>
        <w:t>Food Sci. Nutr.</w:t>
      </w:r>
      <w:r w:rsidRPr="004441E6">
        <w:rPr>
          <w:rFonts w:ascii="Cambria" w:hAnsi="Cambria" w:cs="Times New Roman"/>
          <w:noProof/>
          <w:kern w:val="0"/>
        </w:rPr>
        <w:t xml:space="preserve"> </w:t>
      </w:r>
      <w:r w:rsidRPr="004441E6">
        <w:rPr>
          <w:rFonts w:ascii="Cambria" w:hAnsi="Cambria" w:cs="Times New Roman"/>
          <w:b/>
          <w:bCs/>
          <w:noProof/>
          <w:kern w:val="0"/>
        </w:rPr>
        <w:t>13</w:t>
      </w:r>
      <w:r w:rsidRPr="004441E6">
        <w:rPr>
          <w:rFonts w:ascii="Cambria" w:hAnsi="Cambria" w:cs="Times New Roman"/>
          <w:noProof/>
          <w:kern w:val="0"/>
        </w:rPr>
        <w:t>, 7 p. e70573.</w:t>
      </w:r>
    </w:p>
    <w:p w14:paraId="0B0729E5" w14:textId="77777777" w:rsidR="004441E6" w:rsidRPr="004441E6" w:rsidRDefault="004441E6" w:rsidP="004441E6">
      <w:pPr>
        <w:widowControl w:val="0"/>
        <w:autoSpaceDE w:val="0"/>
        <w:autoSpaceDN w:val="0"/>
        <w:adjustRightInd w:val="0"/>
        <w:spacing w:after="0" w:line="240" w:lineRule="auto"/>
        <w:ind w:left="640" w:hanging="640"/>
        <w:rPr>
          <w:rFonts w:ascii="Cambria" w:hAnsi="Cambria" w:cs="Times New Roman"/>
          <w:noProof/>
          <w:kern w:val="0"/>
        </w:rPr>
      </w:pPr>
      <w:r w:rsidRPr="004441E6">
        <w:rPr>
          <w:rFonts w:ascii="Cambria" w:hAnsi="Cambria" w:cs="Times New Roman"/>
          <w:noProof/>
          <w:kern w:val="0"/>
        </w:rPr>
        <w:t>[10]</w:t>
      </w:r>
      <w:r w:rsidRPr="004441E6">
        <w:rPr>
          <w:rFonts w:ascii="Cambria" w:hAnsi="Cambria" w:cs="Times New Roman"/>
          <w:noProof/>
          <w:kern w:val="0"/>
        </w:rPr>
        <w:tab/>
        <w:t xml:space="preserve">Kholil P A Jabbar A Lantip D S Darpawanto N J and Aribowo L A, 2025 Analysis of Carbon Footprint and Water Footprint in Laundry MSMEs Business Using Life Cycle Assessment </w:t>
      </w:r>
      <w:r w:rsidRPr="004441E6">
        <w:rPr>
          <w:rFonts w:ascii="Cambria" w:hAnsi="Cambria" w:cs="Times New Roman"/>
          <w:i/>
          <w:iCs/>
          <w:noProof/>
          <w:kern w:val="0"/>
        </w:rPr>
        <w:t>J. Environ. Sci. Educ.</w:t>
      </w:r>
      <w:r w:rsidRPr="004441E6">
        <w:rPr>
          <w:rFonts w:ascii="Cambria" w:hAnsi="Cambria" w:cs="Times New Roman"/>
          <w:noProof/>
          <w:kern w:val="0"/>
        </w:rPr>
        <w:t xml:space="preserve"> </w:t>
      </w:r>
      <w:r w:rsidRPr="004441E6">
        <w:rPr>
          <w:rFonts w:ascii="Cambria" w:hAnsi="Cambria" w:cs="Times New Roman"/>
          <w:b/>
          <w:bCs/>
          <w:noProof/>
          <w:kern w:val="0"/>
        </w:rPr>
        <w:t>5</w:t>
      </w:r>
      <w:r w:rsidRPr="004441E6">
        <w:rPr>
          <w:rFonts w:ascii="Cambria" w:hAnsi="Cambria" w:cs="Times New Roman"/>
          <w:noProof/>
          <w:kern w:val="0"/>
        </w:rPr>
        <w:t>, 1 p. 63–72.</w:t>
      </w:r>
    </w:p>
    <w:p w14:paraId="2CDEE446" w14:textId="77777777" w:rsidR="004441E6" w:rsidRPr="004441E6" w:rsidRDefault="004441E6" w:rsidP="004441E6">
      <w:pPr>
        <w:widowControl w:val="0"/>
        <w:autoSpaceDE w:val="0"/>
        <w:autoSpaceDN w:val="0"/>
        <w:adjustRightInd w:val="0"/>
        <w:spacing w:after="0" w:line="240" w:lineRule="auto"/>
        <w:ind w:left="640" w:hanging="640"/>
        <w:rPr>
          <w:rFonts w:ascii="Cambria" w:hAnsi="Cambria" w:cs="Times New Roman"/>
          <w:noProof/>
          <w:kern w:val="0"/>
        </w:rPr>
      </w:pPr>
      <w:r w:rsidRPr="004441E6">
        <w:rPr>
          <w:rFonts w:ascii="Cambria" w:hAnsi="Cambria" w:cs="Times New Roman"/>
          <w:noProof/>
          <w:kern w:val="0"/>
        </w:rPr>
        <w:t>[11]</w:t>
      </w:r>
      <w:r w:rsidRPr="004441E6">
        <w:rPr>
          <w:rFonts w:ascii="Cambria" w:hAnsi="Cambria" w:cs="Times New Roman"/>
          <w:noProof/>
          <w:kern w:val="0"/>
        </w:rPr>
        <w:tab/>
        <w:t xml:space="preserve">Hartini S Fatliana A N Handayani N U Wicaksono P A Ramadan B S and Matsumoto T, 2024 Life cycle assessment and life cycle cost of tofu production and its extended recycling scenario. </w:t>
      </w:r>
      <w:r w:rsidRPr="004441E6">
        <w:rPr>
          <w:rFonts w:ascii="Cambria" w:hAnsi="Cambria" w:cs="Times New Roman"/>
          <w:i/>
          <w:iCs/>
          <w:noProof/>
          <w:kern w:val="0"/>
        </w:rPr>
        <w:t>Glob. J. Environ. Sci. Manag.</w:t>
      </w:r>
      <w:r w:rsidRPr="004441E6">
        <w:rPr>
          <w:rFonts w:ascii="Cambria" w:hAnsi="Cambria" w:cs="Times New Roman"/>
          <w:noProof/>
          <w:kern w:val="0"/>
        </w:rPr>
        <w:t xml:space="preserve"> </w:t>
      </w:r>
      <w:r w:rsidRPr="004441E6">
        <w:rPr>
          <w:rFonts w:ascii="Cambria" w:hAnsi="Cambria" w:cs="Times New Roman"/>
          <w:b/>
          <w:bCs/>
          <w:noProof/>
          <w:kern w:val="0"/>
        </w:rPr>
        <w:t>10</w:t>
      </w:r>
      <w:r w:rsidRPr="004441E6">
        <w:rPr>
          <w:rFonts w:ascii="Cambria" w:hAnsi="Cambria" w:cs="Times New Roman"/>
          <w:noProof/>
          <w:kern w:val="0"/>
        </w:rPr>
        <w:t>, 2 p. 487.</w:t>
      </w:r>
    </w:p>
    <w:p w14:paraId="7DE8201A" w14:textId="77777777" w:rsidR="004441E6" w:rsidRPr="004441E6" w:rsidRDefault="004441E6" w:rsidP="004441E6">
      <w:pPr>
        <w:widowControl w:val="0"/>
        <w:autoSpaceDE w:val="0"/>
        <w:autoSpaceDN w:val="0"/>
        <w:adjustRightInd w:val="0"/>
        <w:spacing w:after="0" w:line="240" w:lineRule="auto"/>
        <w:ind w:left="640" w:hanging="640"/>
        <w:rPr>
          <w:rFonts w:ascii="Cambria" w:hAnsi="Cambria" w:cs="Times New Roman"/>
          <w:noProof/>
          <w:kern w:val="0"/>
        </w:rPr>
      </w:pPr>
      <w:r w:rsidRPr="004441E6">
        <w:rPr>
          <w:rFonts w:ascii="Cambria" w:hAnsi="Cambria" w:cs="Times New Roman"/>
          <w:noProof/>
          <w:kern w:val="0"/>
        </w:rPr>
        <w:t>[12]</w:t>
      </w:r>
      <w:r w:rsidRPr="004441E6">
        <w:rPr>
          <w:rFonts w:ascii="Cambria" w:hAnsi="Cambria" w:cs="Times New Roman"/>
          <w:noProof/>
          <w:kern w:val="0"/>
        </w:rPr>
        <w:tab/>
        <w:t xml:space="preserve">Saavedra-Rubio K Thonemann N Crenna E Lemoine B Caliandro P and Laurent A, 2022 Stepwise guidance for data collection in the life cycle inventory (LCI) phase: Building technology-related LCI blocks </w:t>
      </w:r>
      <w:r w:rsidRPr="004441E6">
        <w:rPr>
          <w:rFonts w:ascii="Cambria" w:hAnsi="Cambria" w:cs="Times New Roman"/>
          <w:i/>
          <w:iCs/>
          <w:noProof/>
          <w:kern w:val="0"/>
        </w:rPr>
        <w:t>J. Clean. Prod.</w:t>
      </w:r>
      <w:r w:rsidRPr="004441E6">
        <w:rPr>
          <w:rFonts w:ascii="Cambria" w:hAnsi="Cambria" w:cs="Times New Roman"/>
          <w:noProof/>
          <w:kern w:val="0"/>
        </w:rPr>
        <w:t xml:space="preserve"> </w:t>
      </w:r>
      <w:r w:rsidRPr="004441E6">
        <w:rPr>
          <w:rFonts w:ascii="Cambria" w:hAnsi="Cambria" w:cs="Times New Roman"/>
          <w:b/>
          <w:bCs/>
          <w:noProof/>
          <w:kern w:val="0"/>
        </w:rPr>
        <w:t>366</w:t>
      </w:r>
      <w:r w:rsidRPr="004441E6">
        <w:rPr>
          <w:rFonts w:ascii="Cambria" w:hAnsi="Cambria" w:cs="Times New Roman"/>
          <w:noProof/>
          <w:kern w:val="0"/>
        </w:rPr>
        <w:t xml:space="preserve"> p. 132903.</w:t>
      </w:r>
    </w:p>
    <w:p w14:paraId="4D247B02" w14:textId="77777777" w:rsidR="004441E6" w:rsidRPr="004441E6" w:rsidRDefault="004441E6" w:rsidP="004441E6">
      <w:pPr>
        <w:widowControl w:val="0"/>
        <w:autoSpaceDE w:val="0"/>
        <w:autoSpaceDN w:val="0"/>
        <w:adjustRightInd w:val="0"/>
        <w:spacing w:after="0" w:line="240" w:lineRule="auto"/>
        <w:ind w:left="640" w:hanging="640"/>
        <w:rPr>
          <w:rFonts w:ascii="Cambria" w:hAnsi="Cambria" w:cs="Times New Roman"/>
          <w:noProof/>
          <w:kern w:val="0"/>
        </w:rPr>
      </w:pPr>
      <w:r w:rsidRPr="004441E6">
        <w:rPr>
          <w:rFonts w:ascii="Cambria" w:hAnsi="Cambria" w:cs="Times New Roman"/>
          <w:noProof/>
          <w:kern w:val="0"/>
        </w:rPr>
        <w:t>[13]</w:t>
      </w:r>
      <w:r w:rsidRPr="004441E6">
        <w:rPr>
          <w:rFonts w:ascii="Cambria" w:hAnsi="Cambria" w:cs="Times New Roman"/>
          <w:noProof/>
          <w:kern w:val="0"/>
        </w:rPr>
        <w:tab/>
        <w:t xml:space="preserve">Bjørnbet M M and Vildåsen S S, 2021 Life cycle assessment to ensure sustainability of circular business models in manufacturing </w:t>
      </w:r>
      <w:r w:rsidRPr="004441E6">
        <w:rPr>
          <w:rFonts w:ascii="Cambria" w:hAnsi="Cambria" w:cs="Times New Roman"/>
          <w:i/>
          <w:iCs/>
          <w:noProof/>
          <w:kern w:val="0"/>
        </w:rPr>
        <w:t>Sustainability</w:t>
      </w:r>
      <w:r w:rsidRPr="004441E6">
        <w:rPr>
          <w:rFonts w:ascii="Cambria" w:hAnsi="Cambria" w:cs="Times New Roman"/>
          <w:noProof/>
          <w:kern w:val="0"/>
        </w:rPr>
        <w:t xml:space="preserve"> </w:t>
      </w:r>
      <w:r w:rsidRPr="004441E6">
        <w:rPr>
          <w:rFonts w:ascii="Cambria" w:hAnsi="Cambria" w:cs="Times New Roman"/>
          <w:b/>
          <w:bCs/>
          <w:noProof/>
          <w:kern w:val="0"/>
        </w:rPr>
        <w:t>13</w:t>
      </w:r>
      <w:r w:rsidRPr="004441E6">
        <w:rPr>
          <w:rFonts w:ascii="Cambria" w:hAnsi="Cambria" w:cs="Times New Roman"/>
          <w:noProof/>
          <w:kern w:val="0"/>
        </w:rPr>
        <w:t>, 19 p. 11014.</w:t>
      </w:r>
    </w:p>
    <w:p w14:paraId="0B8FD56B" w14:textId="77777777" w:rsidR="004441E6" w:rsidRPr="004441E6" w:rsidRDefault="004441E6" w:rsidP="004441E6">
      <w:pPr>
        <w:widowControl w:val="0"/>
        <w:autoSpaceDE w:val="0"/>
        <w:autoSpaceDN w:val="0"/>
        <w:adjustRightInd w:val="0"/>
        <w:spacing w:after="0" w:line="240" w:lineRule="auto"/>
        <w:ind w:left="640" w:hanging="640"/>
        <w:rPr>
          <w:rFonts w:ascii="Cambria" w:hAnsi="Cambria" w:cs="Times New Roman"/>
          <w:noProof/>
          <w:kern w:val="0"/>
        </w:rPr>
      </w:pPr>
      <w:r w:rsidRPr="004441E6">
        <w:rPr>
          <w:rFonts w:ascii="Cambria" w:hAnsi="Cambria" w:cs="Times New Roman"/>
          <w:noProof/>
          <w:kern w:val="0"/>
        </w:rPr>
        <w:t>[14]</w:t>
      </w:r>
      <w:r w:rsidRPr="004441E6">
        <w:rPr>
          <w:rFonts w:ascii="Cambria" w:hAnsi="Cambria" w:cs="Times New Roman"/>
          <w:noProof/>
          <w:kern w:val="0"/>
        </w:rPr>
        <w:tab/>
        <w:t xml:space="preserve">Sari I P Kuniawan W and Sia F L, 2021 Environmental impact of tofu production in West Jakarta using a life cycle assessment approach in </w:t>
      </w:r>
      <w:r w:rsidRPr="004441E6">
        <w:rPr>
          <w:rFonts w:ascii="Cambria" w:hAnsi="Cambria" w:cs="Times New Roman"/>
          <w:i/>
          <w:iCs/>
          <w:noProof/>
          <w:kern w:val="0"/>
        </w:rPr>
        <w:t>IOP Conference Series: Earth and Environmental Science</w:t>
      </w:r>
      <w:r w:rsidRPr="004441E6">
        <w:rPr>
          <w:rFonts w:ascii="Cambria" w:hAnsi="Cambria" w:cs="Times New Roman"/>
          <w:noProof/>
          <w:kern w:val="0"/>
        </w:rPr>
        <w:t xml:space="preserve"> </w:t>
      </w:r>
      <w:r w:rsidRPr="004441E6">
        <w:rPr>
          <w:rFonts w:ascii="Cambria" w:hAnsi="Cambria" w:cs="Times New Roman"/>
          <w:b/>
          <w:bCs/>
          <w:noProof/>
          <w:kern w:val="0"/>
        </w:rPr>
        <w:t>896</w:t>
      </w:r>
      <w:r w:rsidRPr="004441E6">
        <w:rPr>
          <w:rFonts w:ascii="Cambria" w:hAnsi="Cambria" w:cs="Times New Roman"/>
          <w:noProof/>
          <w:kern w:val="0"/>
        </w:rPr>
        <w:t>, 1 p. 12050.</w:t>
      </w:r>
    </w:p>
    <w:p w14:paraId="27FB2D9C" w14:textId="77777777" w:rsidR="004441E6" w:rsidRPr="004441E6" w:rsidRDefault="004441E6" w:rsidP="004441E6">
      <w:pPr>
        <w:widowControl w:val="0"/>
        <w:autoSpaceDE w:val="0"/>
        <w:autoSpaceDN w:val="0"/>
        <w:adjustRightInd w:val="0"/>
        <w:spacing w:after="0" w:line="240" w:lineRule="auto"/>
        <w:ind w:left="640" w:hanging="640"/>
        <w:rPr>
          <w:rFonts w:ascii="Cambria" w:hAnsi="Cambria" w:cs="Times New Roman"/>
          <w:noProof/>
          <w:kern w:val="0"/>
        </w:rPr>
      </w:pPr>
      <w:r w:rsidRPr="004441E6">
        <w:rPr>
          <w:rFonts w:ascii="Cambria" w:hAnsi="Cambria" w:cs="Times New Roman"/>
          <w:noProof/>
          <w:kern w:val="0"/>
        </w:rPr>
        <w:t>[15]</w:t>
      </w:r>
      <w:r w:rsidRPr="004441E6">
        <w:rPr>
          <w:rFonts w:ascii="Cambria" w:hAnsi="Cambria" w:cs="Times New Roman"/>
          <w:noProof/>
          <w:kern w:val="0"/>
        </w:rPr>
        <w:tab/>
        <w:t xml:space="preserve">Seroja R Effendi H and Hariyadi S, 2018 Tofu wastewater treatment using vetiver grass (Vetiveria zizanioides) and zeliac </w:t>
      </w:r>
      <w:r w:rsidRPr="004441E6">
        <w:rPr>
          <w:rFonts w:ascii="Cambria" w:hAnsi="Cambria" w:cs="Times New Roman"/>
          <w:i/>
          <w:iCs/>
          <w:noProof/>
          <w:kern w:val="0"/>
        </w:rPr>
        <w:t>Appl. water Sci.</w:t>
      </w:r>
      <w:r w:rsidRPr="004441E6">
        <w:rPr>
          <w:rFonts w:ascii="Cambria" w:hAnsi="Cambria" w:cs="Times New Roman"/>
          <w:noProof/>
          <w:kern w:val="0"/>
        </w:rPr>
        <w:t xml:space="preserve"> </w:t>
      </w:r>
      <w:r w:rsidRPr="004441E6">
        <w:rPr>
          <w:rFonts w:ascii="Cambria" w:hAnsi="Cambria" w:cs="Times New Roman"/>
          <w:b/>
          <w:bCs/>
          <w:noProof/>
          <w:kern w:val="0"/>
        </w:rPr>
        <w:t>8</w:t>
      </w:r>
      <w:r w:rsidRPr="004441E6">
        <w:rPr>
          <w:rFonts w:ascii="Cambria" w:hAnsi="Cambria" w:cs="Times New Roman"/>
          <w:noProof/>
          <w:kern w:val="0"/>
        </w:rPr>
        <w:t>, 1 p. 2.</w:t>
      </w:r>
    </w:p>
    <w:p w14:paraId="6A1174F0" w14:textId="77777777" w:rsidR="004441E6" w:rsidRPr="004441E6" w:rsidRDefault="004441E6" w:rsidP="004441E6">
      <w:pPr>
        <w:widowControl w:val="0"/>
        <w:autoSpaceDE w:val="0"/>
        <w:autoSpaceDN w:val="0"/>
        <w:adjustRightInd w:val="0"/>
        <w:spacing w:after="0" w:line="240" w:lineRule="auto"/>
        <w:ind w:left="640" w:hanging="640"/>
        <w:rPr>
          <w:rFonts w:ascii="Cambria" w:hAnsi="Cambria" w:cs="Times New Roman"/>
          <w:noProof/>
          <w:kern w:val="0"/>
        </w:rPr>
      </w:pPr>
      <w:r w:rsidRPr="004441E6">
        <w:rPr>
          <w:rFonts w:ascii="Cambria" w:hAnsi="Cambria" w:cs="Times New Roman"/>
          <w:noProof/>
          <w:kern w:val="0"/>
        </w:rPr>
        <w:t>[16]</w:t>
      </w:r>
      <w:r w:rsidRPr="004441E6">
        <w:rPr>
          <w:rFonts w:ascii="Cambria" w:hAnsi="Cambria" w:cs="Times New Roman"/>
          <w:noProof/>
          <w:kern w:val="0"/>
        </w:rPr>
        <w:tab/>
        <w:t xml:space="preserve">Mir B A Nurdiawati A and Al-Ghamdi S G, 2025 Assessing the environmental impact of freshwater use in LCA: established practices and current methods </w:t>
      </w:r>
      <w:r w:rsidRPr="004441E6">
        <w:rPr>
          <w:rFonts w:ascii="Cambria" w:hAnsi="Cambria" w:cs="Times New Roman"/>
          <w:i/>
          <w:iCs/>
          <w:noProof/>
          <w:kern w:val="0"/>
        </w:rPr>
        <w:t>Environ. Sci. Water Res. Technol.</w:t>
      </w:r>
      <w:r w:rsidRPr="004441E6">
        <w:rPr>
          <w:rFonts w:ascii="Cambria" w:hAnsi="Cambria" w:cs="Times New Roman"/>
          <w:noProof/>
          <w:kern w:val="0"/>
        </w:rPr>
        <w:t xml:space="preserve"> </w:t>
      </w:r>
      <w:r w:rsidRPr="004441E6">
        <w:rPr>
          <w:rFonts w:ascii="Cambria" w:hAnsi="Cambria" w:cs="Times New Roman"/>
          <w:b/>
          <w:bCs/>
          <w:noProof/>
          <w:kern w:val="0"/>
        </w:rPr>
        <w:t>11</w:t>
      </w:r>
      <w:r w:rsidRPr="004441E6">
        <w:rPr>
          <w:rFonts w:ascii="Cambria" w:hAnsi="Cambria" w:cs="Times New Roman"/>
          <w:noProof/>
          <w:kern w:val="0"/>
        </w:rPr>
        <w:t>, 2 p. 196–221.</w:t>
      </w:r>
    </w:p>
    <w:p w14:paraId="3AC00F07" w14:textId="77777777" w:rsidR="004441E6" w:rsidRPr="004441E6" w:rsidRDefault="004441E6" w:rsidP="004441E6">
      <w:pPr>
        <w:widowControl w:val="0"/>
        <w:autoSpaceDE w:val="0"/>
        <w:autoSpaceDN w:val="0"/>
        <w:adjustRightInd w:val="0"/>
        <w:spacing w:after="0" w:line="240" w:lineRule="auto"/>
        <w:ind w:left="640" w:hanging="640"/>
        <w:rPr>
          <w:rFonts w:ascii="Cambria" w:hAnsi="Cambria" w:cs="Times New Roman"/>
          <w:noProof/>
          <w:kern w:val="0"/>
        </w:rPr>
      </w:pPr>
      <w:r w:rsidRPr="004441E6">
        <w:rPr>
          <w:rFonts w:ascii="Cambria" w:hAnsi="Cambria" w:cs="Times New Roman"/>
          <w:noProof/>
          <w:kern w:val="0"/>
        </w:rPr>
        <w:t>[17]</w:t>
      </w:r>
      <w:r w:rsidRPr="004441E6">
        <w:rPr>
          <w:rFonts w:ascii="Cambria" w:hAnsi="Cambria" w:cs="Times New Roman"/>
          <w:noProof/>
          <w:kern w:val="0"/>
        </w:rPr>
        <w:tab/>
        <w:t xml:space="preserve">Satar I and Permadi A, 2022 Treating The Tofu Wastewater (TWW) using a Green Technology of Microbial Fuel Cell (MFC) System </w:t>
      </w:r>
      <w:r w:rsidRPr="004441E6">
        <w:rPr>
          <w:rFonts w:ascii="Cambria" w:hAnsi="Cambria" w:cs="Times New Roman"/>
          <w:i/>
          <w:iCs/>
          <w:noProof/>
          <w:kern w:val="0"/>
        </w:rPr>
        <w:t>Indones. J. Environ. Manag. Sustain.</w:t>
      </w:r>
      <w:r w:rsidRPr="004441E6">
        <w:rPr>
          <w:rFonts w:ascii="Cambria" w:hAnsi="Cambria" w:cs="Times New Roman"/>
          <w:noProof/>
          <w:kern w:val="0"/>
        </w:rPr>
        <w:t xml:space="preserve"> </w:t>
      </w:r>
      <w:r w:rsidRPr="004441E6">
        <w:rPr>
          <w:rFonts w:ascii="Cambria" w:hAnsi="Cambria" w:cs="Times New Roman"/>
          <w:b/>
          <w:bCs/>
          <w:noProof/>
          <w:kern w:val="0"/>
        </w:rPr>
        <w:t>6</w:t>
      </w:r>
      <w:r w:rsidRPr="004441E6">
        <w:rPr>
          <w:rFonts w:ascii="Cambria" w:hAnsi="Cambria" w:cs="Times New Roman"/>
          <w:noProof/>
          <w:kern w:val="0"/>
        </w:rPr>
        <w:t>, 1 p. 1–6.</w:t>
      </w:r>
    </w:p>
    <w:p w14:paraId="750D5256" w14:textId="77777777" w:rsidR="004441E6" w:rsidRPr="004441E6" w:rsidRDefault="004441E6" w:rsidP="004441E6">
      <w:pPr>
        <w:widowControl w:val="0"/>
        <w:autoSpaceDE w:val="0"/>
        <w:autoSpaceDN w:val="0"/>
        <w:adjustRightInd w:val="0"/>
        <w:spacing w:after="0" w:line="240" w:lineRule="auto"/>
        <w:ind w:left="640" w:hanging="640"/>
        <w:rPr>
          <w:rFonts w:ascii="Cambria" w:hAnsi="Cambria"/>
          <w:noProof/>
        </w:rPr>
      </w:pPr>
      <w:r w:rsidRPr="004441E6">
        <w:rPr>
          <w:rFonts w:ascii="Cambria" w:hAnsi="Cambria" w:cs="Times New Roman"/>
          <w:noProof/>
          <w:kern w:val="0"/>
        </w:rPr>
        <w:t>[18]</w:t>
      </w:r>
      <w:r w:rsidRPr="004441E6">
        <w:rPr>
          <w:rFonts w:ascii="Cambria" w:hAnsi="Cambria" w:cs="Times New Roman"/>
          <w:noProof/>
          <w:kern w:val="0"/>
        </w:rPr>
        <w:tab/>
        <w:t xml:space="preserve">Ningsih L M Mazancová J Hasanudin U and Roubík H, 2026 Energy audits in the tofu industry; an evaluation of energy consumption towards a green and sustainable industry: LM Ningsih et al. </w:t>
      </w:r>
      <w:r w:rsidRPr="004441E6">
        <w:rPr>
          <w:rFonts w:ascii="Cambria" w:hAnsi="Cambria" w:cs="Times New Roman"/>
          <w:i/>
          <w:iCs/>
          <w:noProof/>
          <w:kern w:val="0"/>
        </w:rPr>
        <w:t>Environ. Dev. Sustain.</w:t>
      </w:r>
      <w:r w:rsidRPr="004441E6">
        <w:rPr>
          <w:rFonts w:ascii="Cambria" w:hAnsi="Cambria" w:cs="Times New Roman"/>
          <w:noProof/>
          <w:kern w:val="0"/>
        </w:rPr>
        <w:t xml:space="preserve"> </w:t>
      </w:r>
      <w:r w:rsidRPr="004441E6">
        <w:rPr>
          <w:rFonts w:ascii="Cambria" w:hAnsi="Cambria" w:cs="Times New Roman"/>
          <w:b/>
          <w:bCs/>
          <w:noProof/>
          <w:kern w:val="0"/>
        </w:rPr>
        <w:t>28</w:t>
      </w:r>
      <w:r w:rsidRPr="004441E6">
        <w:rPr>
          <w:rFonts w:ascii="Cambria" w:hAnsi="Cambria" w:cs="Times New Roman"/>
          <w:noProof/>
          <w:kern w:val="0"/>
        </w:rPr>
        <w:t>, 2 p. 3737–3759.</w:t>
      </w:r>
    </w:p>
    <w:p w14:paraId="76891F61" w14:textId="21F8D12B" w:rsidR="009E5C01" w:rsidRPr="006023BC" w:rsidRDefault="009E5C01" w:rsidP="009E5C01">
      <w:pPr>
        <w:spacing w:after="0" w:line="240" w:lineRule="auto"/>
        <w:jc w:val="both"/>
        <w:rPr>
          <w:rFonts w:ascii="Cambria" w:hAnsi="Cambria"/>
          <w:sz w:val="22"/>
          <w:szCs w:val="22"/>
        </w:rPr>
      </w:pPr>
      <w:r w:rsidRPr="004441E6">
        <w:rPr>
          <w:rFonts w:ascii="Cambria" w:hAnsi="Cambria"/>
        </w:rPr>
        <w:fldChar w:fldCharType="end"/>
      </w:r>
    </w:p>
    <w:sectPr w:rsidR="009E5C01" w:rsidRPr="006023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249"/>
    <w:multiLevelType w:val="multilevel"/>
    <w:tmpl w:val="ABF2F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84F10"/>
    <w:multiLevelType w:val="multilevel"/>
    <w:tmpl w:val="DA28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56A8B"/>
    <w:multiLevelType w:val="multilevel"/>
    <w:tmpl w:val="55620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A2C08"/>
    <w:multiLevelType w:val="multilevel"/>
    <w:tmpl w:val="D72EA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65210A"/>
    <w:multiLevelType w:val="multilevel"/>
    <w:tmpl w:val="86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670998">
    <w:abstractNumId w:val="1"/>
  </w:num>
  <w:num w:numId="2" w16cid:durableId="430203637">
    <w:abstractNumId w:val="3"/>
  </w:num>
  <w:num w:numId="3" w16cid:durableId="823395209">
    <w:abstractNumId w:val="0"/>
  </w:num>
  <w:num w:numId="4" w16cid:durableId="426998645">
    <w:abstractNumId w:val="4"/>
  </w:num>
  <w:num w:numId="5" w16cid:durableId="1584680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8F3"/>
    <w:rsid w:val="00012498"/>
    <w:rsid w:val="00253685"/>
    <w:rsid w:val="002F28F3"/>
    <w:rsid w:val="00347D65"/>
    <w:rsid w:val="004441E6"/>
    <w:rsid w:val="005A4A5F"/>
    <w:rsid w:val="006023BC"/>
    <w:rsid w:val="00644C93"/>
    <w:rsid w:val="00683648"/>
    <w:rsid w:val="0099520E"/>
    <w:rsid w:val="009E5C01"/>
    <w:rsid w:val="00AA6310"/>
    <w:rsid w:val="00DE32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43362"/>
  <w15:chartTrackingRefBased/>
  <w15:docId w15:val="{CBF965CA-EB8E-49A4-8D7E-DC95BB9BF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8F3"/>
    <w:rPr>
      <w:rFonts w:eastAsiaTheme="majorEastAsia" w:cstheme="majorBidi"/>
      <w:color w:val="272727" w:themeColor="text1" w:themeTint="D8"/>
    </w:rPr>
  </w:style>
  <w:style w:type="paragraph" w:styleId="Title">
    <w:name w:val="Title"/>
    <w:basedOn w:val="Normal"/>
    <w:next w:val="Normal"/>
    <w:link w:val="TitleChar"/>
    <w:uiPriority w:val="10"/>
    <w:qFormat/>
    <w:rsid w:val="002F2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8F3"/>
    <w:pPr>
      <w:spacing w:before="160"/>
      <w:jc w:val="center"/>
    </w:pPr>
    <w:rPr>
      <w:i/>
      <w:iCs/>
      <w:color w:val="404040" w:themeColor="text1" w:themeTint="BF"/>
    </w:rPr>
  </w:style>
  <w:style w:type="character" w:customStyle="1" w:styleId="QuoteChar">
    <w:name w:val="Quote Char"/>
    <w:basedOn w:val="DefaultParagraphFont"/>
    <w:link w:val="Quote"/>
    <w:uiPriority w:val="29"/>
    <w:rsid w:val="002F28F3"/>
    <w:rPr>
      <w:i/>
      <w:iCs/>
      <w:color w:val="404040" w:themeColor="text1" w:themeTint="BF"/>
    </w:rPr>
  </w:style>
  <w:style w:type="paragraph" w:styleId="ListParagraph">
    <w:name w:val="List Paragraph"/>
    <w:basedOn w:val="Normal"/>
    <w:uiPriority w:val="34"/>
    <w:qFormat/>
    <w:rsid w:val="002F28F3"/>
    <w:pPr>
      <w:ind w:left="720"/>
      <w:contextualSpacing/>
    </w:pPr>
  </w:style>
  <w:style w:type="character" w:styleId="IntenseEmphasis">
    <w:name w:val="Intense Emphasis"/>
    <w:basedOn w:val="DefaultParagraphFont"/>
    <w:uiPriority w:val="21"/>
    <w:qFormat/>
    <w:rsid w:val="002F28F3"/>
    <w:rPr>
      <w:i/>
      <w:iCs/>
      <w:color w:val="0F4761" w:themeColor="accent1" w:themeShade="BF"/>
    </w:rPr>
  </w:style>
  <w:style w:type="paragraph" w:styleId="IntenseQuote">
    <w:name w:val="Intense Quote"/>
    <w:basedOn w:val="Normal"/>
    <w:next w:val="Normal"/>
    <w:link w:val="IntenseQuoteChar"/>
    <w:uiPriority w:val="30"/>
    <w:qFormat/>
    <w:rsid w:val="002F2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8F3"/>
    <w:rPr>
      <w:i/>
      <w:iCs/>
      <w:color w:val="0F4761" w:themeColor="accent1" w:themeShade="BF"/>
    </w:rPr>
  </w:style>
  <w:style w:type="character" w:styleId="IntenseReference">
    <w:name w:val="Intense Reference"/>
    <w:basedOn w:val="DefaultParagraphFont"/>
    <w:uiPriority w:val="32"/>
    <w:qFormat/>
    <w:rsid w:val="002F28F3"/>
    <w:rPr>
      <w:b/>
      <w:bCs/>
      <w:smallCaps/>
      <w:color w:val="0F4761" w:themeColor="accent1" w:themeShade="BF"/>
      <w:spacing w:val="5"/>
    </w:rPr>
  </w:style>
  <w:style w:type="table" w:styleId="TableGrid">
    <w:name w:val="Table Grid"/>
    <w:basedOn w:val="TableNormal"/>
    <w:uiPriority w:val="39"/>
    <w:rsid w:val="000124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A4F26B-A813-4644-AD7A-A76957D1F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10</Pages>
  <Words>14813</Words>
  <Characters>84435</Characters>
  <Application>Microsoft Office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Jabbar</dc:creator>
  <cp:keywords/>
  <dc:description/>
  <cp:lastModifiedBy>Abdul Jabbar</cp:lastModifiedBy>
  <cp:revision>4</cp:revision>
  <dcterms:created xsi:type="dcterms:W3CDTF">2026-05-28T14:14:00Z</dcterms:created>
  <dcterms:modified xsi:type="dcterms:W3CDTF">2026-05-28T16:29:00Z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 edition</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http://www.zotero.org/styles/ecological-engineering</vt:lpwstr>
  </property>
  <property fmtid="{D5CDD505-2E9C-101B-9397-08002B2CF9AE}" pid="9" name="Mendeley Recent Style Name 3_1">
    <vt:lpwstr>Ecological Engineering</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http://csl.mendeley.com/styles/411175231/iop-454RI</vt:lpwstr>
  </property>
  <property fmtid="{D5CDD505-2E9C-101B-9397-08002B2CF9AE}" pid="15" name="Mendeley Recent Style Name 6_1">
    <vt:lpwstr>IOP AS Ahmar</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916d125f-adfd-3bd4-a475-cf869cae7af6</vt:lpwstr>
  </property>
  <property fmtid="{D5CDD505-2E9C-101B-9397-08002B2CF9AE}" pid="24" name="Mendeley Citation Style_1">
    <vt:lpwstr>http://csl.mendeley.com/styles/411175231/iop-454RI</vt:lpwstr>
  </property>
</Properties>
</file>