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116" w:rsidRPr="004337AB" w:rsidRDefault="00FF2E29" w:rsidP="00BB605A">
      <w:pPr>
        <w:spacing w:after="0"/>
        <w:jc w:val="both"/>
        <w:rPr>
          <w:rFonts w:ascii="Museo Sans 500" w:hAnsi="Museo Sans 500" w:cs="Open Sans"/>
          <w:b/>
          <w:sz w:val="21"/>
          <w:szCs w:val="21"/>
          <w:lang w:val="en-US"/>
        </w:rPr>
      </w:pPr>
      <w:r>
        <w:rPr>
          <w:rFonts w:ascii="Museo Sans 500" w:hAnsi="Museo Sans 500" w:cs="Open Sans"/>
          <w:b/>
          <w:sz w:val="24"/>
          <w:szCs w:val="21"/>
          <w:lang w:val="en-US"/>
        </w:rPr>
        <w:t>Menerawang</w:t>
      </w:r>
      <w:r w:rsidR="007A6B7E">
        <w:rPr>
          <w:rFonts w:ascii="Museo Sans 500" w:hAnsi="Museo Sans 500" w:cs="Open Sans"/>
          <w:b/>
          <w:sz w:val="24"/>
          <w:szCs w:val="21"/>
          <w:lang w:val="en-US"/>
        </w:rPr>
        <w:t xml:space="preserve"> </w:t>
      </w:r>
      <w:r w:rsidR="00CB2B76">
        <w:rPr>
          <w:rFonts w:ascii="Museo Sans 500" w:hAnsi="Museo Sans 500" w:cs="Open Sans"/>
          <w:b/>
          <w:sz w:val="24"/>
          <w:szCs w:val="21"/>
          <w:lang w:val="en-US"/>
        </w:rPr>
        <w:t>Kesenjangan dari</w:t>
      </w:r>
      <w:r w:rsidR="008404D9">
        <w:rPr>
          <w:rFonts w:ascii="Museo Sans 500" w:hAnsi="Museo Sans 500" w:cs="Open Sans"/>
          <w:b/>
          <w:sz w:val="24"/>
          <w:szCs w:val="21"/>
          <w:lang w:val="en-US"/>
        </w:rPr>
        <w:t xml:space="preserve"> </w:t>
      </w:r>
      <w:r w:rsidR="00CB2B76">
        <w:rPr>
          <w:rFonts w:ascii="Museo Sans 500" w:hAnsi="Museo Sans 500" w:cs="Open Sans"/>
          <w:b/>
          <w:sz w:val="24"/>
          <w:szCs w:val="21"/>
          <w:lang w:val="en-US"/>
        </w:rPr>
        <w:t>Indeks Pembangunan Manusia</w:t>
      </w:r>
      <w:r w:rsidR="004337AB">
        <w:rPr>
          <w:rFonts w:ascii="Museo Sans 500" w:hAnsi="Museo Sans 500" w:cs="Open Sans"/>
          <w:b/>
          <w:sz w:val="24"/>
          <w:szCs w:val="21"/>
          <w:lang w:val="en-US"/>
        </w:rPr>
        <w:t xml:space="preserve"> </w:t>
      </w:r>
      <w:r w:rsidR="00CB2B76">
        <w:rPr>
          <w:rFonts w:ascii="Museo Sans 500" w:hAnsi="Museo Sans 500" w:cs="Open Sans"/>
          <w:b/>
          <w:sz w:val="24"/>
          <w:szCs w:val="21"/>
          <w:lang w:val="en-US"/>
        </w:rPr>
        <w:t>di Indonesia</w:t>
      </w:r>
    </w:p>
    <w:p w:rsidR="001E46C6" w:rsidRPr="00C93624" w:rsidRDefault="00A16747" w:rsidP="00BB605A">
      <w:pPr>
        <w:spacing w:after="0"/>
        <w:jc w:val="both"/>
        <w:rPr>
          <w:rFonts w:ascii="Museo Sans 500" w:hAnsi="Museo Sans 500" w:cs="Open Sans"/>
          <w:sz w:val="21"/>
          <w:szCs w:val="21"/>
        </w:rPr>
      </w:pPr>
      <w:r w:rsidRPr="00C93624">
        <w:rPr>
          <w:rFonts w:ascii="Museo Sans 500" w:hAnsi="Museo Sans 500" w:cs="Open Sans"/>
          <w:sz w:val="21"/>
          <w:szCs w:val="21"/>
        </w:rPr>
        <w:t>Berdasarkan Badan Pusat Statistik (BPS), s</w:t>
      </w:r>
      <w:r w:rsidR="001E46C6" w:rsidRPr="00C93624">
        <w:rPr>
          <w:rFonts w:ascii="Museo Sans 500" w:hAnsi="Museo Sans 500" w:cs="Open Sans"/>
          <w:sz w:val="21"/>
          <w:szCs w:val="21"/>
        </w:rPr>
        <w:t>ecara nasional, Indeks Pembangunan Manusia</w:t>
      </w:r>
      <w:r w:rsidR="00055709" w:rsidRPr="00C93624">
        <w:rPr>
          <w:rFonts w:ascii="Museo Sans 500" w:hAnsi="Museo Sans 500" w:cs="Open Sans"/>
          <w:sz w:val="21"/>
          <w:szCs w:val="21"/>
        </w:rPr>
        <w:t xml:space="preserve"> (IPM)</w:t>
      </w:r>
      <w:r w:rsidR="001E46C6" w:rsidRPr="00C93624">
        <w:rPr>
          <w:rFonts w:ascii="Museo Sans 500" w:hAnsi="Museo Sans 500" w:cs="Open Sans"/>
          <w:sz w:val="21"/>
          <w:szCs w:val="21"/>
        </w:rPr>
        <w:t xml:space="preserve"> Indonesia mencapai angka </w:t>
      </w:r>
      <w:r w:rsidR="006E6E88">
        <w:rPr>
          <w:rFonts w:ascii="Museo Sans 500" w:hAnsi="Museo Sans 500" w:cs="Open Sans"/>
          <w:sz w:val="21"/>
          <w:szCs w:val="21"/>
          <w:lang w:val="en-US"/>
        </w:rPr>
        <w:t>70,18</w:t>
      </w:r>
      <w:r w:rsidR="006E6E88">
        <w:rPr>
          <w:rFonts w:ascii="Museo Sans 500" w:hAnsi="Museo Sans 500" w:cs="Open Sans"/>
          <w:sz w:val="21"/>
          <w:szCs w:val="21"/>
        </w:rPr>
        <w:t xml:space="preserve"> pada tahun 201</w:t>
      </w:r>
      <w:r w:rsidR="006E6E88">
        <w:rPr>
          <w:rFonts w:ascii="Museo Sans 500" w:hAnsi="Museo Sans 500" w:cs="Open Sans"/>
          <w:sz w:val="21"/>
          <w:szCs w:val="21"/>
          <w:lang w:val="en-US"/>
        </w:rPr>
        <w:t>6</w:t>
      </w:r>
      <w:r w:rsidR="001E46C6" w:rsidRPr="00C93624">
        <w:rPr>
          <w:rFonts w:ascii="Museo Sans 500" w:hAnsi="Museo Sans 500" w:cs="Open Sans"/>
          <w:sz w:val="21"/>
          <w:szCs w:val="21"/>
        </w:rPr>
        <w:t xml:space="preserve">. </w:t>
      </w:r>
      <w:r w:rsidR="00A76D79">
        <w:rPr>
          <w:rFonts w:ascii="Museo Sans 500" w:hAnsi="Museo Sans 500" w:cs="Open Sans"/>
          <w:sz w:val="21"/>
          <w:szCs w:val="21"/>
          <w:lang w:val="en-US"/>
        </w:rPr>
        <w:t xml:space="preserve">Terdapat sebanyak </w:t>
      </w:r>
      <w:r w:rsidR="001E46C6" w:rsidRPr="00C93624">
        <w:rPr>
          <w:rFonts w:ascii="Museo Sans 500" w:hAnsi="Museo Sans 500" w:cs="Open Sans"/>
          <w:sz w:val="21"/>
          <w:szCs w:val="21"/>
        </w:rPr>
        <w:t>9 provinsi</w:t>
      </w:r>
      <w:r w:rsidR="00A76D79">
        <w:rPr>
          <w:rFonts w:ascii="Museo Sans 500" w:hAnsi="Museo Sans 500" w:cs="Open Sans"/>
          <w:sz w:val="21"/>
          <w:szCs w:val="21"/>
          <w:lang w:val="en-US"/>
        </w:rPr>
        <w:t xml:space="preserve"> yang</w:t>
      </w:r>
      <w:r w:rsidR="001E46C6" w:rsidRPr="00C93624">
        <w:rPr>
          <w:rFonts w:ascii="Museo Sans 500" w:hAnsi="Museo Sans 500" w:cs="Open Sans"/>
          <w:sz w:val="21"/>
          <w:szCs w:val="21"/>
        </w:rPr>
        <w:t xml:space="preserve"> memiliki IPM di atas </w:t>
      </w:r>
      <w:r w:rsidR="00A76D79">
        <w:rPr>
          <w:rFonts w:ascii="Museo Sans 500" w:hAnsi="Museo Sans 500" w:cs="Open Sans"/>
          <w:sz w:val="21"/>
          <w:szCs w:val="21"/>
          <w:lang w:val="en-US"/>
        </w:rPr>
        <w:t>angka</w:t>
      </w:r>
      <w:r w:rsidR="00DC5FFF">
        <w:rPr>
          <w:rFonts w:ascii="Museo Sans 500" w:hAnsi="Museo Sans 500" w:cs="Open Sans"/>
          <w:sz w:val="21"/>
          <w:szCs w:val="21"/>
          <w:lang w:val="en-US"/>
        </w:rPr>
        <w:t xml:space="preserve"> </w:t>
      </w:r>
      <w:r w:rsidR="001E46C6" w:rsidRPr="00C93624">
        <w:rPr>
          <w:rFonts w:ascii="Museo Sans 500" w:hAnsi="Museo Sans 500" w:cs="Open Sans"/>
          <w:sz w:val="21"/>
          <w:szCs w:val="21"/>
        </w:rPr>
        <w:t>nasional dan 25 provinsi</w:t>
      </w:r>
      <w:r w:rsidR="00A76D79">
        <w:rPr>
          <w:rFonts w:ascii="Museo Sans 500" w:hAnsi="Museo Sans 500" w:cs="Open Sans"/>
          <w:sz w:val="21"/>
          <w:szCs w:val="21"/>
          <w:lang w:val="en-US"/>
        </w:rPr>
        <w:t xml:space="preserve"> yang</w:t>
      </w:r>
      <w:r w:rsidR="001E46C6" w:rsidRPr="00C93624">
        <w:rPr>
          <w:rFonts w:ascii="Museo Sans 500" w:hAnsi="Museo Sans 500" w:cs="Open Sans"/>
          <w:sz w:val="21"/>
          <w:szCs w:val="21"/>
        </w:rPr>
        <w:t xml:space="preserve"> memiliki IPM di bawah </w:t>
      </w:r>
      <w:r w:rsidR="00A76D79">
        <w:rPr>
          <w:rFonts w:ascii="Museo Sans 500" w:hAnsi="Museo Sans 500" w:cs="Open Sans"/>
          <w:sz w:val="21"/>
          <w:szCs w:val="21"/>
          <w:lang w:val="en-US"/>
        </w:rPr>
        <w:t>angka nasional</w:t>
      </w:r>
      <w:r w:rsidR="001E46C6" w:rsidRPr="00C93624">
        <w:rPr>
          <w:rFonts w:ascii="Museo Sans 500" w:hAnsi="Museo Sans 500" w:cs="Open Sans"/>
          <w:sz w:val="21"/>
          <w:szCs w:val="21"/>
        </w:rPr>
        <w:t>. DKI Jakarta memilik</w:t>
      </w:r>
      <w:r w:rsidR="006E6E88">
        <w:rPr>
          <w:rFonts w:ascii="Museo Sans 500" w:hAnsi="Museo Sans 500" w:cs="Open Sans"/>
          <w:sz w:val="21"/>
          <w:szCs w:val="21"/>
        </w:rPr>
        <w:t>i IPM tertinggi dengan angka 7</w:t>
      </w:r>
      <w:r w:rsidR="006E6E88">
        <w:rPr>
          <w:rFonts w:ascii="Museo Sans 500" w:hAnsi="Museo Sans 500" w:cs="Open Sans"/>
          <w:sz w:val="21"/>
          <w:szCs w:val="21"/>
          <w:lang w:val="en-US"/>
        </w:rPr>
        <w:t>9,60</w:t>
      </w:r>
      <w:r w:rsidR="001E46C6" w:rsidRPr="00C93624">
        <w:rPr>
          <w:rFonts w:ascii="Museo Sans 500" w:hAnsi="Museo Sans 500" w:cs="Open Sans"/>
          <w:sz w:val="21"/>
          <w:szCs w:val="21"/>
        </w:rPr>
        <w:t xml:space="preserve"> sedangkan Papua memiliki IPM terendah dengan angka </w:t>
      </w:r>
      <w:r w:rsidR="006E6E88">
        <w:rPr>
          <w:rFonts w:ascii="Museo Sans 500" w:hAnsi="Museo Sans 500" w:cs="Open Sans"/>
          <w:sz w:val="21"/>
          <w:szCs w:val="21"/>
          <w:lang w:val="en-US"/>
        </w:rPr>
        <w:t>58,05</w:t>
      </w:r>
      <w:r w:rsidR="001E46C6" w:rsidRPr="00C93624">
        <w:rPr>
          <w:rFonts w:ascii="Museo Sans 500" w:hAnsi="Museo Sans 500" w:cs="Open Sans"/>
          <w:sz w:val="21"/>
          <w:szCs w:val="21"/>
        </w:rPr>
        <w:t xml:space="preserve">. </w:t>
      </w:r>
      <w:r w:rsidR="008E08A9" w:rsidRPr="00C93624">
        <w:rPr>
          <w:rFonts w:ascii="Museo Sans 500" w:hAnsi="Museo Sans 500" w:cs="Open Sans"/>
          <w:sz w:val="21"/>
          <w:szCs w:val="21"/>
        </w:rPr>
        <w:t xml:space="preserve">Dengan perbedaan </w:t>
      </w:r>
      <w:r w:rsidR="006E6E88">
        <w:rPr>
          <w:rFonts w:ascii="Museo Sans 500" w:hAnsi="Museo Sans 500" w:cs="Open Sans"/>
          <w:sz w:val="21"/>
          <w:szCs w:val="21"/>
          <w:lang w:val="en-US"/>
        </w:rPr>
        <w:t>sebesar 21,55</w:t>
      </w:r>
      <w:r w:rsidR="008E08A9" w:rsidRPr="00C93624">
        <w:rPr>
          <w:rFonts w:ascii="Museo Sans 500" w:hAnsi="Museo Sans 500" w:cs="Open Sans"/>
          <w:sz w:val="21"/>
          <w:szCs w:val="21"/>
        </w:rPr>
        <w:t xml:space="preserve"> antara IPM te</w:t>
      </w:r>
      <w:r w:rsidR="009C6B96" w:rsidRPr="00C93624">
        <w:rPr>
          <w:rFonts w:ascii="Museo Sans 500" w:hAnsi="Museo Sans 500" w:cs="Open Sans"/>
          <w:sz w:val="21"/>
          <w:szCs w:val="21"/>
        </w:rPr>
        <w:t>rtinggi dan terendah,</w:t>
      </w:r>
      <w:r w:rsidR="008E08A9" w:rsidRPr="00C93624">
        <w:rPr>
          <w:rFonts w:ascii="Museo Sans 500" w:hAnsi="Museo Sans 500" w:cs="Open Sans"/>
          <w:sz w:val="21"/>
          <w:szCs w:val="21"/>
        </w:rPr>
        <w:t xml:space="preserve"> hal ini menunjukkan bahwa</w:t>
      </w:r>
      <w:r w:rsidR="009C6B96" w:rsidRPr="00C93624">
        <w:rPr>
          <w:rFonts w:ascii="Museo Sans 500" w:hAnsi="Museo Sans 500" w:cs="Open Sans"/>
          <w:sz w:val="21"/>
          <w:szCs w:val="21"/>
        </w:rPr>
        <w:t xml:space="preserve"> kesenjangan</w:t>
      </w:r>
      <w:r w:rsidR="00AB40D8" w:rsidRPr="00C93624">
        <w:rPr>
          <w:rFonts w:ascii="Museo Sans 500" w:hAnsi="Museo Sans 500" w:cs="Open Sans"/>
          <w:sz w:val="21"/>
          <w:szCs w:val="21"/>
        </w:rPr>
        <w:t xml:space="preserve"> antar provinsi</w:t>
      </w:r>
      <w:r w:rsidR="009C6B96" w:rsidRPr="00C93624">
        <w:rPr>
          <w:rFonts w:ascii="Museo Sans 500" w:hAnsi="Museo Sans 500" w:cs="Open Sans"/>
          <w:sz w:val="21"/>
          <w:szCs w:val="21"/>
        </w:rPr>
        <w:t xml:space="preserve"> di Indonesia masih </w:t>
      </w:r>
      <w:r w:rsidR="00EF14EA" w:rsidRPr="00C93624">
        <w:rPr>
          <w:rFonts w:ascii="Museo Sans 500" w:hAnsi="Museo Sans 500" w:cs="Open Sans"/>
          <w:sz w:val="21"/>
          <w:szCs w:val="21"/>
        </w:rPr>
        <w:t xml:space="preserve">cukup </w:t>
      </w:r>
      <w:r w:rsidR="009C6B96" w:rsidRPr="00C93624">
        <w:rPr>
          <w:rFonts w:ascii="Museo Sans 500" w:hAnsi="Museo Sans 500" w:cs="Open Sans"/>
          <w:sz w:val="21"/>
          <w:szCs w:val="21"/>
        </w:rPr>
        <w:t>tinggi.</w:t>
      </w:r>
    </w:p>
    <w:p w:rsidR="00721E41" w:rsidRPr="00C93624" w:rsidRDefault="00721E41" w:rsidP="00BB605A">
      <w:pPr>
        <w:spacing w:after="0"/>
        <w:jc w:val="both"/>
        <w:rPr>
          <w:rFonts w:ascii="Museo Sans 500" w:hAnsi="Museo Sans 500" w:cs="Open Sans"/>
          <w:sz w:val="21"/>
          <w:szCs w:val="21"/>
        </w:rPr>
      </w:pPr>
    </w:p>
    <w:p w:rsidR="00721E41" w:rsidRPr="00C93624" w:rsidRDefault="006E6E88" w:rsidP="00375089">
      <w:pPr>
        <w:spacing w:after="0"/>
        <w:jc w:val="both"/>
        <w:rPr>
          <w:rFonts w:ascii="Museo Sans 500" w:hAnsi="Museo Sans 500" w:cs="Open Sans"/>
          <w:sz w:val="21"/>
          <w:szCs w:val="21"/>
        </w:rPr>
      </w:pPr>
      <w:r>
        <w:rPr>
          <w:rFonts w:ascii="Museo Sans 500" w:hAnsi="Museo Sans 500" w:cs="Open Sans"/>
          <w:sz w:val="21"/>
          <w:szCs w:val="21"/>
          <w:lang w:val="en-US"/>
        </w:rPr>
        <w:drawing>
          <wp:inline distT="0" distB="0" distL="0" distR="0">
            <wp:extent cx="6120130" cy="3060065"/>
            <wp:effectExtent l="19050" t="0" r="0" b="0"/>
            <wp:docPr id="5" name="Picture 3" descr="G:\Project\@example\ipm\figures\ipm-2016-p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roject\@example\ipm\figures\ipm-2016-peta.png"/>
                    <pic:cNvPicPr>
                      <a:picLocks noChangeAspect="1" noChangeArrowheads="1"/>
                    </pic:cNvPicPr>
                  </pic:nvPicPr>
                  <pic:blipFill>
                    <a:blip r:embed="rId5"/>
                    <a:srcRect/>
                    <a:stretch>
                      <a:fillRect/>
                    </a:stretch>
                  </pic:blipFill>
                  <pic:spPr bwMode="auto">
                    <a:xfrm>
                      <a:off x="0" y="0"/>
                      <a:ext cx="6120130" cy="3060065"/>
                    </a:xfrm>
                    <a:prstGeom prst="rect">
                      <a:avLst/>
                    </a:prstGeom>
                    <a:noFill/>
                    <a:ln w="9525">
                      <a:noFill/>
                      <a:miter lim="800000"/>
                      <a:headEnd/>
                      <a:tailEnd/>
                    </a:ln>
                  </pic:spPr>
                </pic:pic>
              </a:graphicData>
            </a:graphic>
          </wp:inline>
        </w:drawing>
      </w:r>
    </w:p>
    <w:p w:rsidR="00AB586B" w:rsidRPr="00C93624" w:rsidRDefault="00AB586B" w:rsidP="00375089">
      <w:pPr>
        <w:spacing w:after="0"/>
        <w:jc w:val="both"/>
        <w:rPr>
          <w:rFonts w:ascii="Museo Sans 500" w:hAnsi="Museo Sans 500" w:cs="Open Sans"/>
          <w:sz w:val="21"/>
          <w:szCs w:val="21"/>
        </w:rPr>
      </w:pPr>
    </w:p>
    <w:p w:rsidR="00D451B8" w:rsidRDefault="006E6E88" w:rsidP="00375089">
      <w:pPr>
        <w:spacing w:after="0"/>
        <w:jc w:val="both"/>
        <w:rPr>
          <w:rFonts w:ascii="Museo Sans 500" w:hAnsi="Museo Sans 500" w:cs="Open Sans"/>
          <w:sz w:val="21"/>
          <w:szCs w:val="21"/>
          <w:lang w:val="en-US"/>
        </w:rPr>
      </w:pPr>
      <w:r>
        <w:rPr>
          <w:rFonts w:ascii="Museo Sans 500" w:hAnsi="Museo Sans 500" w:cs="Open Sans"/>
          <w:sz w:val="21"/>
          <w:szCs w:val="21"/>
          <w:lang w:val="en-US"/>
        </w:rPr>
        <w:t>Berdasarkan UNDP, Indonesia menempati urutan ke-113 dari 188 negara pada tahun 2015 dengan IPM sebesar 68,9</w:t>
      </w:r>
      <w:r w:rsidR="00744AAE">
        <w:rPr>
          <w:rFonts w:ascii="Museo Sans 500" w:hAnsi="Museo Sans 500" w:cs="Open Sans"/>
          <w:sz w:val="21"/>
          <w:szCs w:val="21"/>
          <w:lang w:val="en-US"/>
        </w:rPr>
        <w:t xml:space="preserve"> (sebesar 69,55 berdasarkan data BPS)</w:t>
      </w:r>
      <w:r>
        <w:rPr>
          <w:rFonts w:ascii="Museo Sans 500" w:hAnsi="Museo Sans 500" w:cs="Open Sans"/>
          <w:sz w:val="21"/>
          <w:szCs w:val="21"/>
          <w:lang w:val="en-US"/>
        </w:rPr>
        <w:t>.</w:t>
      </w:r>
      <w:r w:rsidR="00744AAE">
        <w:rPr>
          <w:rFonts w:ascii="Museo Sans 500" w:hAnsi="Museo Sans 500" w:cs="Open Sans"/>
          <w:sz w:val="21"/>
          <w:szCs w:val="21"/>
          <w:lang w:val="en-US"/>
        </w:rPr>
        <w:t xml:space="preserve"> Apabila </w:t>
      </w:r>
      <w:r w:rsidR="00EA34BE">
        <w:rPr>
          <w:rFonts w:ascii="Museo Sans 500" w:hAnsi="Museo Sans 500" w:cs="Open Sans"/>
          <w:sz w:val="21"/>
          <w:szCs w:val="21"/>
          <w:lang w:val="en-US"/>
        </w:rPr>
        <w:t>ditinjau</w:t>
      </w:r>
      <w:r w:rsidR="00744AAE">
        <w:rPr>
          <w:rFonts w:ascii="Museo Sans 500" w:hAnsi="Museo Sans 500" w:cs="Open Sans"/>
          <w:sz w:val="21"/>
          <w:szCs w:val="21"/>
          <w:lang w:val="en-US"/>
        </w:rPr>
        <w:t xml:space="preserve"> dari IPM per provinsi menggunakan data BPS, IPM tertinggi yaitu DKI Jakarta </w:t>
      </w:r>
      <w:r w:rsidR="00BC1770">
        <w:rPr>
          <w:rFonts w:ascii="Museo Sans 500" w:hAnsi="Museo Sans 500" w:cs="Open Sans"/>
          <w:sz w:val="21"/>
          <w:szCs w:val="21"/>
          <w:lang w:val="en-US"/>
        </w:rPr>
        <w:t xml:space="preserve">mampu </w:t>
      </w:r>
      <w:r w:rsidR="00744AAE">
        <w:rPr>
          <w:rFonts w:ascii="Museo Sans 500" w:hAnsi="Museo Sans 500" w:cs="Open Sans"/>
          <w:sz w:val="21"/>
          <w:szCs w:val="21"/>
          <w:lang w:val="en-US"/>
        </w:rPr>
        <w:t>menempati urutan ke-</w:t>
      </w:r>
      <w:r w:rsidR="009B0BFB">
        <w:rPr>
          <w:rFonts w:ascii="Museo Sans 500" w:hAnsi="Museo Sans 500" w:cs="Open Sans"/>
          <w:sz w:val="21"/>
          <w:szCs w:val="21"/>
          <w:lang w:val="en-US"/>
        </w:rPr>
        <w:t>59</w:t>
      </w:r>
      <w:r w:rsidR="00744AAE">
        <w:rPr>
          <w:rFonts w:ascii="Museo Sans 500" w:hAnsi="Museo Sans 500" w:cs="Open Sans"/>
          <w:sz w:val="21"/>
          <w:szCs w:val="21"/>
          <w:lang w:val="en-US"/>
        </w:rPr>
        <w:t xml:space="preserve"> dunia</w:t>
      </w:r>
      <w:r w:rsidR="00250384">
        <w:rPr>
          <w:rFonts w:ascii="Museo Sans 500" w:hAnsi="Museo Sans 500" w:cs="Open Sans"/>
          <w:sz w:val="21"/>
          <w:szCs w:val="21"/>
          <w:lang w:val="en-US"/>
        </w:rPr>
        <w:t>, satu peringkat di atas Malaysia</w:t>
      </w:r>
      <w:r w:rsidR="00744AAE">
        <w:rPr>
          <w:rFonts w:ascii="Museo Sans 500" w:hAnsi="Museo Sans 500" w:cs="Open Sans"/>
          <w:sz w:val="21"/>
          <w:szCs w:val="21"/>
          <w:lang w:val="en-US"/>
        </w:rPr>
        <w:t>, sedangkan IPM terendah yaitu Papua menempati urutan ke-</w:t>
      </w:r>
      <w:r w:rsidR="00250384">
        <w:rPr>
          <w:rFonts w:ascii="Museo Sans 500" w:hAnsi="Museo Sans 500" w:cs="Open Sans"/>
          <w:sz w:val="21"/>
          <w:szCs w:val="21"/>
          <w:lang w:val="en-US"/>
        </w:rPr>
        <w:t>143 dunia, satu peringkat di atas Kamboja</w:t>
      </w:r>
      <w:r w:rsidR="00744AAE">
        <w:rPr>
          <w:rFonts w:ascii="Museo Sans 500" w:hAnsi="Museo Sans 500" w:cs="Open Sans"/>
          <w:sz w:val="21"/>
          <w:szCs w:val="21"/>
          <w:lang w:val="en-US"/>
        </w:rPr>
        <w:t>.</w:t>
      </w:r>
      <w:r w:rsidR="003C7CEE">
        <w:rPr>
          <w:rFonts w:ascii="Museo Sans 500" w:hAnsi="Museo Sans 500" w:cs="Open Sans"/>
          <w:sz w:val="21"/>
          <w:szCs w:val="21"/>
          <w:lang w:val="en-US"/>
        </w:rPr>
        <w:t xml:space="preserve"> Perbedaannya adalah sebesar 84 peringkat yang menandakan</w:t>
      </w:r>
      <w:r w:rsidR="00EA34BE">
        <w:rPr>
          <w:rFonts w:ascii="Museo Sans 500" w:hAnsi="Museo Sans 500" w:cs="Open Sans"/>
          <w:sz w:val="21"/>
          <w:szCs w:val="21"/>
          <w:lang w:val="en-US"/>
        </w:rPr>
        <w:t xml:space="preserve"> </w:t>
      </w:r>
      <w:r w:rsidR="003C7CEE">
        <w:rPr>
          <w:rFonts w:ascii="Museo Sans 500" w:hAnsi="Museo Sans 500" w:cs="Open Sans"/>
          <w:sz w:val="21"/>
          <w:szCs w:val="21"/>
          <w:lang w:val="en-US"/>
        </w:rPr>
        <w:t>bahwa pemerintah Indonesia harus lebih serius lagi dalam mengatasi kesenjangan yang terjadi antar provinsi maupun wilayah di Indonesia.</w:t>
      </w:r>
      <w:r w:rsidR="00D451B8">
        <w:rPr>
          <w:rFonts w:ascii="Museo Sans 500" w:hAnsi="Museo Sans 500" w:cs="Open Sans"/>
          <w:sz w:val="21"/>
          <w:szCs w:val="21"/>
          <w:lang w:val="en-US"/>
        </w:rPr>
        <w:t xml:space="preserve"> Terlebih lagi, IPM Indonesia akan menurun sebesar 18,2 persen dari 68,9 menjadi 56,3 apabila kesenjangan diperhitungkan.</w:t>
      </w:r>
    </w:p>
    <w:p w:rsidR="003C7CEE" w:rsidRDefault="00D451B8" w:rsidP="00375089">
      <w:pPr>
        <w:spacing w:after="0"/>
        <w:jc w:val="both"/>
        <w:rPr>
          <w:rFonts w:ascii="Museo Sans 500" w:hAnsi="Museo Sans 500" w:cs="Open Sans"/>
          <w:sz w:val="21"/>
          <w:szCs w:val="21"/>
          <w:lang w:val="en-US"/>
        </w:rPr>
      </w:pPr>
      <w:r>
        <w:rPr>
          <w:rFonts w:ascii="Museo Sans 500" w:hAnsi="Museo Sans 500" w:cs="Open Sans"/>
          <w:sz w:val="21"/>
          <w:szCs w:val="21"/>
          <w:lang w:val="en-US"/>
        </w:rPr>
        <w:t xml:space="preserve"> </w:t>
      </w:r>
    </w:p>
    <w:p w:rsidR="00744AAE" w:rsidRDefault="00EA34BE" w:rsidP="00375089">
      <w:pPr>
        <w:spacing w:after="0"/>
        <w:jc w:val="both"/>
        <w:rPr>
          <w:rFonts w:ascii="Museo Sans 500" w:hAnsi="Museo Sans 500" w:cs="Open Sans"/>
          <w:sz w:val="21"/>
          <w:szCs w:val="21"/>
          <w:lang w:val="en-US"/>
        </w:rPr>
      </w:pPr>
      <w:r>
        <w:rPr>
          <w:rFonts w:ascii="Museo Sans 500" w:hAnsi="Museo Sans 500" w:cs="Open Sans"/>
          <w:sz w:val="21"/>
          <w:szCs w:val="21"/>
          <w:lang w:val="en-US"/>
        </w:rPr>
        <w:t xml:space="preserve">Pada dasarnya, IPM merupakan cerminan dari </w:t>
      </w:r>
      <w:r w:rsidR="0084540D">
        <w:rPr>
          <w:rFonts w:ascii="Museo Sans 500" w:hAnsi="Museo Sans 500" w:cs="Open Sans"/>
          <w:sz w:val="21"/>
          <w:szCs w:val="21"/>
          <w:lang w:val="en-US"/>
        </w:rPr>
        <w:t xml:space="preserve">kualitas </w:t>
      </w:r>
      <w:r>
        <w:rPr>
          <w:rFonts w:ascii="Museo Sans 500" w:hAnsi="Museo Sans 500" w:cs="Open Sans"/>
          <w:sz w:val="21"/>
          <w:szCs w:val="21"/>
          <w:lang w:val="en-US"/>
        </w:rPr>
        <w:t xml:space="preserve">kesehatan (angka harapan hidup saat lahir), pendidikan (lama bersekolah) dan </w:t>
      </w:r>
      <w:r w:rsidR="0084540D">
        <w:rPr>
          <w:rFonts w:ascii="Museo Sans 500" w:hAnsi="Museo Sans 500" w:cs="Open Sans"/>
          <w:sz w:val="21"/>
          <w:szCs w:val="21"/>
          <w:lang w:val="en-US"/>
        </w:rPr>
        <w:t>perekonomian</w:t>
      </w:r>
      <w:r>
        <w:rPr>
          <w:rFonts w:ascii="Museo Sans 500" w:hAnsi="Museo Sans 500" w:cs="Open Sans"/>
          <w:sz w:val="21"/>
          <w:szCs w:val="21"/>
          <w:lang w:val="en-US"/>
        </w:rPr>
        <w:t xml:space="preserve"> (pendapatan per kapita) </w:t>
      </w:r>
      <w:r w:rsidR="001377A5">
        <w:rPr>
          <w:rFonts w:ascii="Museo Sans 500" w:hAnsi="Museo Sans 500" w:cs="Open Sans"/>
          <w:sz w:val="21"/>
          <w:szCs w:val="21"/>
          <w:lang w:val="en-US"/>
        </w:rPr>
        <w:t>suatu negara</w:t>
      </w:r>
      <w:r w:rsidR="00EC0D99">
        <w:rPr>
          <w:rFonts w:ascii="Museo Sans 500" w:hAnsi="Museo Sans 500" w:cs="Open Sans"/>
          <w:sz w:val="21"/>
          <w:szCs w:val="21"/>
          <w:lang w:val="en-US"/>
        </w:rPr>
        <w:t xml:space="preserve"> maupun wilayah</w:t>
      </w:r>
      <w:r>
        <w:rPr>
          <w:rFonts w:ascii="Museo Sans 500" w:hAnsi="Museo Sans 500" w:cs="Open Sans"/>
          <w:sz w:val="21"/>
          <w:szCs w:val="21"/>
          <w:lang w:val="en-US"/>
        </w:rPr>
        <w:t xml:space="preserve">. Meskipun begitu, IPM dapat berfungsi sebagai indikator kesenjangan apabila </w:t>
      </w:r>
      <w:r w:rsidR="004145C0">
        <w:rPr>
          <w:rFonts w:ascii="Museo Sans 500" w:hAnsi="Museo Sans 500" w:cs="Open Sans"/>
          <w:sz w:val="21"/>
          <w:szCs w:val="21"/>
          <w:lang w:val="en-US"/>
        </w:rPr>
        <w:t>dipecah</w:t>
      </w:r>
      <w:r>
        <w:rPr>
          <w:rFonts w:ascii="Museo Sans 500" w:hAnsi="Museo Sans 500" w:cs="Open Sans"/>
          <w:sz w:val="21"/>
          <w:szCs w:val="21"/>
          <w:lang w:val="en-US"/>
        </w:rPr>
        <w:t xml:space="preserve"> berdasarkan wilayah</w:t>
      </w:r>
      <w:r w:rsidR="004145C0">
        <w:rPr>
          <w:rFonts w:ascii="Museo Sans 500" w:hAnsi="Museo Sans 500" w:cs="Open Sans"/>
          <w:sz w:val="21"/>
          <w:szCs w:val="21"/>
          <w:lang w:val="en-US"/>
        </w:rPr>
        <w:t xml:space="preserve"> maupun komponen</w:t>
      </w:r>
      <w:r>
        <w:rPr>
          <w:rFonts w:ascii="Museo Sans 500" w:hAnsi="Museo Sans 500" w:cs="Open Sans"/>
          <w:sz w:val="21"/>
          <w:szCs w:val="21"/>
          <w:lang w:val="en-US"/>
        </w:rPr>
        <w:t xml:space="preserve"> yang lebih kecil lagi. </w:t>
      </w:r>
      <w:r w:rsidR="00D451B8">
        <w:rPr>
          <w:rFonts w:ascii="Museo Sans 500" w:hAnsi="Museo Sans 500" w:cs="Open Sans"/>
          <w:sz w:val="21"/>
          <w:szCs w:val="21"/>
          <w:lang w:val="en-US"/>
        </w:rPr>
        <w:t>Untuk melihat hal tersebut, t</w:t>
      </w:r>
      <w:r>
        <w:rPr>
          <w:rFonts w:ascii="Museo Sans 500" w:hAnsi="Museo Sans 500" w:cs="Open Sans"/>
          <w:sz w:val="21"/>
          <w:szCs w:val="21"/>
          <w:lang w:val="en-US"/>
        </w:rPr>
        <w:t>abel berikut ini adalah statistik deskriptif mengenai IPM Indonesia per provinsi dari tahun 2010 s.d. 2016.</w:t>
      </w:r>
    </w:p>
    <w:p w:rsidR="0055152A" w:rsidRDefault="0055152A" w:rsidP="00375089">
      <w:pPr>
        <w:spacing w:after="0"/>
        <w:jc w:val="both"/>
        <w:rPr>
          <w:rFonts w:ascii="Museo Sans 500" w:hAnsi="Museo Sans 500" w:cs="Open Sans"/>
          <w:sz w:val="21"/>
          <w:szCs w:val="21"/>
          <w:lang w:val="en-US"/>
        </w:rPr>
      </w:pPr>
    </w:p>
    <w:tbl>
      <w:tblPr>
        <w:tblW w:w="8565" w:type="dxa"/>
        <w:tblInd w:w="93" w:type="dxa"/>
        <w:tblLook w:val="04A0"/>
      </w:tblPr>
      <w:tblGrid>
        <w:gridCol w:w="801"/>
        <w:gridCol w:w="1014"/>
        <w:gridCol w:w="1017"/>
        <w:gridCol w:w="742"/>
        <w:gridCol w:w="897"/>
        <w:gridCol w:w="924"/>
        <w:gridCol w:w="740"/>
        <w:gridCol w:w="741"/>
        <w:gridCol w:w="993"/>
        <w:gridCol w:w="696"/>
      </w:tblGrid>
      <w:tr w:rsidR="0055152A" w:rsidRPr="0055152A" w:rsidTr="0055152A">
        <w:trPr>
          <w:trHeight w:val="300"/>
        </w:trPr>
        <w:tc>
          <w:tcPr>
            <w:tcW w:w="80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rPr>
                <w:rFonts w:ascii="Museo Sans 500" w:eastAsia="Times New Roman" w:hAnsi="Museo Sans 500" w:cs="Calibri"/>
                <w:noProof w:val="0"/>
                <w:color w:val="000000"/>
                <w:sz w:val="20"/>
                <w:szCs w:val="20"/>
                <w:lang w:val="en-US"/>
              </w:rPr>
            </w:pPr>
            <w:proofErr w:type="spellStart"/>
            <w:r w:rsidRPr="0055152A">
              <w:rPr>
                <w:rFonts w:ascii="Museo Sans 500" w:eastAsia="Times New Roman" w:hAnsi="Museo Sans 500" w:cs="Calibri"/>
                <w:noProof w:val="0"/>
                <w:color w:val="000000"/>
                <w:sz w:val="20"/>
                <w:szCs w:val="20"/>
                <w:lang w:val="en-US"/>
              </w:rPr>
              <w:t>Tahun</w:t>
            </w:r>
            <w:proofErr w:type="spellEnd"/>
          </w:p>
        </w:tc>
        <w:tc>
          <w:tcPr>
            <w:tcW w:w="101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rPr>
                <w:rFonts w:ascii="Museo Sans 500" w:eastAsia="Times New Roman" w:hAnsi="Museo Sans 500" w:cs="Calibri"/>
                <w:noProof w:val="0"/>
                <w:color w:val="000000"/>
                <w:sz w:val="20"/>
                <w:szCs w:val="20"/>
                <w:lang w:val="en-US"/>
              </w:rPr>
            </w:pPr>
            <w:proofErr w:type="spellStart"/>
            <w:r w:rsidRPr="0055152A">
              <w:rPr>
                <w:rFonts w:ascii="Museo Sans 500" w:eastAsia="Times New Roman" w:hAnsi="Museo Sans 500" w:cs="Calibri"/>
                <w:noProof w:val="0"/>
                <w:color w:val="000000"/>
                <w:sz w:val="20"/>
                <w:szCs w:val="20"/>
                <w:lang w:val="en-US"/>
              </w:rPr>
              <w:t>Banyak</w:t>
            </w:r>
            <w:proofErr w:type="spellEnd"/>
            <w:r w:rsidRPr="0055152A">
              <w:rPr>
                <w:rFonts w:ascii="Museo Sans 500" w:eastAsia="Times New Roman" w:hAnsi="Museo Sans 500" w:cs="Calibri"/>
                <w:noProof w:val="0"/>
                <w:color w:val="000000"/>
                <w:sz w:val="20"/>
                <w:szCs w:val="20"/>
                <w:lang w:val="en-US"/>
              </w:rPr>
              <w:t xml:space="preserve"> </w:t>
            </w:r>
            <w:proofErr w:type="spellStart"/>
            <w:r w:rsidRPr="0055152A">
              <w:rPr>
                <w:rFonts w:ascii="Museo Sans 500" w:eastAsia="Times New Roman" w:hAnsi="Museo Sans 500" w:cs="Calibri"/>
                <w:noProof w:val="0"/>
                <w:color w:val="000000"/>
                <w:sz w:val="20"/>
                <w:szCs w:val="20"/>
                <w:lang w:val="en-US"/>
              </w:rPr>
              <w:t>Provinsi</w:t>
            </w:r>
            <w:proofErr w:type="spellEnd"/>
          </w:p>
        </w:tc>
        <w:tc>
          <w:tcPr>
            <w:tcW w:w="101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rPr>
                <w:rFonts w:ascii="Museo Sans 500" w:eastAsia="Times New Roman" w:hAnsi="Museo Sans 500" w:cs="Calibri"/>
                <w:noProof w:val="0"/>
                <w:color w:val="000000"/>
                <w:sz w:val="20"/>
                <w:szCs w:val="20"/>
                <w:lang w:val="en-US"/>
              </w:rPr>
            </w:pPr>
            <w:proofErr w:type="spellStart"/>
            <w:r w:rsidRPr="0055152A">
              <w:rPr>
                <w:rFonts w:ascii="Museo Sans 500" w:eastAsia="Times New Roman" w:hAnsi="Museo Sans 500" w:cs="Calibri"/>
                <w:noProof w:val="0"/>
                <w:color w:val="000000"/>
                <w:sz w:val="20"/>
                <w:szCs w:val="20"/>
                <w:lang w:val="en-US"/>
              </w:rPr>
              <w:t>Nasional</w:t>
            </w:r>
            <w:proofErr w:type="spellEnd"/>
          </w:p>
        </w:tc>
        <w:tc>
          <w:tcPr>
            <w:tcW w:w="742"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Rata-rata</w:t>
            </w:r>
          </w:p>
        </w:tc>
        <w:tc>
          <w:tcPr>
            <w:tcW w:w="89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Median</w:t>
            </w:r>
          </w:p>
        </w:tc>
        <w:tc>
          <w:tcPr>
            <w:tcW w:w="92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rPr>
                <w:rFonts w:ascii="Museo Sans 500" w:eastAsia="Times New Roman" w:hAnsi="Museo Sans 500" w:cs="Calibri"/>
                <w:noProof w:val="0"/>
                <w:color w:val="000000"/>
                <w:sz w:val="20"/>
                <w:szCs w:val="20"/>
                <w:lang w:val="en-US"/>
              </w:rPr>
            </w:pPr>
            <w:proofErr w:type="spellStart"/>
            <w:r w:rsidRPr="0055152A">
              <w:rPr>
                <w:rFonts w:ascii="Museo Sans 500" w:eastAsia="Times New Roman" w:hAnsi="Museo Sans 500" w:cs="Calibri"/>
                <w:noProof w:val="0"/>
                <w:color w:val="000000"/>
                <w:sz w:val="20"/>
                <w:szCs w:val="20"/>
                <w:lang w:val="en-US"/>
              </w:rPr>
              <w:t>Standar</w:t>
            </w:r>
            <w:proofErr w:type="spellEnd"/>
            <w:r w:rsidRPr="0055152A">
              <w:rPr>
                <w:rFonts w:ascii="Museo Sans 500" w:eastAsia="Times New Roman" w:hAnsi="Museo Sans 500" w:cs="Calibri"/>
                <w:noProof w:val="0"/>
                <w:color w:val="000000"/>
                <w:sz w:val="20"/>
                <w:szCs w:val="20"/>
                <w:lang w:val="en-US"/>
              </w:rPr>
              <w:t xml:space="preserve"> </w:t>
            </w:r>
            <w:proofErr w:type="spellStart"/>
            <w:r w:rsidRPr="0055152A">
              <w:rPr>
                <w:rFonts w:ascii="Museo Sans 500" w:eastAsia="Times New Roman" w:hAnsi="Museo Sans 500" w:cs="Calibri"/>
                <w:noProof w:val="0"/>
                <w:color w:val="000000"/>
                <w:sz w:val="20"/>
                <w:szCs w:val="20"/>
                <w:lang w:val="en-US"/>
              </w:rPr>
              <w:t>Deviasi</w:t>
            </w:r>
            <w:proofErr w:type="spellEnd"/>
          </w:p>
        </w:tc>
        <w:tc>
          <w:tcPr>
            <w:tcW w:w="740"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Min</w:t>
            </w:r>
          </w:p>
        </w:tc>
        <w:tc>
          <w:tcPr>
            <w:tcW w:w="74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rPr>
                <w:rFonts w:ascii="Museo Sans 500" w:eastAsia="Times New Roman" w:hAnsi="Museo Sans 500" w:cs="Calibri"/>
                <w:noProof w:val="0"/>
                <w:color w:val="000000"/>
                <w:sz w:val="20"/>
                <w:szCs w:val="20"/>
                <w:lang w:val="en-US"/>
              </w:rPr>
            </w:pPr>
            <w:proofErr w:type="spellStart"/>
            <w:r w:rsidRPr="0055152A">
              <w:rPr>
                <w:rFonts w:ascii="Museo Sans 500" w:eastAsia="Times New Roman" w:hAnsi="Museo Sans 500" w:cs="Calibri"/>
                <w:noProof w:val="0"/>
                <w:color w:val="000000"/>
                <w:sz w:val="20"/>
                <w:szCs w:val="20"/>
                <w:lang w:val="en-US"/>
              </w:rPr>
              <w:t>Maks</w:t>
            </w:r>
            <w:proofErr w:type="spellEnd"/>
          </w:p>
        </w:tc>
        <w:tc>
          <w:tcPr>
            <w:tcW w:w="993"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rPr>
                <w:rFonts w:ascii="Museo Sans 500" w:eastAsia="Times New Roman" w:hAnsi="Museo Sans 500" w:cs="Calibri"/>
                <w:noProof w:val="0"/>
                <w:color w:val="000000"/>
                <w:sz w:val="20"/>
                <w:szCs w:val="20"/>
                <w:lang w:val="en-US"/>
              </w:rPr>
            </w:pPr>
            <w:proofErr w:type="spellStart"/>
            <w:r w:rsidRPr="0055152A">
              <w:rPr>
                <w:rFonts w:ascii="Museo Sans 500" w:eastAsia="Times New Roman" w:hAnsi="Museo Sans 500" w:cs="Calibri"/>
                <w:noProof w:val="0"/>
                <w:color w:val="000000"/>
                <w:sz w:val="20"/>
                <w:szCs w:val="20"/>
                <w:lang w:val="en-US"/>
              </w:rPr>
              <w:t>Rentang</w:t>
            </w:r>
            <w:proofErr w:type="spellEnd"/>
          </w:p>
        </w:tc>
        <w:tc>
          <w:tcPr>
            <w:tcW w:w="696"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IQR</w:t>
            </w:r>
          </w:p>
        </w:tc>
      </w:tr>
      <w:tr w:rsidR="0055152A" w:rsidRPr="0055152A" w:rsidTr="0055152A">
        <w:trPr>
          <w:trHeight w:val="300"/>
        </w:trPr>
        <w:tc>
          <w:tcPr>
            <w:tcW w:w="80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2010</w:t>
            </w:r>
          </w:p>
        </w:tc>
        <w:tc>
          <w:tcPr>
            <w:tcW w:w="101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33</w:t>
            </w:r>
          </w:p>
        </w:tc>
        <w:tc>
          <w:tcPr>
            <w:tcW w:w="101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66.53</w:t>
            </w:r>
          </w:p>
        </w:tc>
        <w:tc>
          <w:tcPr>
            <w:tcW w:w="742"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65.59</w:t>
            </w:r>
          </w:p>
        </w:tc>
        <w:tc>
          <w:tcPr>
            <w:tcW w:w="89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65.96</w:t>
            </w:r>
          </w:p>
        </w:tc>
        <w:tc>
          <w:tcPr>
            <w:tcW w:w="92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4.39</w:t>
            </w:r>
          </w:p>
        </w:tc>
        <w:tc>
          <w:tcPr>
            <w:tcW w:w="740"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54.45</w:t>
            </w:r>
          </w:p>
        </w:tc>
        <w:tc>
          <w:tcPr>
            <w:tcW w:w="74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76.31</w:t>
            </w:r>
          </w:p>
        </w:tc>
        <w:tc>
          <w:tcPr>
            <w:tcW w:w="993"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21.86</w:t>
            </w:r>
          </w:p>
        </w:tc>
        <w:tc>
          <w:tcPr>
            <w:tcW w:w="696"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3.96</w:t>
            </w:r>
          </w:p>
        </w:tc>
      </w:tr>
      <w:tr w:rsidR="0055152A" w:rsidRPr="0055152A" w:rsidTr="0055152A">
        <w:trPr>
          <w:trHeight w:val="300"/>
        </w:trPr>
        <w:tc>
          <w:tcPr>
            <w:tcW w:w="80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2011</w:t>
            </w:r>
          </w:p>
        </w:tc>
        <w:tc>
          <w:tcPr>
            <w:tcW w:w="101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33</w:t>
            </w:r>
          </w:p>
        </w:tc>
        <w:tc>
          <w:tcPr>
            <w:tcW w:w="101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67.09</w:t>
            </w:r>
          </w:p>
        </w:tc>
        <w:tc>
          <w:tcPr>
            <w:tcW w:w="742"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66.19</w:t>
            </w:r>
          </w:p>
        </w:tc>
        <w:tc>
          <w:tcPr>
            <w:tcW w:w="89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66.38</w:t>
            </w:r>
          </w:p>
        </w:tc>
        <w:tc>
          <w:tcPr>
            <w:tcW w:w="92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4.36</w:t>
            </w:r>
          </w:p>
        </w:tc>
        <w:tc>
          <w:tcPr>
            <w:tcW w:w="740"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55.01</w:t>
            </w:r>
          </w:p>
        </w:tc>
        <w:tc>
          <w:tcPr>
            <w:tcW w:w="74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76.98</w:t>
            </w:r>
          </w:p>
        </w:tc>
        <w:tc>
          <w:tcPr>
            <w:tcW w:w="993"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21.97</w:t>
            </w:r>
          </w:p>
        </w:tc>
        <w:tc>
          <w:tcPr>
            <w:tcW w:w="696"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3.61</w:t>
            </w:r>
          </w:p>
        </w:tc>
      </w:tr>
      <w:tr w:rsidR="0055152A" w:rsidRPr="0055152A" w:rsidTr="0055152A">
        <w:trPr>
          <w:trHeight w:val="300"/>
        </w:trPr>
        <w:tc>
          <w:tcPr>
            <w:tcW w:w="80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2012</w:t>
            </w:r>
          </w:p>
        </w:tc>
        <w:tc>
          <w:tcPr>
            <w:tcW w:w="101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33</w:t>
            </w:r>
          </w:p>
        </w:tc>
        <w:tc>
          <w:tcPr>
            <w:tcW w:w="101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67.7</w:t>
            </w:r>
          </w:p>
        </w:tc>
        <w:tc>
          <w:tcPr>
            <w:tcW w:w="742"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66.8</w:t>
            </w:r>
          </w:p>
        </w:tc>
        <w:tc>
          <w:tcPr>
            <w:tcW w:w="89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66.94</w:t>
            </w:r>
          </w:p>
        </w:tc>
        <w:tc>
          <w:tcPr>
            <w:tcW w:w="92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4.33</w:t>
            </w:r>
          </w:p>
        </w:tc>
        <w:tc>
          <w:tcPr>
            <w:tcW w:w="740"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55.55</w:t>
            </w:r>
          </w:p>
        </w:tc>
        <w:tc>
          <w:tcPr>
            <w:tcW w:w="74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77.53</w:t>
            </w:r>
          </w:p>
        </w:tc>
        <w:tc>
          <w:tcPr>
            <w:tcW w:w="993"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21.98</w:t>
            </w:r>
          </w:p>
        </w:tc>
        <w:tc>
          <w:tcPr>
            <w:tcW w:w="696"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3.49</w:t>
            </w:r>
          </w:p>
        </w:tc>
      </w:tr>
      <w:tr w:rsidR="0055152A" w:rsidRPr="0055152A" w:rsidTr="0055152A">
        <w:trPr>
          <w:trHeight w:val="300"/>
        </w:trPr>
        <w:tc>
          <w:tcPr>
            <w:tcW w:w="80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2013</w:t>
            </w:r>
          </w:p>
        </w:tc>
        <w:tc>
          <w:tcPr>
            <w:tcW w:w="101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34</w:t>
            </w:r>
          </w:p>
        </w:tc>
        <w:tc>
          <w:tcPr>
            <w:tcW w:w="101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68.31</w:t>
            </w:r>
          </w:p>
        </w:tc>
        <w:tc>
          <w:tcPr>
            <w:tcW w:w="742"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67.47</w:t>
            </w:r>
          </w:p>
        </w:tc>
        <w:tc>
          <w:tcPr>
            <w:tcW w:w="89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67.66</w:t>
            </w:r>
          </w:p>
        </w:tc>
        <w:tc>
          <w:tcPr>
            <w:tcW w:w="92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4.2</w:t>
            </w:r>
          </w:p>
        </w:tc>
        <w:tc>
          <w:tcPr>
            <w:tcW w:w="740"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56.25</w:t>
            </w:r>
          </w:p>
        </w:tc>
        <w:tc>
          <w:tcPr>
            <w:tcW w:w="74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78.08</w:t>
            </w:r>
          </w:p>
        </w:tc>
        <w:tc>
          <w:tcPr>
            <w:tcW w:w="993"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21.83</w:t>
            </w:r>
          </w:p>
        </w:tc>
        <w:tc>
          <w:tcPr>
            <w:tcW w:w="696"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3.03</w:t>
            </w:r>
          </w:p>
        </w:tc>
      </w:tr>
      <w:tr w:rsidR="0055152A" w:rsidRPr="0055152A" w:rsidTr="0055152A">
        <w:trPr>
          <w:trHeight w:val="300"/>
        </w:trPr>
        <w:tc>
          <w:tcPr>
            <w:tcW w:w="80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2014</w:t>
            </w:r>
          </w:p>
        </w:tc>
        <w:tc>
          <w:tcPr>
            <w:tcW w:w="101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34</w:t>
            </w:r>
          </w:p>
        </w:tc>
        <w:tc>
          <w:tcPr>
            <w:tcW w:w="101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68.9</w:t>
            </w:r>
          </w:p>
        </w:tc>
        <w:tc>
          <w:tcPr>
            <w:tcW w:w="742"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67.98</w:t>
            </w:r>
          </w:p>
        </w:tc>
        <w:tc>
          <w:tcPr>
            <w:tcW w:w="89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68.19</w:t>
            </w:r>
          </w:p>
        </w:tc>
        <w:tc>
          <w:tcPr>
            <w:tcW w:w="92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4.16</w:t>
            </w:r>
          </w:p>
        </w:tc>
        <w:tc>
          <w:tcPr>
            <w:tcW w:w="740"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56.75</w:t>
            </w:r>
          </w:p>
        </w:tc>
        <w:tc>
          <w:tcPr>
            <w:tcW w:w="74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78.39</w:t>
            </w:r>
          </w:p>
        </w:tc>
        <w:tc>
          <w:tcPr>
            <w:tcW w:w="993"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21.64</w:t>
            </w:r>
          </w:p>
        </w:tc>
        <w:tc>
          <w:tcPr>
            <w:tcW w:w="696"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2.81</w:t>
            </w:r>
          </w:p>
        </w:tc>
      </w:tr>
      <w:tr w:rsidR="0055152A" w:rsidRPr="0055152A" w:rsidTr="0055152A">
        <w:trPr>
          <w:trHeight w:val="300"/>
        </w:trPr>
        <w:tc>
          <w:tcPr>
            <w:tcW w:w="80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2015</w:t>
            </w:r>
          </w:p>
        </w:tc>
        <w:tc>
          <w:tcPr>
            <w:tcW w:w="101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34</w:t>
            </w:r>
          </w:p>
        </w:tc>
        <w:tc>
          <w:tcPr>
            <w:tcW w:w="101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69.55</w:t>
            </w:r>
          </w:p>
        </w:tc>
        <w:tc>
          <w:tcPr>
            <w:tcW w:w="742"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68.58</w:t>
            </w:r>
          </w:p>
        </w:tc>
        <w:tc>
          <w:tcPr>
            <w:tcW w:w="89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68.83</w:t>
            </w:r>
          </w:p>
        </w:tc>
        <w:tc>
          <w:tcPr>
            <w:tcW w:w="92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4.17</w:t>
            </w:r>
          </w:p>
        </w:tc>
        <w:tc>
          <w:tcPr>
            <w:tcW w:w="740"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57.25</w:t>
            </w:r>
          </w:p>
        </w:tc>
        <w:tc>
          <w:tcPr>
            <w:tcW w:w="74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78.99</w:t>
            </w:r>
          </w:p>
        </w:tc>
        <w:tc>
          <w:tcPr>
            <w:tcW w:w="993"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21.74</w:t>
            </w:r>
          </w:p>
        </w:tc>
        <w:tc>
          <w:tcPr>
            <w:tcW w:w="696"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3.05</w:t>
            </w:r>
          </w:p>
        </w:tc>
      </w:tr>
      <w:tr w:rsidR="0055152A" w:rsidRPr="0055152A" w:rsidTr="0055152A">
        <w:trPr>
          <w:trHeight w:val="300"/>
        </w:trPr>
        <w:tc>
          <w:tcPr>
            <w:tcW w:w="80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2016</w:t>
            </w:r>
          </w:p>
        </w:tc>
        <w:tc>
          <w:tcPr>
            <w:tcW w:w="101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34</w:t>
            </w:r>
          </w:p>
        </w:tc>
        <w:tc>
          <w:tcPr>
            <w:tcW w:w="101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70.18</w:t>
            </w:r>
          </w:p>
        </w:tc>
        <w:tc>
          <w:tcPr>
            <w:tcW w:w="742"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69.16</w:t>
            </w:r>
          </w:p>
        </w:tc>
        <w:tc>
          <w:tcPr>
            <w:tcW w:w="897"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69.44</w:t>
            </w:r>
          </w:p>
        </w:tc>
        <w:tc>
          <w:tcPr>
            <w:tcW w:w="924"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4.15</w:t>
            </w:r>
          </w:p>
        </w:tc>
        <w:tc>
          <w:tcPr>
            <w:tcW w:w="740"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58.05</w:t>
            </w:r>
          </w:p>
        </w:tc>
        <w:tc>
          <w:tcPr>
            <w:tcW w:w="741"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79.6</w:t>
            </w:r>
          </w:p>
        </w:tc>
        <w:tc>
          <w:tcPr>
            <w:tcW w:w="993"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21.55</w:t>
            </w:r>
          </w:p>
        </w:tc>
        <w:tc>
          <w:tcPr>
            <w:tcW w:w="696" w:type="dxa"/>
            <w:tcBorders>
              <w:top w:val="nil"/>
              <w:left w:val="nil"/>
              <w:bottom w:val="nil"/>
              <w:right w:val="nil"/>
            </w:tcBorders>
            <w:shd w:val="clear" w:color="auto" w:fill="auto"/>
            <w:noWrap/>
            <w:vAlign w:val="bottom"/>
            <w:hideMark/>
          </w:tcPr>
          <w:p w:rsidR="0055152A" w:rsidRPr="0055152A" w:rsidRDefault="0055152A" w:rsidP="0055152A">
            <w:pPr>
              <w:spacing w:after="0" w:line="240" w:lineRule="auto"/>
              <w:jc w:val="right"/>
              <w:rPr>
                <w:rFonts w:ascii="Museo Sans 500" w:eastAsia="Times New Roman" w:hAnsi="Museo Sans 500" w:cs="Calibri"/>
                <w:noProof w:val="0"/>
                <w:color w:val="000000"/>
                <w:sz w:val="20"/>
                <w:szCs w:val="20"/>
                <w:lang w:val="en-US"/>
              </w:rPr>
            </w:pPr>
            <w:r w:rsidRPr="0055152A">
              <w:rPr>
                <w:rFonts w:ascii="Museo Sans 500" w:eastAsia="Times New Roman" w:hAnsi="Museo Sans 500" w:cs="Calibri"/>
                <w:noProof w:val="0"/>
                <w:color w:val="000000"/>
                <w:sz w:val="20"/>
                <w:szCs w:val="20"/>
                <w:lang w:val="en-US"/>
              </w:rPr>
              <w:t>3.06</w:t>
            </w:r>
          </w:p>
        </w:tc>
      </w:tr>
    </w:tbl>
    <w:p w:rsidR="0055152A" w:rsidRDefault="0055152A" w:rsidP="00375089">
      <w:pPr>
        <w:spacing w:after="0"/>
        <w:jc w:val="both"/>
        <w:rPr>
          <w:rFonts w:ascii="Museo Sans 500" w:hAnsi="Museo Sans 500" w:cs="Open Sans"/>
          <w:sz w:val="21"/>
          <w:szCs w:val="21"/>
          <w:lang w:val="en-US"/>
        </w:rPr>
      </w:pPr>
    </w:p>
    <w:p w:rsidR="00D451B8" w:rsidRDefault="00D451B8" w:rsidP="00375089">
      <w:pPr>
        <w:spacing w:after="0"/>
        <w:jc w:val="both"/>
        <w:rPr>
          <w:rFonts w:ascii="Museo Sans 500" w:hAnsi="Museo Sans 500" w:cs="Open Sans"/>
          <w:sz w:val="21"/>
          <w:szCs w:val="21"/>
          <w:lang w:val="en-US"/>
        </w:rPr>
      </w:pPr>
    </w:p>
    <w:p w:rsidR="00597BEC" w:rsidRDefault="0055152A" w:rsidP="00BB605A">
      <w:pPr>
        <w:spacing w:after="0"/>
        <w:jc w:val="both"/>
        <w:rPr>
          <w:rFonts w:ascii="Museo Sans 500" w:hAnsi="Museo Sans 500" w:cs="Open Sans"/>
          <w:sz w:val="21"/>
          <w:szCs w:val="21"/>
          <w:lang w:val="en-US"/>
        </w:rPr>
      </w:pPr>
      <w:r>
        <w:rPr>
          <w:rFonts w:ascii="Museo Sans 500" w:hAnsi="Museo Sans 500" w:cs="Open Sans"/>
          <w:sz w:val="21"/>
          <w:szCs w:val="21"/>
          <w:lang w:val="en-US"/>
        </w:rPr>
        <w:lastRenderedPageBreak/>
        <w:t xml:space="preserve">Untuk melihat kesenjangan IPM antar provinsi dapat ditinjau dari ukuran sebaran seperti standar deviasi, rentang (selisih antara nilai minimum dan maksimum) maupun IQR (rentang antar kuartil). </w:t>
      </w:r>
      <w:r w:rsidR="00461ED8">
        <w:rPr>
          <w:rFonts w:ascii="Museo Sans 500" w:hAnsi="Museo Sans 500" w:cs="Open Sans"/>
          <w:sz w:val="21"/>
          <w:szCs w:val="21"/>
          <w:lang w:val="en-US"/>
        </w:rPr>
        <w:t>Seiring dengan berjalannya waktu, IP</w:t>
      </w:r>
      <w:r w:rsidR="006D24C1">
        <w:rPr>
          <w:rFonts w:ascii="Museo Sans 500" w:hAnsi="Museo Sans 500" w:cs="Open Sans"/>
          <w:sz w:val="21"/>
          <w:szCs w:val="21"/>
          <w:lang w:val="en-US"/>
        </w:rPr>
        <w:t xml:space="preserve">M meningkat dari tahun ke tahun dan juga sebarannya semakin mengecil meskipun terlihat ada sedikit peningkatan dari tahun 2014 ke 2015. </w:t>
      </w:r>
      <w:r w:rsidR="00CA178C">
        <w:rPr>
          <w:rFonts w:ascii="Museo Sans 500" w:hAnsi="Museo Sans 500" w:cs="Open Sans"/>
          <w:sz w:val="21"/>
          <w:szCs w:val="21"/>
          <w:lang w:val="en-US"/>
        </w:rPr>
        <w:t xml:space="preserve">Hal ini </w:t>
      </w:r>
      <w:r w:rsidR="001016BF">
        <w:rPr>
          <w:rFonts w:ascii="Museo Sans 500" w:hAnsi="Museo Sans 500" w:cs="Open Sans"/>
          <w:sz w:val="21"/>
          <w:szCs w:val="21"/>
          <w:lang w:val="en-US"/>
        </w:rPr>
        <w:t>menunjukkan</w:t>
      </w:r>
      <w:r w:rsidR="00CA178C">
        <w:rPr>
          <w:rFonts w:ascii="Museo Sans 500" w:hAnsi="Museo Sans 500" w:cs="Open Sans"/>
          <w:sz w:val="21"/>
          <w:szCs w:val="21"/>
          <w:lang w:val="en-US"/>
        </w:rPr>
        <w:t xml:space="preserve"> </w:t>
      </w:r>
      <w:r w:rsidR="001016BF">
        <w:rPr>
          <w:rFonts w:ascii="Museo Sans 500" w:hAnsi="Museo Sans 500" w:cs="Open Sans"/>
          <w:sz w:val="21"/>
          <w:szCs w:val="21"/>
          <w:lang w:val="en-US"/>
        </w:rPr>
        <w:t>tren</w:t>
      </w:r>
      <w:r w:rsidR="00CA178C">
        <w:rPr>
          <w:rFonts w:ascii="Museo Sans 500" w:hAnsi="Museo Sans 500" w:cs="Open Sans"/>
          <w:sz w:val="21"/>
          <w:szCs w:val="21"/>
          <w:lang w:val="en-US"/>
        </w:rPr>
        <w:t xml:space="preserve"> positif meskipun tidak mencerminkan untuk level geografi yang lebih kecil lagi seperti kota/kabupaten, kecam</w:t>
      </w:r>
      <w:r w:rsidR="00947DC4">
        <w:rPr>
          <w:rFonts w:ascii="Museo Sans 500" w:hAnsi="Museo Sans 500" w:cs="Open Sans"/>
          <w:sz w:val="21"/>
          <w:szCs w:val="21"/>
          <w:lang w:val="en-US"/>
        </w:rPr>
        <w:t xml:space="preserve">atan </w:t>
      </w:r>
      <w:r w:rsidR="00FD035D">
        <w:rPr>
          <w:rFonts w:ascii="Museo Sans 500" w:hAnsi="Museo Sans 500" w:cs="Open Sans"/>
          <w:sz w:val="21"/>
          <w:szCs w:val="21"/>
          <w:lang w:val="en-US"/>
        </w:rPr>
        <w:t>atau bahkan</w:t>
      </w:r>
      <w:r w:rsidR="00947DC4">
        <w:rPr>
          <w:rFonts w:ascii="Museo Sans 500" w:hAnsi="Museo Sans 500" w:cs="Open Sans"/>
          <w:sz w:val="21"/>
          <w:szCs w:val="21"/>
          <w:lang w:val="en-US"/>
        </w:rPr>
        <w:t xml:space="preserve"> kelurahan/pedesaan.</w:t>
      </w:r>
    </w:p>
    <w:p w:rsidR="00AF6332" w:rsidRDefault="00AF6332" w:rsidP="00BB605A">
      <w:pPr>
        <w:spacing w:after="0"/>
        <w:jc w:val="both"/>
        <w:rPr>
          <w:rFonts w:ascii="Museo Sans 500" w:hAnsi="Museo Sans 500" w:cs="Open Sans"/>
          <w:sz w:val="21"/>
          <w:szCs w:val="21"/>
          <w:lang w:val="en-US"/>
        </w:rPr>
      </w:pPr>
    </w:p>
    <w:p w:rsidR="00597BEC" w:rsidRDefault="00AF6332" w:rsidP="00BB605A">
      <w:pPr>
        <w:spacing w:after="0"/>
        <w:jc w:val="both"/>
        <w:rPr>
          <w:rFonts w:ascii="Museo Sans 500" w:hAnsi="Museo Sans 500" w:cs="Open Sans"/>
          <w:sz w:val="21"/>
          <w:szCs w:val="21"/>
          <w:lang w:val="en-US"/>
        </w:rPr>
      </w:pPr>
      <w:r>
        <w:rPr>
          <w:rFonts w:ascii="Museo Sans 500" w:hAnsi="Museo Sans 500" w:cs="Open Sans"/>
          <w:sz w:val="21"/>
          <w:szCs w:val="21"/>
          <w:lang w:val="en-US"/>
        </w:rPr>
        <w:drawing>
          <wp:inline distT="0" distB="0" distL="0" distR="0">
            <wp:extent cx="6120130" cy="4896104"/>
            <wp:effectExtent l="19050" t="0" r="0" b="0"/>
            <wp:docPr id="6" name="Picture 4" descr="G:\Project\@example\ipm\figures\ipm-compar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roject\@example\ipm\figures\ipm-compare-v2.png"/>
                    <pic:cNvPicPr>
                      <a:picLocks noChangeAspect="1" noChangeArrowheads="1"/>
                    </pic:cNvPicPr>
                  </pic:nvPicPr>
                  <pic:blipFill>
                    <a:blip r:embed="rId6"/>
                    <a:srcRect/>
                    <a:stretch>
                      <a:fillRect/>
                    </a:stretch>
                  </pic:blipFill>
                  <pic:spPr bwMode="auto">
                    <a:xfrm>
                      <a:off x="0" y="0"/>
                      <a:ext cx="6120130" cy="4896104"/>
                    </a:xfrm>
                    <a:prstGeom prst="rect">
                      <a:avLst/>
                    </a:prstGeom>
                    <a:noFill/>
                    <a:ln w="9525">
                      <a:noFill/>
                      <a:miter lim="800000"/>
                      <a:headEnd/>
                      <a:tailEnd/>
                    </a:ln>
                  </pic:spPr>
                </pic:pic>
              </a:graphicData>
            </a:graphic>
          </wp:inline>
        </w:drawing>
      </w:r>
    </w:p>
    <w:p w:rsidR="00AF6332" w:rsidRDefault="00AF6332" w:rsidP="00BB605A">
      <w:pPr>
        <w:spacing w:after="0"/>
        <w:jc w:val="both"/>
        <w:rPr>
          <w:rFonts w:ascii="Museo Sans 500" w:hAnsi="Museo Sans 500" w:cs="Open Sans"/>
          <w:sz w:val="21"/>
          <w:szCs w:val="21"/>
          <w:lang w:val="en-US"/>
        </w:rPr>
      </w:pPr>
    </w:p>
    <w:p w:rsidR="00327C14" w:rsidRDefault="009D5BC9"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t>Perlu digarisbawahi bahwasannya, r</w:t>
      </w:r>
      <w:r w:rsidR="002A2505">
        <w:rPr>
          <w:rFonts w:ascii="Museo Sans 500" w:hAnsi="Museo Sans 500" w:cs="Open Sans"/>
          <w:sz w:val="21"/>
          <w:szCs w:val="21"/>
          <w:lang w:val="en-US"/>
        </w:rPr>
        <w:t>ata-rata nasional</w:t>
      </w:r>
      <w:r w:rsidR="00330DCB">
        <w:rPr>
          <w:rFonts w:ascii="Museo Sans 500" w:hAnsi="Museo Sans 500" w:cs="Open Sans"/>
          <w:sz w:val="21"/>
          <w:szCs w:val="21"/>
          <w:lang w:val="en-US"/>
        </w:rPr>
        <w:t xml:space="preserve"> di atas</w:t>
      </w:r>
      <w:r w:rsidR="002A2505">
        <w:rPr>
          <w:rFonts w:ascii="Museo Sans 500" w:hAnsi="Museo Sans 500" w:cs="Open Sans"/>
          <w:sz w:val="21"/>
          <w:szCs w:val="21"/>
          <w:lang w:val="en-US"/>
        </w:rPr>
        <w:t xml:space="preserve"> </w:t>
      </w:r>
      <w:r w:rsidR="00FA494B">
        <w:rPr>
          <w:rFonts w:ascii="Museo Sans 500" w:hAnsi="Museo Sans 500" w:cs="Open Sans"/>
          <w:sz w:val="21"/>
          <w:szCs w:val="21"/>
          <w:lang w:val="en-US"/>
        </w:rPr>
        <w:t>bukan berarti</w:t>
      </w:r>
      <w:r w:rsidR="002A2505">
        <w:rPr>
          <w:rFonts w:ascii="Museo Sans 500" w:hAnsi="Museo Sans 500" w:cs="Open Sans"/>
          <w:sz w:val="21"/>
          <w:szCs w:val="21"/>
          <w:lang w:val="en-US"/>
        </w:rPr>
        <w:t xml:space="preserve"> </w:t>
      </w:r>
      <w:r w:rsidR="00221482">
        <w:rPr>
          <w:rFonts w:ascii="Museo Sans 500" w:hAnsi="Museo Sans 500" w:cs="Open Sans"/>
          <w:sz w:val="21"/>
          <w:szCs w:val="21"/>
          <w:lang w:val="en-US"/>
        </w:rPr>
        <w:t>dikalkukasi berdasarkan</w:t>
      </w:r>
      <w:r>
        <w:rPr>
          <w:rFonts w:ascii="Museo Sans 500" w:hAnsi="Museo Sans 500" w:cs="Open Sans"/>
          <w:sz w:val="21"/>
          <w:szCs w:val="21"/>
          <w:lang w:val="en-US"/>
        </w:rPr>
        <w:t xml:space="preserve"> penghitungan rata-rata IPM</w:t>
      </w:r>
      <w:r w:rsidR="00BC4548">
        <w:rPr>
          <w:rFonts w:ascii="Museo Sans 500" w:hAnsi="Museo Sans 500" w:cs="Open Sans"/>
          <w:sz w:val="21"/>
          <w:szCs w:val="21"/>
          <w:lang w:val="en-US"/>
        </w:rPr>
        <w:t xml:space="preserve"> per</w:t>
      </w:r>
      <w:r>
        <w:rPr>
          <w:rFonts w:ascii="Museo Sans 500" w:hAnsi="Museo Sans 500" w:cs="Open Sans"/>
          <w:sz w:val="21"/>
          <w:szCs w:val="21"/>
          <w:lang w:val="en-US"/>
        </w:rPr>
        <w:t xml:space="preserve"> provinsi</w:t>
      </w:r>
      <w:r w:rsidR="00BC4548">
        <w:rPr>
          <w:rFonts w:ascii="Museo Sans 500" w:hAnsi="Museo Sans 500" w:cs="Open Sans"/>
          <w:sz w:val="21"/>
          <w:szCs w:val="21"/>
          <w:lang w:val="en-US"/>
        </w:rPr>
        <w:t xml:space="preserve"> melainkan </w:t>
      </w:r>
      <w:r w:rsidR="00980A2C">
        <w:rPr>
          <w:rFonts w:ascii="Museo Sans 500" w:hAnsi="Museo Sans 500" w:cs="Open Sans"/>
          <w:sz w:val="21"/>
          <w:szCs w:val="21"/>
          <w:lang w:val="en-US"/>
        </w:rPr>
        <w:t xml:space="preserve">merupakan IPM nasional yang </w:t>
      </w:r>
      <w:r w:rsidR="00221482">
        <w:rPr>
          <w:rFonts w:ascii="Museo Sans 500" w:hAnsi="Museo Sans 500" w:cs="Open Sans"/>
          <w:sz w:val="21"/>
          <w:szCs w:val="21"/>
          <w:lang w:val="en-US"/>
        </w:rPr>
        <w:t xml:space="preserve">dikalkulasi berdasarkan tiga komponen seperti </w:t>
      </w:r>
      <w:r w:rsidR="00BC4548">
        <w:rPr>
          <w:rFonts w:ascii="Museo Sans 500" w:hAnsi="Museo Sans 500" w:cs="Open Sans"/>
          <w:sz w:val="21"/>
          <w:szCs w:val="21"/>
          <w:lang w:val="en-US"/>
        </w:rPr>
        <w:t xml:space="preserve">kesehatan, pendidikan dan </w:t>
      </w:r>
      <w:r w:rsidR="00221482">
        <w:rPr>
          <w:rFonts w:ascii="Museo Sans 500" w:hAnsi="Museo Sans 500" w:cs="Open Sans"/>
          <w:sz w:val="21"/>
          <w:szCs w:val="21"/>
          <w:lang w:val="en-US"/>
        </w:rPr>
        <w:t>perekonomian</w:t>
      </w:r>
      <w:r w:rsidR="00BC4548">
        <w:rPr>
          <w:rFonts w:ascii="Museo Sans 500" w:hAnsi="Museo Sans 500" w:cs="Open Sans"/>
          <w:sz w:val="21"/>
          <w:szCs w:val="21"/>
          <w:lang w:val="en-US"/>
        </w:rPr>
        <w:t xml:space="preserve"> yang </w:t>
      </w:r>
      <w:r w:rsidR="00536640">
        <w:rPr>
          <w:rFonts w:ascii="Museo Sans 500" w:hAnsi="Museo Sans 500" w:cs="Open Sans"/>
          <w:sz w:val="21"/>
          <w:szCs w:val="21"/>
          <w:lang w:val="en-US"/>
        </w:rPr>
        <w:t>sudah</w:t>
      </w:r>
      <w:r w:rsidR="00BC4548">
        <w:rPr>
          <w:rFonts w:ascii="Museo Sans 500" w:hAnsi="Museo Sans 500" w:cs="Open Sans"/>
          <w:sz w:val="21"/>
          <w:szCs w:val="21"/>
          <w:lang w:val="en-US"/>
        </w:rPr>
        <w:t xml:space="preserve"> diagregasi secara nasional</w:t>
      </w:r>
      <w:r w:rsidR="009904BB">
        <w:rPr>
          <w:rFonts w:ascii="Museo Sans 500" w:hAnsi="Museo Sans 500" w:cs="Open Sans"/>
          <w:sz w:val="21"/>
          <w:szCs w:val="21"/>
          <w:lang w:val="en-US"/>
        </w:rPr>
        <w:t xml:space="preserve">. </w:t>
      </w:r>
      <w:r w:rsidR="00CE62F0">
        <w:rPr>
          <w:rFonts w:ascii="Museo Sans 500" w:hAnsi="Museo Sans 500" w:cs="Open Sans"/>
          <w:sz w:val="21"/>
          <w:szCs w:val="21"/>
          <w:lang w:val="en-US"/>
        </w:rPr>
        <w:t xml:space="preserve">Apabila rata-rata nasional didefinisikan sebagai rata-rata IPM per provinsi, angkanya </w:t>
      </w:r>
      <w:r w:rsidR="005472A5">
        <w:rPr>
          <w:rFonts w:ascii="Museo Sans 500" w:hAnsi="Museo Sans 500" w:cs="Open Sans"/>
          <w:sz w:val="21"/>
          <w:szCs w:val="21"/>
          <w:lang w:val="en-US"/>
        </w:rPr>
        <w:t xml:space="preserve">pun </w:t>
      </w:r>
      <w:r w:rsidR="00CE62F0">
        <w:rPr>
          <w:rFonts w:ascii="Museo Sans 500" w:hAnsi="Museo Sans 500" w:cs="Open Sans"/>
          <w:sz w:val="21"/>
          <w:szCs w:val="21"/>
          <w:lang w:val="en-US"/>
        </w:rPr>
        <w:t xml:space="preserve">akan menjadi </w:t>
      </w:r>
      <w:r w:rsidR="005472A5">
        <w:rPr>
          <w:rFonts w:ascii="Museo Sans 500" w:hAnsi="Museo Sans 500" w:cs="Open Sans"/>
          <w:sz w:val="21"/>
          <w:szCs w:val="21"/>
          <w:lang w:val="en-US"/>
        </w:rPr>
        <w:t>69,16 bukan 70,18.</w:t>
      </w:r>
    </w:p>
    <w:p w:rsidR="005472A5" w:rsidRDefault="005472A5" w:rsidP="009904BB">
      <w:pPr>
        <w:spacing w:after="0"/>
        <w:jc w:val="both"/>
        <w:rPr>
          <w:rFonts w:ascii="Museo Sans 500" w:hAnsi="Museo Sans 500" w:cs="Open Sans"/>
          <w:sz w:val="21"/>
          <w:szCs w:val="21"/>
          <w:lang w:val="en-US"/>
        </w:rPr>
      </w:pPr>
    </w:p>
    <w:p w:rsidR="005472A5" w:rsidRDefault="00DC5FFF"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t xml:space="preserve">Dari 34 provinsi, </w:t>
      </w:r>
      <w:r w:rsidR="00A76D79">
        <w:rPr>
          <w:rFonts w:ascii="Museo Sans 500" w:hAnsi="Museo Sans 500" w:cs="Open Sans"/>
          <w:sz w:val="21"/>
          <w:szCs w:val="21"/>
          <w:lang w:val="en-US"/>
        </w:rPr>
        <w:t xml:space="preserve">terdapat sebanyak </w:t>
      </w:r>
      <w:r w:rsidR="00A76D79" w:rsidRPr="00C93624">
        <w:rPr>
          <w:rFonts w:ascii="Museo Sans 500" w:hAnsi="Museo Sans 500" w:cs="Open Sans"/>
          <w:sz w:val="21"/>
          <w:szCs w:val="21"/>
        </w:rPr>
        <w:t>9 provinsi</w:t>
      </w:r>
      <w:r w:rsidR="00A76D79">
        <w:rPr>
          <w:rFonts w:ascii="Museo Sans 500" w:hAnsi="Museo Sans 500" w:cs="Open Sans"/>
          <w:sz w:val="21"/>
          <w:szCs w:val="21"/>
          <w:lang w:val="en-US"/>
        </w:rPr>
        <w:t xml:space="preserve"> yang</w:t>
      </w:r>
      <w:r w:rsidR="00A76D79" w:rsidRPr="00C93624">
        <w:rPr>
          <w:rFonts w:ascii="Museo Sans 500" w:hAnsi="Museo Sans 500" w:cs="Open Sans"/>
          <w:sz w:val="21"/>
          <w:szCs w:val="21"/>
        </w:rPr>
        <w:t xml:space="preserve"> memiliki IPM di atas </w:t>
      </w:r>
      <w:r w:rsidR="00A76D79">
        <w:rPr>
          <w:rFonts w:ascii="Museo Sans 500" w:hAnsi="Museo Sans 500" w:cs="Open Sans"/>
          <w:sz w:val="21"/>
          <w:szCs w:val="21"/>
          <w:lang w:val="en-US"/>
        </w:rPr>
        <w:t xml:space="preserve">angka </w:t>
      </w:r>
      <w:r w:rsidR="00A76D79" w:rsidRPr="00C93624">
        <w:rPr>
          <w:rFonts w:ascii="Museo Sans 500" w:hAnsi="Museo Sans 500" w:cs="Open Sans"/>
          <w:sz w:val="21"/>
          <w:szCs w:val="21"/>
        </w:rPr>
        <w:t>nasional dan 25 provinsi</w:t>
      </w:r>
      <w:r w:rsidR="00A76D79">
        <w:rPr>
          <w:rFonts w:ascii="Museo Sans 500" w:hAnsi="Museo Sans 500" w:cs="Open Sans"/>
          <w:sz w:val="21"/>
          <w:szCs w:val="21"/>
          <w:lang w:val="en-US"/>
        </w:rPr>
        <w:t xml:space="preserve"> yang</w:t>
      </w:r>
      <w:r w:rsidR="00A76D79" w:rsidRPr="00C93624">
        <w:rPr>
          <w:rFonts w:ascii="Museo Sans 500" w:hAnsi="Museo Sans 500" w:cs="Open Sans"/>
          <w:sz w:val="21"/>
          <w:szCs w:val="21"/>
        </w:rPr>
        <w:t xml:space="preserve"> memiliki IPM di bawah </w:t>
      </w:r>
      <w:r w:rsidR="00A76D79">
        <w:rPr>
          <w:rFonts w:ascii="Museo Sans 500" w:hAnsi="Museo Sans 500" w:cs="Open Sans"/>
          <w:sz w:val="21"/>
          <w:szCs w:val="21"/>
          <w:lang w:val="en-US"/>
        </w:rPr>
        <w:t>angka nasional</w:t>
      </w:r>
      <w:r w:rsidR="00727D09">
        <w:rPr>
          <w:rFonts w:ascii="Museo Sans 500" w:hAnsi="Museo Sans 500" w:cs="Open Sans"/>
          <w:sz w:val="21"/>
          <w:szCs w:val="21"/>
          <w:lang w:val="en-US"/>
        </w:rPr>
        <w:t xml:space="preserve">. Idealnya adalah rasio antar </w:t>
      </w:r>
      <w:r w:rsidR="00DD766F">
        <w:rPr>
          <w:rFonts w:ascii="Museo Sans 500" w:hAnsi="Museo Sans 500" w:cs="Open Sans"/>
          <w:sz w:val="21"/>
          <w:szCs w:val="21"/>
          <w:lang w:val="en-US"/>
        </w:rPr>
        <w:t>banyaknya provinsi dengan IPM di atas angka nasional dengan banyaknya provinsi dengan IPM di bawah angka nasional</w:t>
      </w:r>
      <w:r w:rsidR="00727D09">
        <w:rPr>
          <w:rFonts w:ascii="Museo Sans 500" w:hAnsi="Museo Sans 500" w:cs="Open Sans"/>
          <w:sz w:val="21"/>
          <w:szCs w:val="21"/>
          <w:lang w:val="en-US"/>
        </w:rPr>
        <w:t xml:space="preserve"> sebesar 50:50 namun pada kenyataanya rasionya adalah sebesar 27:73</w:t>
      </w:r>
      <w:r w:rsidR="00DD5139">
        <w:rPr>
          <w:rFonts w:ascii="Museo Sans 500" w:hAnsi="Museo Sans 500" w:cs="Open Sans"/>
          <w:sz w:val="21"/>
          <w:szCs w:val="21"/>
          <w:lang w:val="en-US"/>
        </w:rPr>
        <w:t xml:space="preserve">. </w:t>
      </w:r>
      <w:r w:rsidR="006933CD">
        <w:rPr>
          <w:rFonts w:ascii="Museo Sans 500" w:hAnsi="Museo Sans 500" w:cs="Open Sans"/>
          <w:sz w:val="21"/>
          <w:szCs w:val="21"/>
          <w:lang w:val="en-US"/>
        </w:rPr>
        <w:t>Secara tidak langsung, h</w:t>
      </w:r>
      <w:r w:rsidR="00A12236">
        <w:rPr>
          <w:rFonts w:ascii="Museo Sans 500" w:hAnsi="Museo Sans 500" w:cs="Open Sans"/>
          <w:sz w:val="21"/>
          <w:szCs w:val="21"/>
          <w:lang w:val="en-US"/>
        </w:rPr>
        <w:t xml:space="preserve">al ini menunjukkan bahwa IPM nasional condong dipengaruhi oleh angka yang didapatkan dari kualitas kesehatan, pendidikan </w:t>
      </w:r>
      <w:r w:rsidR="00657D02">
        <w:rPr>
          <w:rFonts w:ascii="Museo Sans 500" w:hAnsi="Museo Sans 500" w:cs="Open Sans"/>
          <w:sz w:val="21"/>
          <w:szCs w:val="21"/>
          <w:lang w:val="en-US"/>
        </w:rPr>
        <w:t xml:space="preserve">maupun </w:t>
      </w:r>
      <w:r w:rsidR="00A12236">
        <w:rPr>
          <w:rFonts w:ascii="Museo Sans 500" w:hAnsi="Museo Sans 500" w:cs="Open Sans"/>
          <w:sz w:val="21"/>
          <w:szCs w:val="21"/>
          <w:lang w:val="en-US"/>
        </w:rPr>
        <w:t xml:space="preserve">perekonomian yang </w:t>
      </w:r>
      <w:r w:rsidR="001D6785">
        <w:rPr>
          <w:rFonts w:ascii="Museo Sans 500" w:hAnsi="Museo Sans 500" w:cs="Open Sans"/>
          <w:sz w:val="21"/>
          <w:szCs w:val="21"/>
          <w:lang w:val="en-US"/>
        </w:rPr>
        <w:t>diperoleh</w:t>
      </w:r>
      <w:r w:rsidR="00A12236">
        <w:rPr>
          <w:rFonts w:ascii="Museo Sans 500" w:hAnsi="Museo Sans 500" w:cs="Open Sans"/>
          <w:sz w:val="21"/>
          <w:szCs w:val="21"/>
          <w:lang w:val="en-US"/>
        </w:rPr>
        <w:t xml:space="preserve"> dari </w:t>
      </w:r>
      <w:r w:rsidR="001D6785">
        <w:rPr>
          <w:rFonts w:ascii="Museo Sans 500" w:hAnsi="Museo Sans 500" w:cs="Open Sans"/>
          <w:sz w:val="21"/>
          <w:szCs w:val="21"/>
          <w:lang w:val="en-US"/>
        </w:rPr>
        <w:t xml:space="preserve">provinsi atau </w:t>
      </w:r>
      <w:r w:rsidR="006933CD">
        <w:rPr>
          <w:rFonts w:ascii="Museo Sans 500" w:hAnsi="Museo Sans 500" w:cs="Open Sans"/>
          <w:sz w:val="21"/>
          <w:szCs w:val="21"/>
          <w:lang w:val="en-US"/>
        </w:rPr>
        <w:t xml:space="preserve">wilayah tertentu. Hal seperti ini </w:t>
      </w:r>
      <w:r w:rsidR="00657D02">
        <w:rPr>
          <w:rFonts w:ascii="Museo Sans 500" w:hAnsi="Museo Sans 500" w:cs="Open Sans"/>
          <w:sz w:val="21"/>
          <w:szCs w:val="21"/>
          <w:lang w:val="en-US"/>
        </w:rPr>
        <w:t>dapat dikaitkan</w:t>
      </w:r>
      <w:r w:rsidR="006933CD">
        <w:rPr>
          <w:rFonts w:ascii="Museo Sans 500" w:hAnsi="Museo Sans 500" w:cs="Open Sans"/>
          <w:sz w:val="21"/>
          <w:szCs w:val="21"/>
          <w:lang w:val="en-US"/>
        </w:rPr>
        <w:t xml:space="preserve"> dengan Prinsip Pareto yang berarti 80% daripada efeknya disebabkan oleh 20% dari penyebabnya.</w:t>
      </w:r>
      <w:r w:rsidR="00657D02">
        <w:rPr>
          <w:rFonts w:ascii="Museo Sans 500" w:hAnsi="Museo Sans 500" w:cs="Open Sans"/>
          <w:sz w:val="21"/>
          <w:szCs w:val="21"/>
          <w:lang w:val="en-US"/>
        </w:rPr>
        <w:t xml:space="preserve"> Dari sini pun terlihat bahwasannya kesenjangan antar wilayah di Indonesia </w:t>
      </w:r>
      <w:r w:rsidR="007617CE">
        <w:rPr>
          <w:rFonts w:ascii="Museo Sans 500" w:hAnsi="Museo Sans 500" w:cs="Open Sans"/>
          <w:sz w:val="21"/>
          <w:szCs w:val="21"/>
          <w:lang w:val="en-US"/>
        </w:rPr>
        <w:t xml:space="preserve">memang </w:t>
      </w:r>
      <w:r w:rsidR="00657D02">
        <w:rPr>
          <w:rFonts w:ascii="Museo Sans 500" w:hAnsi="Museo Sans 500" w:cs="Open Sans"/>
          <w:sz w:val="21"/>
          <w:szCs w:val="21"/>
          <w:lang w:val="en-US"/>
        </w:rPr>
        <w:t xml:space="preserve">merupakan PR </w:t>
      </w:r>
      <w:r w:rsidR="00CB004C">
        <w:rPr>
          <w:rFonts w:ascii="Museo Sans 500" w:hAnsi="Museo Sans 500" w:cs="Open Sans"/>
          <w:sz w:val="21"/>
          <w:szCs w:val="21"/>
          <w:lang w:val="en-US"/>
        </w:rPr>
        <w:t>besar bagi pemerintah Indonesia.</w:t>
      </w:r>
    </w:p>
    <w:p w:rsidR="007A6B7E" w:rsidRDefault="007A6B7E" w:rsidP="009904BB">
      <w:pPr>
        <w:spacing w:after="0"/>
        <w:jc w:val="both"/>
        <w:rPr>
          <w:rFonts w:ascii="Museo Sans 500" w:hAnsi="Museo Sans 500" w:cs="Open Sans"/>
          <w:sz w:val="21"/>
          <w:szCs w:val="21"/>
          <w:lang w:val="en-US"/>
        </w:rPr>
      </w:pPr>
    </w:p>
    <w:p w:rsidR="007A6B7E" w:rsidRDefault="007A6B7E" w:rsidP="009904BB">
      <w:pPr>
        <w:spacing w:after="0"/>
        <w:jc w:val="both"/>
        <w:rPr>
          <w:rFonts w:ascii="Museo Sans 500" w:hAnsi="Museo Sans 500" w:cs="Open Sans"/>
          <w:sz w:val="21"/>
          <w:szCs w:val="21"/>
          <w:lang w:val="en-US"/>
        </w:rPr>
      </w:pPr>
    </w:p>
    <w:p w:rsidR="007A6B7E" w:rsidRDefault="007A6B7E"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lastRenderedPageBreak/>
        <w:drawing>
          <wp:inline distT="0" distB="0" distL="0" distR="0">
            <wp:extent cx="5203032" cy="8324850"/>
            <wp:effectExtent l="19050" t="0" r="0" b="0"/>
            <wp:docPr id="7" name="Picture 5" descr="G:\Project\@example\ipm\figures\ipm-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roject\@example\ipm\figures\ipm-trend.png"/>
                    <pic:cNvPicPr>
                      <a:picLocks noChangeAspect="1" noChangeArrowheads="1"/>
                    </pic:cNvPicPr>
                  </pic:nvPicPr>
                  <pic:blipFill>
                    <a:blip r:embed="rId7"/>
                    <a:srcRect/>
                    <a:stretch>
                      <a:fillRect/>
                    </a:stretch>
                  </pic:blipFill>
                  <pic:spPr bwMode="auto">
                    <a:xfrm>
                      <a:off x="0" y="0"/>
                      <a:ext cx="5203302" cy="8325282"/>
                    </a:xfrm>
                    <a:prstGeom prst="rect">
                      <a:avLst/>
                    </a:prstGeom>
                    <a:noFill/>
                    <a:ln w="9525">
                      <a:noFill/>
                      <a:miter lim="800000"/>
                      <a:headEnd/>
                      <a:tailEnd/>
                    </a:ln>
                  </pic:spPr>
                </pic:pic>
              </a:graphicData>
            </a:graphic>
          </wp:inline>
        </w:drawing>
      </w:r>
    </w:p>
    <w:p w:rsidR="009A1479" w:rsidRDefault="007A6B7E"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t>Dari plot di atas, terlihat bahwasannya IPM nasional maupun provinsi memiliki tren linear positif dari tahun ke tahun. Selain itu, terdapat dua provinsi yang awalnya memiliki IPM di atas angka nasional namun pada akhirnya memiliki IPM di bawah angka nasional. Kedua provinsi tersebut adalah Aceh</w:t>
      </w:r>
      <w:r w:rsidR="002F00FD">
        <w:rPr>
          <w:rFonts w:ascii="Museo Sans 500" w:hAnsi="Museo Sans 500" w:cs="Open Sans"/>
          <w:sz w:val="21"/>
          <w:szCs w:val="21"/>
          <w:lang w:val="en-US"/>
        </w:rPr>
        <w:t xml:space="preserve"> yang mulai mendapatkan IPM di bawah angka nasional pada tahun 2013 dan Sumatera Utara yang mulai mendapatkan IPM di bawah angka nasional pada tahun 2014</w:t>
      </w:r>
      <w:r>
        <w:rPr>
          <w:rFonts w:ascii="Museo Sans 500" w:hAnsi="Museo Sans 500" w:cs="Open Sans"/>
          <w:sz w:val="21"/>
          <w:szCs w:val="21"/>
          <w:lang w:val="en-US"/>
        </w:rPr>
        <w:t>.</w:t>
      </w:r>
      <w:r w:rsidR="002F00FD">
        <w:rPr>
          <w:rFonts w:ascii="Museo Sans 500" w:hAnsi="Museo Sans 500" w:cs="Open Sans"/>
          <w:sz w:val="21"/>
          <w:szCs w:val="21"/>
          <w:lang w:val="en-US"/>
        </w:rPr>
        <w:t xml:space="preserve"> </w:t>
      </w:r>
      <w:r w:rsidR="009A1479">
        <w:rPr>
          <w:rFonts w:ascii="Museo Sans 500" w:hAnsi="Museo Sans 500" w:cs="Open Sans"/>
          <w:sz w:val="21"/>
          <w:szCs w:val="21"/>
          <w:lang w:val="en-US"/>
        </w:rPr>
        <w:t xml:space="preserve">Hal ini pun </w:t>
      </w:r>
      <w:r w:rsidR="009A1479">
        <w:rPr>
          <w:rFonts w:ascii="Museo Sans 500" w:hAnsi="Museo Sans 500" w:cs="Open Sans"/>
          <w:sz w:val="21"/>
          <w:szCs w:val="21"/>
          <w:lang w:val="en-US"/>
        </w:rPr>
        <w:lastRenderedPageBreak/>
        <w:t xml:space="preserve">menunjukkan bahwa pada tahun 2010, 2011, 2012 atau 2013, rasio antar banyaknya provinsi dengan IPM di atas angka nasional dengan banyaknya provinsi dengan IPM di bawah angka nasional jauh lebih besar dibandingkan dengan tahun sesudahnya yaitu tahun 2014, 2015 maupun 2016. </w:t>
      </w:r>
    </w:p>
    <w:p w:rsidR="009A1479" w:rsidRDefault="009A1479" w:rsidP="009904BB">
      <w:pPr>
        <w:spacing w:after="0"/>
        <w:jc w:val="both"/>
        <w:rPr>
          <w:rFonts w:ascii="Museo Sans 500" w:hAnsi="Museo Sans 500" w:cs="Open Sans"/>
          <w:sz w:val="21"/>
          <w:szCs w:val="21"/>
          <w:lang w:val="en-US"/>
        </w:rPr>
      </w:pPr>
    </w:p>
    <w:p w:rsidR="00065B8F" w:rsidRDefault="009A1479"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t xml:space="preserve">Hal tersebut pun terjadi dikarenakan pertumbuhan tahunan IPM nasional jauh lebih tinggi dibandingkan pertumbuhan untuk provinsi Aceh dan Sumatera Utara yang memiliki IPM yang sangat tipis dengan IPM nasional. </w:t>
      </w:r>
      <w:r w:rsidR="007A6B7E">
        <w:rPr>
          <w:rFonts w:ascii="Museo Sans 500" w:hAnsi="Museo Sans 500" w:cs="Open Sans"/>
          <w:sz w:val="21"/>
          <w:szCs w:val="21"/>
          <w:lang w:val="en-US"/>
        </w:rPr>
        <w:t>Untuk lebih detailnya, anal</w:t>
      </w:r>
      <w:r>
        <w:rPr>
          <w:rFonts w:ascii="Museo Sans 500" w:hAnsi="Museo Sans 500" w:cs="Open Sans"/>
          <w:sz w:val="21"/>
          <w:szCs w:val="21"/>
          <w:lang w:val="en-US"/>
        </w:rPr>
        <w:t>isis regresi untuk tiap provinsi</w:t>
      </w:r>
      <w:r w:rsidR="007A6B7E">
        <w:rPr>
          <w:rFonts w:ascii="Museo Sans 500" w:hAnsi="Museo Sans 500" w:cs="Open Sans"/>
          <w:sz w:val="21"/>
          <w:szCs w:val="21"/>
          <w:lang w:val="en-US"/>
        </w:rPr>
        <w:t xml:space="preserve"> dilakukan dengan tujuan untuk melihat koefisien regresi/kemiringan (</w:t>
      </w:r>
      <w:r w:rsidR="007A6B7E">
        <w:rPr>
          <w:rFonts w:ascii="Museo Sans 500" w:hAnsi="Museo Sans 500" w:cs="Open Sans"/>
          <w:i/>
          <w:sz w:val="21"/>
          <w:szCs w:val="21"/>
          <w:lang w:val="en-US"/>
        </w:rPr>
        <w:t>slope</w:t>
      </w:r>
      <w:r w:rsidR="007A6B7E">
        <w:rPr>
          <w:rFonts w:ascii="Museo Sans 500" w:hAnsi="Museo Sans 500" w:cs="Open Sans"/>
          <w:sz w:val="21"/>
          <w:szCs w:val="21"/>
          <w:lang w:val="en-US"/>
        </w:rPr>
        <w:t xml:space="preserve">) </w:t>
      </w:r>
      <w:r w:rsidR="00056DCD">
        <w:rPr>
          <w:rFonts w:ascii="Museo Sans 500" w:hAnsi="Museo Sans 500" w:cs="Open Sans"/>
          <w:sz w:val="21"/>
          <w:szCs w:val="21"/>
          <w:lang w:val="en-US"/>
        </w:rPr>
        <w:t xml:space="preserve">berdasarkan waktu </w:t>
      </w:r>
      <w:r w:rsidR="007A6B7E">
        <w:rPr>
          <w:rFonts w:ascii="Museo Sans 500" w:hAnsi="Museo Sans 500" w:cs="Open Sans"/>
          <w:sz w:val="21"/>
          <w:szCs w:val="21"/>
          <w:lang w:val="en-US"/>
        </w:rPr>
        <w:t>atau dengan kata lain merupakan rata-rata pertumbuhan IPM dari tahun ke tahun.</w:t>
      </w:r>
      <w:r>
        <w:rPr>
          <w:rFonts w:ascii="Museo Sans 500" w:hAnsi="Museo Sans 500" w:cs="Open Sans"/>
          <w:sz w:val="21"/>
          <w:szCs w:val="21"/>
          <w:lang w:val="en-US"/>
        </w:rPr>
        <w:t xml:space="preserve"> </w:t>
      </w:r>
    </w:p>
    <w:p w:rsidR="00065B8F" w:rsidRDefault="00065B8F" w:rsidP="009904BB">
      <w:pPr>
        <w:spacing w:after="0"/>
        <w:jc w:val="both"/>
        <w:rPr>
          <w:rFonts w:ascii="Museo Sans 500" w:hAnsi="Museo Sans 500" w:cs="Open Sans"/>
          <w:sz w:val="21"/>
          <w:szCs w:val="21"/>
          <w:lang w:val="en-US"/>
        </w:rPr>
      </w:pPr>
    </w:p>
    <w:p w:rsidR="007A6B7E" w:rsidRDefault="009A1479"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t xml:space="preserve">Terdapat </w:t>
      </w:r>
      <w:r w:rsidR="00E804A1">
        <w:rPr>
          <w:rFonts w:ascii="Museo Sans 500" w:hAnsi="Museo Sans 500" w:cs="Open Sans"/>
          <w:sz w:val="21"/>
          <w:szCs w:val="21"/>
          <w:lang w:val="en-US"/>
        </w:rPr>
        <w:t xml:space="preserve">sebanyak </w:t>
      </w:r>
      <w:r>
        <w:rPr>
          <w:rFonts w:ascii="Museo Sans 500" w:hAnsi="Museo Sans 500" w:cs="Open Sans"/>
          <w:sz w:val="21"/>
          <w:szCs w:val="21"/>
          <w:lang w:val="en-US"/>
        </w:rPr>
        <w:t>35 model regresi dengan rincian 1 model regresi untuk IPM nasional dan 34 model re</w:t>
      </w:r>
      <w:r w:rsidR="00A776E4">
        <w:rPr>
          <w:rFonts w:ascii="Museo Sans 500" w:hAnsi="Museo Sans 500" w:cs="Open Sans"/>
          <w:sz w:val="21"/>
          <w:szCs w:val="21"/>
          <w:lang w:val="en-US"/>
        </w:rPr>
        <w:t>gresi untuk IPM provinsi, menggunakan variabel IPM sebagai variabel dependen dan variabel waktu (tah</w:t>
      </w:r>
      <w:r w:rsidR="003E7141">
        <w:rPr>
          <w:rFonts w:ascii="Museo Sans 500" w:hAnsi="Museo Sans 500" w:cs="Open Sans"/>
          <w:sz w:val="21"/>
          <w:szCs w:val="21"/>
          <w:lang w:val="en-US"/>
        </w:rPr>
        <w:t xml:space="preserve">un) sebagai variabel independen. </w:t>
      </w:r>
      <w:r w:rsidR="00056DCD">
        <w:rPr>
          <w:rFonts w:ascii="Museo Sans 500" w:hAnsi="Museo Sans 500" w:cs="Open Sans"/>
          <w:sz w:val="21"/>
          <w:szCs w:val="21"/>
          <w:lang w:val="en-US"/>
        </w:rPr>
        <w:t>Terdapat sebanyak 7 observasi yang</w:t>
      </w:r>
      <w:r w:rsidR="003E7141">
        <w:rPr>
          <w:rFonts w:ascii="Museo Sans 500" w:hAnsi="Museo Sans 500" w:cs="Open Sans"/>
          <w:sz w:val="21"/>
          <w:szCs w:val="21"/>
          <w:lang w:val="en-US"/>
        </w:rPr>
        <w:t xml:space="preserve"> dimulai dari tahun 2010 s.d. 2016</w:t>
      </w:r>
      <w:r w:rsidR="00065B8F">
        <w:rPr>
          <w:rFonts w:ascii="Museo Sans 500" w:hAnsi="Museo Sans 500" w:cs="Open Sans"/>
          <w:sz w:val="21"/>
          <w:szCs w:val="21"/>
          <w:lang w:val="en-US"/>
        </w:rPr>
        <w:t xml:space="preserve"> (kecuali untuk K</w:t>
      </w:r>
      <w:r w:rsidR="003E7141">
        <w:rPr>
          <w:rFonts w:ascii="Museo Sans 500" w:hAnsi="Museo Sans 500" w:cs="Open Sans"/>
          <w:sz w:val="21"/>
          <w:szCs w:val="21"/>
          <w:lang w:val="en-US"/>
        </w:rPr>
        <w:t>alimantan Utara yang hanya ada 4</w:t>
      </w:r>
      <w:r w:rsidR="00065B8F">
        <w:rPr>
          <w:rFonts w:ascii="Museo Sans 500" w:hAnsi="Museo Sans 500" w:cs="Open Sans"/>
          <w:sz w:val="21"/>
          <w:szCs w:val="21"/>
          <w:lang w:val="en-US"/>
        </w:rPr>
        <w:t xml:space="preserve"> observasi). Model yang dibentuk pun signifikan dengan taraf nyata 5% maupun 1%.</w:t>
      </w:r>
      <w:r w:rsidR="00AC6115">
        <w:rPr>
          <w:rFonts w:ascii="Museo Sans 500" w:hAnsi="Museo Sans 500" w:cs="Open Sans"/>
          <w:sz w:val="21"/>
          <w:szCs w:val="21"/>
          <w:lang w:val="en-US"/>
        </w:rPr>
        <w:t xml:space="preserve"> Dokumentasi analisis lebih lanjut dapat dilihat di sini.</w:t>
      </w:r>
    </w:p>
    <w:p w:rsidR="00E804A1" w:rsidRDefault="00E804A1" w:rsidP="009904BB">
      <w:pPr>
        <w:spacing w:after="0"/>
        <w:jc w:val="both"/>
        <w:rPr>
          <w:rFonts w:ascii="Museo Sans 500" w:hAnsi="Museo Sans 500" w:cs="Open Sans"/>
          <w:sz w:val="21"/>
          <w:szCs w:val="21"/>
          <w:lang w:val="en-US"/>
        </w:rPr>
      </w:pPr>
    </w:p>
    <w:p w:rsidR="00E804A1" w:rsidRDefault="00E804A1"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drawing>
          <wp:inline distT="0" distB="0" distL="0" distR="0">
            <wp:extent cx="6120130" cy="4896104"/>
            <wp:effectExtent l="19050" t="0" r="0" b="0"/>
            <wp:docPr id="8" name="Picture 6" descr="G:\Project\@example\ipm\figures\ipm-reg-sl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roject\@example\ipm\figures\ipm-reg-slope.png"/>
                    <pic:cNvPicPr>
                      <a:picLocks noChangeAspect="1" noChangeArrowheads="1"/>
                    </pic:cNvPicPr>
                  </pic:nvPicPr>
                  <pic:blipFill>
                    <a:blip r:embed="rId8"/>
                    <a:srcRect/>
                    <a:stretch>
                      <a:fillRect/>
                    </a:stretch>
                  </pic:blipFill>
                  <pic:spPr bwMode="auto">
                    <a:xfrm>
                      <a:off x="0" y="0"/>
                      <a:ext cx="6120130" cy="4896104"/>
                    </a:xfrm>
                    <a:prstGeom prst="rect">
                      <a:avLst/>
                    </a:prstGeom>
                    <a:noFill/>
                    <a:ln w="9525">
                      <a:noFill/>
                      <a:miter lim="800000"/>
                      <a:headEnd/>
                      <a:tailEnd/>
                    </a:ln>
                  </pic:spPr>
                </pic:pic>
              </a:graphicData>
            </a:graphic>
          </wp:inline>
        </w:drawing>
      </w:r>
    </w:p>
    <w:p w:rsidR="00E804A1" w:rsidRDefault="00065B8F"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t xml:space="preserve">Aceh dan Sumatera Utara memiliki rata-rata pertumbuhan tahunan di bawah nasional yaitu berturut-turut dengan koefisien </w:t>
      </w:r>
      <w:r w:rsidR="00056DCD">
        <w:rPr>
          <w:rFonts w:ascii="Museo Sans 500" w:hAnsi="Museo Sans 500" w:cs="Open Sans"/>
          <w:sz w:val="21"/>
          <w:szCs w:val="21"/>
          <w:lang w:val="en-US"/>
        </w:rPr>
        <w:t>kemiringan</w:t>
      </w:r>
      <w:r>
        <w:rPr>
          <w:rFonts w:ascii="Museo Sans 500" w:hAnsi="Museo Sans 500" w:cs="Open Sans"/>
          <w:sz w:val="21"/>
          <w:szCs w:val="21"/>
          <w:lang w:val="en-US"/>
        </w:rPr>
        <w:t xml:space="preserve"> sebesar</w:t>
      </w:r>
      <w:r w:rsidR="00056DCD">
        <w:rPr>
          <w:rFonts w:ascii="Museo Sans 500" w:hAnsi="Museo Sans 500" w:cs="Open Sans"/>
          <w:sz w:val="21"/>
          <w:szCs w:val="21"/>
          <w:lang w:val="en-US"/>
        </w:rPr>
        <w:t xml:space="preserve"> 0,4903 dan 0,5071.</w:t>
      </w:r>
      <w:r w:rsidR="00B6281D">
        <w:rPr>
          <w:rFonts w:ascii="Museo Sans 500" w:hAnsi="Museo Sans 500" w:cs="Open Sans"/>
          <w:sz w:val="21"/>
          <w:szCs w:val="21"/>
          <w:lang w:val="en-US"/>
        </w:rPr>
        <w:t xml:space="preserve"> </w:t>
      </w:r>
      <w:r w:rsidR="009E4B09">
        <w:rPr>
          <w:rFonts w:ascii="Museo Sans 500" w:hAnsi="Museo Sans 500" w:cs="Open Sans"/>
          <w:sz w:val="21"/>
          <w:szCs w:val="21"/>
          <w:lang w:val="en-US"/>
        </w:rPr>
        <w:t>Standar</w:t>
      </w:r>
      <w:r w:rsidR="00B6281D">
        <w:rPr>
          <w:rFonts w:ascii="Museo Sans 500" w:hAnsi="Museo Sans 500" w:cs="Open Sans"/>
          <w:sz w:val="21"/>
          <w:szCs w:val="21"/>
          <w:lang w:val="en-US"/>
        </w:rPr>
        <w:t xml:space="preserve"> eror digambarkan</w:t>
      </w:r>
      <w:r w:rsidR="009E4B09">
        <w:rPr>
          <w:rFonts w:ascii="Museo Sans 500" w:hAnsi="Museo Sans 500" w:cs="Open Sans"/>
          <w:sz w:val="21"/>
          <w:szCs w:val="21"/>
          <w:lang w:val="en-US"/>
        </w:rPr>
        <w:t xml:space="preserve"> pada plot di atas</w:t>
      </w:r>
      <w:r w:rsidR="00B6281D">
        <w:rPr>
          <w:rFonts w:ascii="Museo Sans 500" w:hAnsi="Museo Sans 500" w:cs="Open Sans"/>
          <w:sz w:val="21"/>
          <w:szCs w:val="21"/>
          <w:lang w:val="en-US"/>
        </w:rPr>
        <w:t xml:space="preserve"> menjulur ke kanan</w:t>
      </w:r>
      <w:r w:rsidR="009E4B09">
        <w:rPr>
          <w:rFonts w:ascii="Museo Sans 500" w:hAnsi="Museo Sans 500" w:cs="Open Sans"/>
          <w:sz w:val="21"/>
          <w:szCs w:val="21"/>
          <w:lang w:val="en-US"/>
        </w:rPr>
        <w:t xml:space="preserve"> (untuk rentang atas)</w:t>
      </w:r>
      <w:r w:rsidR="00B6281D">
        <w:rPr>
          <w:rFonts w:ascii="Museo Sans 500" w:hAnsi="Museo Sans 500" w:cs="Open Sans"/>
          <w:sz w:val="21"/>
          <w:szCs w:val="21"/>
          <w:lang w:val="en-US"/>
        </w:rPr>
        <w:t xml:space="preserve"> dan ke kiri</w:t>
      </w:r>
      <w:r w:rsidR="009E4B09">
        <w:rPr>
          <w:rFonts w:ascii="Museo Sans 500" w:hAnsi="Museo Sans 500" w:cs="Open Sans"/>
          <w:sz w:val="21"/>
          <w:szCs w:val="21"/>
          <w:lang w:val="en-US"/>
        </w:rPr>
        <w:t xml:space="preserve"> (untung rentang bawah)</w:t>
      </w:r>
      <w:r w:rsidR="00B6281D">
        <w:rPr>
          <w:rFonts w:ascii="Museo Sans 500" w:hAnsi="Museo Sans 500" w:cs="Open Sans"/>
          <w:sz w:val="21"/>
          <w:szCs w:val="21"/>
          <w:lang w:val="en-US"/>
        </w:rPr>
        <w:t xml:space="preserve"> dari titik koefisien kemiringan. Terlihat pula bahwasannya, standar eror untuk Kalimantan Utara merupakan yang tertinggi dikarenakan jumlah observasi yang digunakan pun lebih sedikit dibandingkan provinsi lain.</w:t>
      </w:r>
    </w:p>
    <w:p w:rsidR="002839AC" w:rsidRDefault="002839AC" w:rsidP="009904BB">
      <w:pPr>
        <w:spacing w:after="0"/>
        <w:jc w:val="both"/>
        <w:rPr>
          <w:rFonts w:ascii="Museo Sans 500" w:hAnsi="Museo Sans 500" w:cs="Open Sans"/>
          <w:sz w:val="21"/>
          <w:szCs w:val="21"/>
          <w:lang w:val="en-US"/>
        </w:rPr>
      </w:pPr>
    </w:p>
    <w:p w:rsidR="002839AC" w:rsidRDefault="002839AC"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lastRenderedPageBreak/>
        <w:t xml:space="preserve">Pertumbuhan tertinggi </w:t>
      </w:r>
      <w:r w:rsidR="002274AB">
        <w:rPr>
          <w:rFonts w:ascii="Museo Sans 500" w:hAnsi="Museo Sans 500" w:cs="Open Sans"/>
          <w:sz w:val="21"/>
          <w:szCs w:val="21"/>
          <w:lang w:val="en-US"/>
        </w:rPr>
        <w:t xml:space="preserve">diraih oleh Nusa Tenggara Barat dengan koefisien kemiringan sebesar 0,7635 atau dengan kata lain IPM Nusa Tenggara Barat rata-rata meningkat sebesar 0,7635 per tahun. Hal ini merupakan sinyal positif untuk Nusa Tenggara Barat yang memiliki IPM di bawah angka nasional dan menempati posisi ke-5 IPM terendah di tahun 2016. </w:t>
      </w:r>
      <w:r w:rsidR="00B27E29">
        <w:rPr>
          <w:rFonts w:ascii="Museo Sans 500" w:hAnsi="Museo Sans 500" w:cs="Open Sans"/>
          <w:sz w:val="21"/>
          <w:szCs w:val="21"/>
          <w:lang w:val="en-US"/>
        </w:rPr>
        <w:t>Hal yang perlu diperhatikan adalah Papua Barat dikarenakan memiliki pertumbuhan yang lambat</w:t>
      </w:r>
      <w:r w:rsidR="00E853D8">
        <w:rPr>
          <w:rFonts w:ascii="Museo Sans 500" w:hAnsi="Museo Sans 500" w:cs="Open Sans"/>
          <w:sz w:val="21"/>
          <w:szCs w:val="21"/>
          <w:lang w:val="en-US"/>
        </w:rPr>
        <w:t xml:space="preserve"> (ke-2 terendah)</w:t>
      </w:r>
      <w:r w:rsidR="00B27E29">
        <w:rPr>
          <w:rFonts w:ascii="Museo Sans 500" w:hAnsi="Museo Sans 500" w:cs="Open Sans"/>
          <w:sz w:val="21"/>
          <w:szCs w:val="21"/>
          <w:lang w:val="en-US"/>
        </w:rPr>
        <w:t xml:space="preserve"> dan juga IPM </w:t>
      </w:r>
      <w:r w:rsidR="00E853D8">
        <w:rPr>
          <w:rFonts w:ascii="Museo Sans 500" w:hAnsi="Museo Sans 500" w:cs="Open Sans"/>
          <w:sz w:val="21"/>
          <w:szCs w:val="21"/>
          <w:lang w:val="en-US"/>
        </w:rPr>
        <w:t xml:space="preserve">di bawah angka nasional (ke-2 terendah). </w:t>
      </w:r>
      <w:r w:rsidR="00E53257">
        <w:rPr>
          <w:rFonts w:ascii="Museo Sans 500" w:hAnsi="Museo Sans 500" w:cs="Open Sans"/>
          <w:sz w:val="21"/>
          <w:szCs w:val="21"/>
          <w:lang w:val="en-US"/>
        </w:rPr>
        <w:t>Terlihat juga bahwa u</w:t>
      </w:r>
      <w:r w:rsidR="00B27E29">
        <w:rPr>
          <w:rFonts w:ascii="Museo Sans 500" w:hAnsi="Museo Sans 500" w:cs="Open Sans"/>
          <w:sz w:val="21"/>
          <w:szCs w:val="21"/>
          <w:lang w:val="en-US"/>
        </w:rPr>
        <w:t>ntuk IPM yang tinggi</w:t>
      </w:r>
      <w:r w:rsidR="00E853D8">
        <w:rPr>
          <w:rFonts w:ascii="Museo Sans 500" w:hAnsi="Museo Sans 500" w:cs="Open Sans"/>
          <w:sz w:val="21"/>
          <w:szCs w:val="21"/>
          <w:lang w:val="en-US"/>
        </w:rPr>
        <w:t xml:space="preserve"> atau di atas angka nasional memang</w:t>
      </w:r>
      <w:r w:rsidR="00B27E29">
        <w:rPr>
          <w:rFonts w:ascii="Museo Sans 500" w:hAnsi="Museo Sans 500" w:cs="Open Sans"/>
          <w:sz w:val="21"/>
          <w:szCs w:val="21"/>
          <w:lang w:val="en-US"/>
        </w:rPr>
        <w:t xml:space="preserve"> terlihat memiliki pertumbuhan y</w:t>
      </w:r>
      <w:r w:rsidR="00E853D8">
        <w:rPr>
          <w:rFonts w:ascii="Museo Sans 500" w:hAnsi="Museo Sans 500" w:cs="Open Sans"/>
          <w:sz w:val="21"/>
          <w:szCs w:val="21"/>
          <w:lang w:val="en-US"/>
        </w:rPr>
        <w:t xml:space="preserve">ang lebih lambat dibandingkan IPM di bawah angka nasional. Hal inilah yang menyebabkan sebaran IPM per provinsi semakin mengecil </w:t>
      </w:r>
      <w:r w:rsidR="0040224C">
        <w:rPr>
          <w:rFonts w:ascii="Museo Sans 500" w:hAnsi="Museo Sans 500" w:cs="Open Sans"/>
          <w:sz w:val="21"/>
          <w:szCs w:val="21"/>
          <w:lang w:val="en-US"/>
        </w:rPr>
        <w:t xml:space="preserve">dari tahun ke tahun </w:t>
      </w:r>
      <w:r w:rsidR="00E853D8">
        <w:rPr>
          <w:rFonts w:ascii="Museo Sans 500" w:hAnsi="Museo Sans 500" w:cs="Open Sans"/>
          <w:sz w:val="21"/>
          <w:szCs w:val="21"/>
          <w:lang w:val="en-US"/>
        </w:rPr>
        <w:t>seperti yang sudah dipaparkan sebelumnya.</w:t>
      </w:r>
    </w:p>
    <w:p w:rsidR="005164A5" w:rsidRDefault="005164A5" w:rsidP="009904BB">
      <w:pPr>
        <w:spacing w:after="0"/>
        <w:jc w:val="both"/>
        <w:rPr>
          <w:rFonts w:ascii="Museo Sans 500" w:hAnsi="Museo Sans 500" w:cs="Open Sans"/>
          <w:sz w:val="21"/>
          <w:szCs w:val="21"/>
          <w:lang w:val="en-US"/>
        </w:rPr>
      </w:pPr>
    </w:p>
    <w:p w:rsidR="005164A5" w:rsidRDefault="005164A5"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drawing>
          <wp:inline distT="0" distB="0" distL="0" distR="0">
            <wp:extent cx="6120130" cy="4590098"/>
            <wp:effectExtent l="19050" t="0" r="0" b="0"/>
            <wp:docPr id="9" name="Picture 7" descr="G:\Project\@example\ipm\figures\ipm-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roject\@example\ipm\figures\ipm-cluster.png"/>
                    <pic:cNvPicPr>
                      <a:picLocks noChangeAspect="1" noChangeArrowheads="1"/>
                    </pic:cNvPicPr>
                  </pic:nvPicPr>
                  <pic:blipFill>
                    <a:blip r:embed="rId9"/>
                    <a:srcRect/>
                    <a:stretch>
                      <a:fillRect/>
                    </a:stretch>
                  </pic:blipFill>
                  <pic:spPr bwMode="auto">
                    <a:xfrm>
                      <a:off x="0" y="0"/>
                      <a:ext cx="6120130" cy="4590098"/>
                    </a:xfrm>
                    <a:prstGeom prst="rect">
                      <a:avLst/>
                    </a:prstGeom>
                    <a:noFill/>
                    <a:ln w="9525">
                      <a:noFill/>
                      <a:miter lim="800000"/>
                      <a:headEnd/>
                      <a:tailEnd/>
                    </a:ln>
                  </pic:spPr>
                </pic:pic>
              </a:graphicData>
            </a:graphic>
          </wp:inline>
        </w:drawing>
      </w:r>
    </w:p>
    <w:p w:rsidR="005164A5" w:rsidRDefault="005164A5" w:rsidP="009904BB">
      <w:pPr>
        <w:spacing w:after="0"/>
        <w:jc w:val="both"/>
        <w:rPr>
          <w:rFonts w:ascii="Museo Sans 500" w:hAnsi="Museo Sans 500" w:cs="Open Sans"/>
          <w:sz w:val="21"/>
          <w:szCs w:val="21"/>
          <w:lang w:val="en-US"/>
        </w:rPr>
      </w:pPr>
    </w:p>
    <w:p w:rsidR="005164A5" w:rsidRDefault="005164A5"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t xml:space="preserve">Terlihat ada kecondongan </w:t>
      </w:r>
      <w:r w:rsidR="00C672DD">
        <w:rPr>
          <w:rFonts w:ascii="Museo Sans 500" w:hAnsi="Museo Sans 500" w:cs="Open Sans"/>
          <w:sz w:val="21"/>
          <w:szCs w:val="21"/>
          <w:lang w:val="en-US"/>
        </w:rPr>
        <w:t>pertumbuhan</w:t>
      </w:r>
      <w:r w:rsidR="00F065AB">
        <w:rPr>
          <w:rFonts w:ascii="Museo Sans 500" w:hAnsi="Museo Sans 500" w:cs="Open Sans"/>
          <w:sz w:val="21"/>
          <w:szCs w:val="21"/>
          <w:lang w:val="en-US"/>
        </w:rPr>
        <w:t xml:space="preserve"> IPM</w:t>
      </w:r>
      <w:r w:rsidR="00C572C6">
        <w:rPr>
          <w:rFonts w:ascii="Museo Sans 500" w:hAnsi="Museo Sans 500" w:cs="Open Sans"/>
          <w:sz w:val="21"/>
          <w:szCs w:val="21"/>
          <w:lang w:val="en-US"/>
        </w:rPr>
        <w:t xml:space="preserve"> akan</w:t>
      </w:r>
      <w:r w:rsidR="00C672DD">
        <w:rPr>
          <w:rFonts w:ascii="Museo Sans 500" w:hAnsi="Museo Sans 500" w:cs="Open Sans"/>
          <w:sz w:val="21"/>
          <w:szCs w:val="21"/>
          <w:lang w:val="en-US"/>
        </w:rPr>
        <w:t xml:space="preserve"> </w:t>
      </w:r>
      <w:r>
        <w:rPr>
          <w:rFonts w:ascii="Museo Sans 500" w:hAnsi="Museo Sans 500" w:cs="Open Sans"/>
          <w:sz w:val="21"/>
          <w:szCs w:val="21"/>
          <w:lang w:val="en-US"/>
        </w:rPr>
        <w:t xml:space="preserve">menurun apabila IPM </w:t>
      </w:r>
      <w:r w:rsidR="00C572C6">
        <w:rPr>
          <w:rFonts w:ascii="Museo Sans 500" w:hAnsi="Museo Sans 500" w:cs="Open Sans"/>
          <w:sz w:val="21"/>
          <w:szCs w:val="21"/>
          <w:lang w:val="en-US"/>
        </w:rPr>
        <w:t>semakin tinggi terutama untuk titik-titik yang mengumpul di tengah</w:t>
      </w:r>
      <w:r w:rsidR="00097F5F">
        <w:rPr>
          <w:rFonts w:ascii="Museo Sans 500" w:hAnsi="Museo Sans 500" w:cs="Open Sans"/>
          <w:sz w:val="21"/>
          <w:szCs w:val="21"/>
          <w:lang w:val="en-US"/>
        </w:rPr>
        <w:t>-tengah</w:t>
      </w:r>
      <w:r>
        <w:rPr>
          <w:rFonts w:ascii="Museo Sans 500" w:hAnsi="Museo Sans 500" w:cs="Open Sans"/>
          <w:sz w:val="21"/>
          <w:szCs w:val="21"/>
          <w:lang w:val="en-US"/>
        </w:rPr>
        <w:t>.</w:t>
      </w:r>
      <w:r w:rsidR="00097F5F">
        <w:rPr>
          <w:rFonts w:ascii="Museo Sans 500" w:hAnsi="Museo Sans 500" w:cs="Open Sans"/>
          <w:sz w:val="21"/>
          <w:szCs w:val="21"/>
          <w:lang w:val="en-US"/>
        </w:rPr>
        <w:t xml:space="preserve"> </w:t>
      </w:r>
      <w:r>
        <w:rPr>
          <w:rFonts w:ascii="Museo Sans 500" w:hAnsi="Museo Sans 500" w:cs="Open Sans"/>
          <w:sz w:val="21"/>
          <w:szCs w:val="21"/>
          <w:lang w:val="en-US"/>
        </w:rPr>
        <w:t>Selain itu</w:t>
      </w:r>
      <w:r w:rsidR="00097F5F">
        <w:rPr>
          <w:rFonts w:ascii="Museo Sans 500" w:hAnsi="Museo Sans 500" w:cs="Open Sans"/>
          <w:sz w:val="21"/>
          <w:szCs w:val="21"/>
          <w:lang w:val="en-US"/>
        </w:rPr>
        <w:t>,</w:t>
      </w:r>
      <w:r>
        <w:rPr>
          <w:rFonts w:ascii="Museo Sans 500" w:hAnsi="Museo Sans 500" w:cs="Open Sans"/>
          <w:sz w:val="21"/>
          <w:szCs w:val="21"/>
          <w:lang w:val="en-US"/>
        </w:rPr>
        <w:t xml:space="preserve"> analisis </w:t>
      </w:r>
      <w:r w:rsidR="001F3AE6">
        <w:rPr>
          <w:rFonts w:ascii="Museo Sans 500" w:hAnsi="Museo Sans 500" w:cs="Open Sans"/>
          <w:sz w:val="21"/>
          <w:szCs w:val="21"/>
          <w:lang w:val="en-US"/>
        </w:rPr>
        <w:t>kluster</w:t>
      </w:r>
      <w:r>
        <w:rPr>
          <w:rFonts w:ascii="Museo Sans 500" w:hAnsi="Museo Sans 500" w:cs="Open Sans"/>
          <w:sz w:val="21"/>
          <w:szCs w:val="21"/>
          <w:lang w:val="en-US"/>
        </w:rPr>
        <w:t xml:space="preserve"> dengan menggunakan </w:t>
      </w:r>
      <w:r>
        <w:rPr>
          <w:rFonts w:ascii="Museo Sans 500" w:hAnsi="Museo Sans 500" w:cs="Open Sans"/>
          <w:i/>
          <w:sz w:val="21"/>
          <w:szCs w:val="21"/>
          <w:lang w:val="en-US"/>
        </w:rPr>
        <w:t>k-means</w:t>
      </w:r>
      <w:r>
        <w:rPr>
          <w:rFonts w:ascii="Museo Sans 500" w:hAnsi="Museo Sans 500" w:cs="Open Sans"/>
          <w:sz w:val="21"/>
          <w:szCs w:val="21"/>
          <w:lang w:val="en-US"/>
        </w:rPr>
        <w:t xml:space="preserve"> dilakukan dengan tujuan untuk melihat kelompok-kelompok provinsi berdasarkan IPM di tahun 2016 serta pertumbuhannya dari t</w:t>
      </w:r>
      <w:r w:rsidR="00F82FCA">
        <w:rPr>
          <w:rFonts w:ascii="Museo Sans 500" w:hAnsi="Museo Sans 500" w:cs="Open Sans"/>
          <w:sz w:val="21"/>
          <w:szCs w:val="21"/>
          <w:lang w:val="en-US"/>
        </w:rPr>
        <w:t>ahun 2010-2016</w:t>
      </w:r>
      <w:r w:rsidR="001109B5">
        <w:rPr>
          <w:rFonts w:ascii="Museo Sans 500" w:hAnsi="Museo Sans 500" w:cs="Open Sans"/>
          <w:sz w:val="21"/>
          <w:szCs w:val="21"/>
          <w:lang w:val="en-US"/>
        </w:rPr>
        <w:t>,</w:t>
      </w:r>
      <w:r w:rsidR="00F82FCA">
        <w:rPr>
          <w:rFonts w:ascii="Museo Sans 500" w:hAnsi="Museo Sans 500" w:cs="Open Sans"/>
          <w:sz w:val="21"/>
          <w:szCs w:val="21"/>
          <w:lang w:val="en-US"/>
        </w:rPr>
        <w:t xml:space="preserve"> meskipun pada nyatanya</w:t>
      </w:r>
      <w:r w:rsidR="001F3AE6">
        <w:rPr>
          <w:rFonts w:ascii="Museo Sans 500" w:hAnsi="Museo Sans 500" w:cs="Open Sans"/>
          <w:sz w:val="21"/>
          <w:szCs w:val="21"/>
          <w:lang w:val="en-US"/>
        </w:rPr>
        <w:t xml:space="preserve"> in</w:t>
      </w:r>
      <w:r w:rsidR="001109B5">
        <w:rPr>
          <w:rFonts w:ascii="Museo Sans 500" w:hAnsi="Museo Sans 500" w:cs="Open Sans"/>
          <w:sz w:val="21"/>
          <w:szCs w:val="21"/>
          <w:lang w:val="en-US"/>
        </w:rPr>
        <w:t xml:space="preserve">terpretasi </w:t>
      </w:r>
      <w:r w:rsidR="00F82FCA">
        <w:rPr>
          <w:rFonts w:ascii="Museo Sans 500" w:hAnsi="Museo Sans 500" w:cs="Open Sans"/>
          <w:sz w:val="21"/>
          <w:szCs w:val="21"/>
          <w:lang w:val="en-US"/>
        </w:rPr>
        <w:t>berdasarkan IPM</w:t>
      </w:r>
      <w:r w:rsidR="000106BE">
        <w:rPr>
          <w:rFonts w:ascii="Museo Sans 500" w:hAnsi="Museo Sans 500" w:cs="Open Sans"/>
          <w:sz w:val="21"/>
          <w:szCs w:val="21"/>
          <w:lang w:val="en-US"/>
        </w:rPr>
        <w:t xml:space="preserve"> di tahun 2016</w:t>
      </w:r>
      <w:r w:rsidR="00F82FCA">
        <w:rPr>
          <w:rFonts w:ascii="Museo Sans 500" w:hAnsi="Museo Sans 500" w:cs="Open Sans"/>
          <w:sz w:val="21"/>
          <w:szCs w:val="21"/>
          <w:lang w:val="en-US"/>
        </w:rPr>
        <w:t xml:space="preserve"> yang</w:t>
      </w:r>
      <w:r w:rsidR="001F3AE6">
        <w:rPr>
          <w:rFonts w:ascii="Museo Sans 500" w:hAnsi="Museo Sans 500" w:cs="Open Sans"/>
          <w:sz w:val="21"/>
          <w:szCs w:val="21"/>
          <w:lang w:val="en-US"/>
        </w:rPr>
        <w:t xml:space="preserve"> akan</w:t>
      </w:r>
      <w:r w:rsidR="00F82FCA">
        <w:rPr>
          <w:rFonts w:ascii="Museo Sans 500" w:hAnsi="Museo Sans 500" w:cs="Open Sans"/>
          <w:sz w:val="21"/>
          <w:szCs w:val="21"/>
          <w:lang w:val="en-US"/>
        </w:rPr>
        <w:t xml:space="preserve"> lebih </w:t>
      </w:r>
      <w:r w:rsidR="001109B5">
        <w:rPr>
          <w:rFonts w:ascii="Museo Sans 500" w:hAnsi="Museo Sans 500" w:cs="Open Sans"/>
          <w:sz w:val="21"/>
          <w:szCs w:val="21"/>
          <w:lang w:val="en-US"/>
        </w:rPr>
        <w:t>ditekankan</w:t>
      </w:r>
      <w:r w:rsidR="00F82FCA">
        <w:rPr>
          <w:rFonts w:ascii="Museo Sans 500" w:hAnsi="Museo Sans 500" w:cs="Open Sans"/>
          <w:sz w:val="21"/>
          <w:szCs w:val="21"/>
          <w:lang w:val="en-US"/>
        </w:rPr>
        <w:t xml:space="preserve">. </w:t>
      </w:r>
      <w:r w:rsidR="000B1854">
        <w:rPr>
          <w:rFonts w:ascii="Museo Sans 500" w:hAnsi="Museo Sans 500" w:cs="Open Sans"/>
          <w:sz w:val="21"/>
          <w:szCs w:val="21"/>
          <w:lang w:val="en-US"/>
        </w:rPr>
        <w:t>Terdapat</w:t>
      </w:r>
      <w:r w:rsidR="00097F5F">
        <w:rPr>
          <w:rFonts w:ascii="Museo Sans 500" w:hAnsi="Museo Sans 500" w:cs="Open Sans"/>
          <w:sz w:val="21"/>
          <w:szCs w:val="21"/>
          <w:lang w:val="en-US"/>
        </w:rPr>
        <w:t xml:space="preserve"> s</w:t>
      </w:r>
      <w:r w:rsidR="0068748E">
        <w:rPr>
          <w:rFonts w:ascii="Museo Sans 500" w:hAnsi="Museo Sans 500" w:cs="Open Sans"/>
          <w:sz w:val="21"/>
          <w:szCs w:val="21"/>
          <w:lang w:val="en-US"/>
        </w:rPr>
        <w:t xml:space="preserve">ebanyak 4 </w:t>
      </w:r>
      <w:r w:rsidR="001F3AE6">
        <w:rPr>
          <w:rFonts w:ascii="Museo Sans 500" w:hAnsi="Museo Sans 500" w:cs="Open Sans"/>
          <w:sz w:val="21"/>
          <w:szCs w:val="21"/>
          <w:lang w:val="en-US"/>
        </w:rPr>
        <w:t>kluster</w:t>
      </w:r>
      <w:r w:rsidR="0068748E">
        <w:rPr>
          <w:rFonts w:ascii="Museo Sans 500" w:hAnsi="Museo Sans 500" w:cs="Open Sans"/>
          <w:sz w:val="21"/>
          <w:szCs w:val="21"/>
          <w:lang w:val="en-US"/>
        </w:rPr>
        <w:t xml:space="preserve"> yang </w:t>
      </w:r>
      <w:r w:rsidR="000B1854">
        <w:rPr>
          <w:rFonts w:ascii="Museo Sans 500" w:hAnsi="Museo Sans 500" w:cs="Open Sans"/>
          <w:sz w:val="21"/>
          <w:szCs w:val="21"/>
          <w:lang w:val="en-US"/>
        </w:rPr>
        <w:t>dibentuk</w:t>
      </w:r>
      <w:r w:rsidR="0068748E">
        <w:rPr>
          <w:rFonts w:ascii="Museo Sans 500" w:hAnsi="Museo Sans 500" w:cs="Open Sans"/>
          <w:sz w:val="21"/>
          <w:szCs w:val="21"/>
          <w:lang w:val="en-US"/>
        </w:rPr>
        <w:t xml:space="preserve"> berd</w:t>
      </w:r>
      <w:r w:rsidR="009B36C2">
        <w:rPr>
          <w:rFonts w:ascii="Museo Sans 500" w:hAnsi="Museo Sans 500" w:cs="Open Sans"/>
          <w:sz w:val="21"/>
          <w:szCs w:val="21"/>
          <w:lang w:val="en-US"/>
        </w:rPr>
        <w:t>asarkan analisis yang dilakukan di sini.</w:t>
      </w:r>
      <w:r w:rsidR="00164077">
        <w:rPr>
          <w:rFonts w:ascii="Museo Sans 500" w:hAnsi="Museo Sans 500" w:cs="Open Sans"/>
          <w:sz w:val="21"/>
          <w:szCs w:val="21"/>
          <w:lang w:val="en-US"/>
        </w:rPr>
        <w:t xml:space="preserve"> </w:t>
      </w:r>
      <w:r w:rsidR="001F3AE6">
        <w:rPr>
          <w:rFonts w:ascii="Museo Sans 500" w:hAnsi="Museo Sans 500" w:cs="Open Sans"/>
          <w:sz w:val="21"/>
          <w:szCs w:val="21"/>
          <w:lang w:val="en-US"/>
        </w:rPr>
        <w:t>Kluster-klu</w:t>
      </w:r>
      <w:r w:rsidR="00164077">
        <w:rPr>
          <w:rFonts w:ascii="Museo Sans 500" w:hAnsi="Museo Sans 500" w:cs="Open Sans"/>
          <w:sz w:val="21"/>
          <w:szCs w:val="21"/>
          <w:lang w:val="en-US"/>
        </w:rPr>
        <w:t>ster tersebut dapat dideskripsikan sebagai berikut.</w:t>
      </w:r>
    </w:p>
    <w:p w:rsidR="00097F5F" w:rsidRDefault="00097F5F" w:rsidP="009904BB">
      <w:pPr>
        <w:spacing w:after="0"/>
        <w:jc w:val="both"/>
        <w:rPr>
          <w:rFonts w:ascii="Museo Sans 500" w:hAnsi="Museo Sans 500" w:cs="Open Sans"/>
          <w:sz w:val="21"/>
          <w:szCs w:val="21"/>
          <w:lang w:val="en-US"/>
        </w:rPr>
      </w:pPr>
    </w:p>
    <w:p w:rsidR="00097F5F" w:rsidRDefault="001F3AE6"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t>Klu</w:t>
      </w:r>
      <w:r w:rsidR="00097F5F">
        <w:rPr>
          <w:rFonts w:ascii="Museo Sans 500" w:hAnsi="Museo Sans 500" w:cs="Open Sans"/>
          <w:sz w:val="21"/>
          <w:szCs w:val="21"/>
          <w:lang w:val="en-US"/>
        </w:rPr>
        <w:t>ster 1: Provinsi den</w:t>
      </w:r>
      <w:r w:rsidR="00224D05">
        <w:rPr>
          <w:rFonts w:ascii="Museo Sans 500" w:hAnsi="Museo Sans 500" w:cs="Open Sans"/>
          <w:sz w:val="21"/>
          <w:szCs w:val="21"/>
          <w:lang w:val="en-US"/>
        </w:rPr>
        <w:t>gan IPM di bawah angka nasional</w:t>
      </w:r>
      <w:r w:rsidR="00857C82">
        <w:rPr>
          <w:rFonts w:ascii="Museo Sans 500" w:hAnsi="Museo Sans 500" w:cs="Open Sans"/>
          <w:sz w:val="21"/>
          <w:szCs w:val="21"/>
          <w:lang w:val="en-US"/>
        </w:rPr>
        <w:t xml:space="preserve"> </w:t>
      </w:r>
      <w:r w:rsidR="00224D05">
        <w:rPr>
          <w:rFonts w:ascii="Museo Sans 500" w:hAnsi="Museo Sans 500" w:cs="Open Sans"/>
          <w:sz w:val="21"/>
          <w:szCs w:val="21"/>
          <w:lang w:val="en-US"/>
        </w:rPr>
        <w:t>(</w:t>
      </w:r>
      <w:r w:rsidR="00857C82">
        <w:rPr>
          <w:rFonts w:ascii="Museo Sans 500" w:hAnsi="Museo Sans 500" w:cs="Open Sans"/>
          <w:sz w:val="21"/>
          <w:szCs w:val="21"/>
          <w:lang w:val="en-US"/>
        </w:rPr>
        <w:t>kebanyakan berada di kawasan timur</w:t>
      </w:r>
      <w:r w:rsidR="000855F1">
        <w:rPr>
          <w:rFonts w:ascii="Museo Sans 500" w:hAnsi="Museo Sans 500" w:cs="Open Sans"/>
          <w:sz w:val="21"/>
          <w:szCs w:val="21"/>
          <w:lang w:val="en-US"/>
        </w:rPr>
        <w:t>)</w:t>
      </w:r>
    </w:p>
    <w:p w:rsidR="005F3DB3" w:rsidRDefault="001F3AE6" w:rsidP="005F3DB3">
      <w:pPr>
        <w:spacing w:after="0"/>
        <w:jc w:val="both"/>
        <w:rPr>
          <w:rFonts w:ascii="Museo Sans 500" w:hAnsi="Museo Sans 500" w:cs="Open Sans"/>
          <w:sz w:val="21"/>
          <w:szCs w:val="21"/>
          <w:lang w:val="en-US"/>
        </w:rPr>
      </w:pPr>
      <w:r>
        <w:rPr>
          <w:rFonts w:ascii="Museo Sans 500" w:hAnsi="Museo Sans 500" w:cs="Open Sans"/>
          <w:sz w:val="21"/>
          <w:szCs w:val="21"/>
          <w:lang w:val="en-US"/>
        </w:rPr>
        <w:t>Klu</w:t>
      </w:r>
      <w:r w:rsidR="00097F5F">
        <w:rPr>
          <w:rFonts w:ascii="Museo Sans 500" w:hAnsi="Museo Sans 500" w:cs="Open Sans"/>
          <w:sz w:val="21"/>
          <w:szCs w:val="21"/>
          <w:lang w:val="en-US"/>
        </w:rPr>
        <w:t xml:space="preserve">ster 2: </w:t>
      </w:r>
      <w:r w:rsidR="005F3DB3">
        <w:rPr>
          <w:rFonts w:ascii="Museo Sans 500" w:hAnsi="Museo Sans 500" w:cs="Open Sans"/>
          <w:sz w:val="21"/>
          <w:szCs w:val="21"/>
          <w:lang w:val="en-US"/>
        </w:rPr>
        <w:t>Provinsi dengan IPM di atas angka nasional</w:t>
      </w:r>
    </w:p>
    <w:p w:rsidR="005F3DB3" w:rsidRDefault="001F3AE6" w:rsidP="005F3DB3">
      <w:pPr>
        <w:spacing w:after="0"/>
        <w:jc w:val="both"/>
        <w:rPr>
          <w:rFonts w:ascii="Museo Sans 500" w:hAnsi="Museo Sans 500" w:cs="Open Sans"/>
          <w:sz w:val="21"/>
          <w:szCs w:val="21"/>
          <w:lang w:val="en-US"/>
        </w:rPr>
      </w:pPr>
      <w:r>
        <w:rPr>
          <w:rFonts w:ascii="Museo Sans 500" w:hAnsi="Museo Sans 500" w:cs="Open Sans"/>
          <w:sz w:val="21"/>
          <w:szCs w:val="21"/>
          <w:lang w:val="en-US"/>
        </w:rPr>
        <w:t>Klu</w:t>
      </w:r>
      <w:r w:rsidR="00097F5F">
        <w:rPr>
          <w:rFonts w:ascii="Museo Sans 500" w:hAnsi="Museo Sans 500" w:cs="Open Sans"/>
          <w:sz w:val="21"/>
          <w:szCs w:val="21"/>
          <w:lang w:val="en-US"/>
        </w:rPr>
        <w:t xml:space="preserve">ster 3: </w:t>
      </w:r>
      <w:r w:rsidR="005F3DB3">
        <w:rPr>
          <w:rFonts w:ascii="Museo Sans 500" w:hAnsi="Museo Sans 500" w:cs="Open Sans"/>
          <w:sz w:val="21"/>
          <w:szCs w:val="21"/>
          <w:lang w:val="en-US"/>
        </w:rPr>
        <w:t>Provinsi dengan IPM menengah</w:t>
      </w:r>
    </w:p>
    <w:p w:rsidR="00C66837" w:rsidRPr="005164A5" w:rsidRDefault="001F3AE6"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t>Klu</w:t>
      </w:r>
      <w:r w:rsidR="00C66837">
        <w:rPr>
          <w:rFonts w:ascii="Museo Sans 500" w:hAnsi="Museo Sans 500" w:cs="Open Sans"/>
          <w:sz w:val="21"/>
          <w:szCs w:val="21"/>
          <w:lang w:val="en-US"/>
        </w:rPr>
        <w:t xml:space="preserve">ster 4: Provinsi dengan IPM di atas angka nasional dan </w:t>
      </w:r>
      <w:r w:rsidR="00857C82">
        <w:rPr>
          <w:rFonts w:ascii="Museo Sans 500" w:hAnsi="Museo Sans 500" w:cs="Open Sans"/>
          <w:sz w:val="21"/>
          <w:szCs w:val="21"/>
          <w:lang w:val="en-US"/>
        </w:rPr>
        <w:t>sangat tinggi</w:t>
      </w:r>
    </w:p>
    <w:p w:rsidR="00587297" w:rsidRDefault="00587297" w:rsidP="009904BB">
      <w:pPr>
        <w:spacing w:after="0"/>
        <w:jc w:val="both"/>
        <w:rPr>
          <w:rFonts w:ascii="Museo Sans 500" w:hAnsi="Museo Sans 500" w:cs="Open Sans"/>
          <w:sz w:val="21"/>
          <w:szCs w:val="21"/>
          <w:lang w:val="en-US"/>
        </w:rPr>
      </w:pPr>
    </w:p>
    <w:p w:rsidR="00587297" w:rsidRDefault="00587297" w:rsidP="009904BB">
      <w:pPr>
        <w:spacing w:after="0"/>
        <w:jc w:val="both"/>
        <w:rPr>
          <w:rFonts w:ascii="Museo Sans 500" w:hAnsi="Museo Sans 500" w:cs="Open Sans"/>
          <w:sz w:val="21"/>
          <w:szCs w:val="21"/>
          <w:lang w:val="en-US"/>
        </w:rPr>
      </w:pPr>
    </w:p>
    <w:p w:rsidR="00587297" w:rsidRDefault="00587297" w:rsidP="009904BB">
      <w:pPr>
        <w:spacing w:after="0"/>
        <w:jc w:val="both"/>
        <w:rPr>
          <w:rFonts w:ascii="Museo Sans 500" w:hAnsi="Museo Sans 500" w:cs="Open Sans"/>
          <w:sz w:val="21"/>
          <w:szCs w:val="21"/>
          <w:lang w:val="en-US"/>
        </w:rPr>
      </w:pPr>
    </w:p>
    <w:p w:rsidR="00587297" w:rsidRDefault="00587297"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lastRenderedPageBreak/>
        <w:drawing>
          <wp:inline distT="0" distB="0" distL="0" distR="0">
            <wp:extent cx="6120130" cy="2295049"/>
            <wp:effectExtent l="19050" t="0" r="0" b="0"/>
            <wp:docPr id="10" name="Picture 8" descr="G:\Project\@example\ipm\figures\ipm-cluster-p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roject\@example\ipm\figures\ipm-cluster-peta.png"/>
                    <pic:cNvPicPr>
                      <a:picLocks noChangeAspect="1" noChangeArrowheads="1"/>
                    </pic:cNvPicPr>
                  </pic:nvPicPr>
                  <pic:blipFill>
                    <a:blip r:embed="rId10"/>
                    <a:srcRect/>
                    <a:stretch>
                      <a:fillRect/>
                    </a:stretch>
                  </pic:blipFill>
                  <pic:spPr bwMode="auto">
                    <a:xfrm>
                      <a:off x="0" y="0"/>
                      <a:ext cx="6120130" cy="2295049"/>
                    </a:xfrm>
                    <a:prstGeom prst="rect">
                      <a:avLst/>
                    </a:prstGeom>
                    <a:noFill/>
                    <a:ln w="9525">
                      <a:noFill/>
                      <a:miter lim="800000"/>
                      <a:headEnd/>
                      <a:tailEnd/>
                    </a:ln>
                  </pic:spPr>
                </pic:pic>
              </a:graphicData>
            </a:graphic>
          </wp:inline>
        </w:drawing>
      </w:r>
    </w:p>
    <w:p w:rsidR="00587297" w:rsidRDefault="00587297" w:rsidP="009904BB">
      <w:pPr>
        <w:spacing w:after="0"/>
        <w:jc w:val="both"/>
        <w:rPr>
          <w:rFonts w:ascii="Museo Sans 500" w:hAnsi="Museo Sans 500" w:cs="Open Sans"/>
          <w:sz w:val="21"/>
          <w:szCs w:val="21"/>
          <w:lang w:val="en-US"/>
        </w:rPr>
      </w:pPr>
    </w:p>
    <w:p w:rsidR="00587297" w:rsidRDefault="00587297"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t>Kluster 1 merupakan kluster dengan IPM di bawah angka nasional dan termasuk kategori rendah dibandingkan provinsi lainnya. Kluster ini didominasi oleh provinsi di daerah timur kecuali untuk Kalimantan Barat. Pemerintah mesti memberikan perhatian khusus untuk kluster ini.</w:t>
      </w:r>
    </w:p>
    <w:p w:rsidR="00587297" w:rsidRDefault="00587297" w:rsidP="009904BB">
      <w:pPr>
        <w:spacing w:after="0"/>
        <w:jc w:val="both"/>
        <w:rPr>
          <w:rFonts w:ascii="Museo Sans 500" w:hAnsi="Museo Sans 500" w:cs="Open Sans"/>
          <w:sz w:val="21"/>
          <w:szCs w:val="21"/>
          <w:lang w:val="en-US"/>
        </w:rPr>
      </w:pPr>
    </w:p>
    <w:p w:rsidR="0024370A" w:rsidRDefault="001F3AE6" w:rsidP="009904BB">
      <w:pPr>
        <w:spacing w:after="0"/>
        <w:jc w:val="both"/>
        <w:rPr>
          <w:rFonts w:ascii="Museo Sans 500" w:hAnsi="Museo Sans 500" w:cs="Open Sans"/>
          <w:sz w:val="21"/>
          <w:szCs w:val="21"/>
          <w:lang w:val="en-US"/>
        </w:rPr>
      </w:pPr>
      <w:r>
        <w:rPr>
          <w:rFonts w:ascii="Museo Sans 500" w:hAnsi="Museo Sans 500" w:cs="Open Sans"/>
          <w:sz w:val="21"/>
          <w:szCs w:val="21"/>
          <w:lang w:val="en-US"/>
        </w:rPr>
        <w:t xml:space="preserve">Kluster 2 diisi dengan provinsi yang juga memiliki IPM di atas angka nasional dan bisa dibilang tinggi dibandingkan </w:t>
      </w:r>
      <w:r w:rsidR="00386D98">
        <w:rPr>
          <w:rFonts w:ascii="Museo Sans 500" w:hAnsi="Museo Sans 500" w:cs="Open Sans"/>
          <w:sz w:val="21"/>
          <w:szCs w:val="21"/>
          <w:lang w:val="en-US"/>
        </w:rPr>
        <w:t xml:space="preserve">dengan </w:t>
      </w:r>
      <w:r>
        <w:rPr>
          <w:rFonts w:ascii="Museo Sans 500" w:hAnsi="Museo Sans 500" w:cs="Open Sans"/>
          <w:sz w:val="21"/>
          <w:szCs w:val="21"/>
          <w:lang w:val="en-US"/>
        </w:rPr>
        <w:t xml:space="preserve">provinsi lainnnya. Provinsi ini meliputi Bali, Kalimantan Timur dan Kepulauan Riau. </w:t>
      </w:r>
    </w:p>
    <w:p w:rsidR="0024370A" w:rsidRDefault="0024370A" w:rsidP="009904BB">
      <w:pPr>
        <w:spacing w:after="0"/>
        <w:jc w:val="both"/>
        <w:rPr>
          <w:rFonts w:ascii="Museo Sans 500" w:hAnsi="Museo Sans 500" w:cs="Open Sans"/>
          <w:sz w:val="21"/>
          <w:szCs w:val="21"/>
          <w:lang w:val="en-US"/>
        </w:rPr>
      </w:pPr>
    </w:p>
    <w:p w:rsidR="0024370A" w:rsidRDefault="001F3AE6" w:rsidP="009904BB">
      <w:pPr>
        <w:spacing w:after="0"/>
        <w:jc w:val="both"/>
        <w:rPr>
          <w:lang w:val="en-US"/>
        </w:rPr>
      </w:pPr>
      <w:r>
        <w:rPr>
          <w:rFonts w:ascii="Museo Sans 500" w:hAnsi="Museo Sans 500" w:cs="Open Sans"/>
          <w:sz w:val="21"/>
          <w:szCs w:val="21"/>
          <w:lang w:val="en-US"/>
        </w:rPr>
        <w:t xml:space="preserve">Kluster 3 merupakan kluster dengan provinsi terbanyak yaitu </w:t>
      </w:r>
      <w:r w:rsidR="00386D98">
        <w:rPr>
          <w:rFonts w:ascii="Museo Sans 500" w:hAnsi="Museo Sans 500" w:cs="Open Sans"/>
          <w:sz w:val="21"/>
          <w:szCs w:val="21"/>
          <w:lang w:val="en-US"/>
        </w:rPr>
        <w:t>terdiri</w:t>
      </w:r>
      <w:r>
        <w:rPr>
          <w:rFonts w:ascii="Museo Sans 500" w:hAnsi="Museo Sans 500" w:cs="Open Sans"/>
          <w:sz w:val="21"/>
          <w:szCs w:val="21"/>
          <w:lang w:val="en-US"/>
        </w:rPr>
        <w:t xml:space="preserve"> </w:t>
      </w:r>
      <w:r w:rsidR="00386D98">
        <w:rPr>
          <w:rFonts w:ascii="Museo Sans 500" w:hAnsi="Museo Sans 500" w:cs="Open Sans"/>
          <w:sz w:val="21"/>
          <w:szCs w:val="21"/>
          <w:lang w:val="en-US"/>
        </w:rPr>
        <w:t>dari</w:t>
      </w:r>
      <w:r>
        <w:rPr>
          <w:rFonts w:ascii="Museo Sans 500" w:hAnsi="Museo Sans 500" w:cs="Open Sans"/>
          <w:sz w:val="21"/>
          <w:szCs w:val="21"/>
          <w:lang w:val="en-US"/>
        </w:rPr>
        <w:t xml:space="preserve"> 22 provinsi. </w:t>
      </w:r>
      <w:r w:rsidR="00386D98">
        <w:rPr>
          <w:rFonts w:ascii="Museo Sans 500" w:hAnsi="Museo Sans 500" w:cs="Open Sans"/>
          <w:sz w:val="21"/>
          <w:szCs w:val="21"/>
          <w:lang w:val="en-US"/>
        </w:rPr>
        <w:t xml:space="preserve">Kluster ini bisa dikatakan sebagai kluster dengan IPM menengah dibandingkan dengan provinsi lainnya. </w:t>
      </w:r>
    </w:p>
    <w:p w:rsidR="0024370A" w:rsidRDefault="0024370A" w:rsidP="009904BB">
      <w:pPr>
        <w:spacing w:after="0"/>
        <w:jc w:val="both"/>
        <w:rPr>
          <w:lang w:val="en-US"/>
        </w:rPr>
      </w:pPr>
    </w:p>
    <w:p w:rsidR="00587297" w:rsidRDefault="00587297" w:rsidP="00587297">
      <w:pPr>
        <w:spacing w:after="0"/>
        <w:jc w:val="both"/>
        <w:rPr>
          <w:rFonts w:ascii="Museo Sans 500" w:hAnsi="Museo Sans 500" w:cs="Open Sans"/>
          <w:sz w:val="21"/>
          <w:szCs w:val="21"/>
          <w:lang w:val="en-US"/>
        </w:rPr>
      </w:pPr>
      <w:r>
        <w:rPr>
          <w:rFonts w:ascii="Museo Sans 500" w:hAnsi="Museo Sans 500" w:cs="Open Sans"/>
          <w:sz w:val="21"/>
          <w:szCs w:val="21"/>
          <w:lang w:val="en-US"/>
        </w:rPr>
        <w:t xml:space="preserve">Kluster 4 hanya terdiri dari dua provinsi yang merupakan kluster untuk provinsi spesial yaitu DKI Jakarta yang merupakan “Daerah Khusus” dan DIY Yogyakarta yang merupakan “Daerah Istimewa”. Kluster ini merupakan kluster dengan IPM yang bisa dibilang sangat tinggi dibandingkan provinsi lainnya. Dengan IPM sebesar 79,60 pada tahun 2016 dan pertumbuhan sebesar 0,5267 per tahun, IPM DKI Jakarta di tahun 2017 ditaksir berada di atas 80, yang berarti termasuk IPM kategori sangat tinggi berdasarkan klasifikasi dari UNDP. </w:t>
      </w:r>
    </w:p>
    <w:p w:rsidR="00587297" w:rsidRDefault="00587297" w:rsidP="00587297">
      <w:pPr>
        <w:spacing w:after="0"/>
        <w:jc w:val="both"/>
        <w:rPr>
          <w:rFonts w:ascii="Museo Sans 500" w:hAnsi="Museo Sans 500" w:cs="Open Sans"/>
          <w:sz w:val="21"/>
          <w:szCs w:val="21"/>
          <w:lang w:val="en-US"/>
        </w:rPr>
      </w:pPr>
    </w:p>
    <w:p w:rsidR="00587297" w:rsidRDefault="00587297" w:rsidP="00587297">
      <w:pPr>
        <w:spacing w:after="0"/>
        <w:jc w:val="both"/>
        <w:rPr>
          <w:rFonts w:ascii="Museo Sans 500" w:hAnsi="Museo Sans 500" w:cs="Open Sans"/>
          <w:sz w:val="21"/>
          <w:szCs w:val="21"/>
          <w:lang w:val="en-US"/>
        </w:rPr>
      </w:pPr>
      <w:r>
        <w:rPr>
          <w:rFonts w:ascii="Museo Sans 500" w:hAnsi="Museo Sans 500" w:cs="Open Sans"/>
          <w:sz w:val="21"/>
          <w:szCs w:val="21"/>
          <w:lang w:val="en-US"/>
        </w:rPr>
        <w:t>Kesenjangan antar wilayah di Indonesia merupakan PR besar bagi pemerintah Indonesia. Pada dasarnya untuk meningkatkan Indeks Pembangunan Manusia (IPM) di suatu wilayah, pemerintah</w:t>
      </w:r>
      <w:r w:rsidR="00FF2E29">
        <w:rPr>
          <w:rFonts w:ascii="Museo Sans 500" w:hAnsi="Museo Sans 500" w:cs="Open Sans"/>
          <w:sz w:val="21"/>
          <w:szCs w:val="21"/>
          <w:lang w:val="en-US"/>
        </w:rPr>
        <w:t xml:space="preserve"> setempat</w:t>
      </w:r>
      <w:r>
        <w:rPr>
          <w:rFonts w:ascii="Museo Sans 500" w:hAnsi="Museo Sans 500" w:cs="Open Sans"/>
          <w:sz w:val="21"/>
          <w:szCs w:val="21"/>
          <w:lang w:val="en-US"/>
        </w:rPr>
        <w:t xml:space="preserve"> harus fokus di tiga komponen seperti kesehatan, pendidikan dan perekonomian. </w:t>
      </w:r>
      <w:r w:rsidRPr="00587297">
        <w:rPr>
          <w:rFonts w:ascii="Museo Sans 500" w:hAnsi="Museo Sans 500" w:cs="Open Sans"/>
          <w:sz w:val="21"/>
          <w:szCs w:val="21"/>
          <w:lang w:val="en-US"/>
        </w:rPr>
        <w:t xml:space="preserve">Beberapa strategi </w:t>
      </w:r>
      <w:r w:rsidR="00FF2E29">
        <w:rPr>
          <w:rFonts w:ascii="Museo Sans 500" w:hAnsi="Museo Sans 500" w:cs="Open Sans"/>
          <w:sz w:val="21"/>
          <w:szCs w:val="21"/>
          <w:lang w:val="en-US"/>
        </w:rPr>
        <w:t xml:space="preserve">umum yang dapat dan telah dilakukan oleh pemerintah </w:t>
      </w:r>
      <w:r w:rsidRPr="00587297">
        <w:rPr>
          <w:rFonts w:ascii="Museo Sans 500" w:hAnsi="Museo Sans 500" w:cs="Open Sans"/>
          <w:sz w:val="21"/>
          <w:szCs w:val="21"/>
          <w:lang w:val="en-US"/>
        </w:rPr>
        <w:t>adalah meningkatkan layanan kesehatan, kualitas pendidikan, lapangan pekerjaan maupun pembangunan infrastruktur terutama di da</w:t>
      </w:r>
      <w:r>
        <w:rPr>
          <w:rFonts w:ascii="Museo Sans 500" w:hAnsi="Museo Sans 500" w:cs="Open Sans"/>
          <w:sz w:val="21"/>
          <w:szCs w:val="21"/>
          <w:lang w:val="en-US"/>
        </w:rPr>
        <w:t>erah tertinggal dan terpencil</w:t>
      </w:r>
      <w:r w:rsidR="00FF2E29">
        <w:rPr>
          <w:rFonts w:ascii="Museo Sans 500" w:hAnsi="Museo Sans 500" w:cs="Open Sans"/>
          <w:sz w:val="21"/>
          <w:szCs w:val="21"/>
          <w:lang w:val="en-US"/>
        </w:rPr>
        <w:t xml:space="preserve"> pada kluster 1. Sebagai individu, kita pun hendaknya senantiasa untuk menjaga kesehatan, meningkatkan kapasitas diri, meningkatkan kualitas pendidikan serta meningkatkan produktivitas agar kesehatan, pendidikan dan perekonomian kita semakin lebih baik.</w:t>
      </w:r>
    </w:p>
    <w:p w:rsidR="00587297" w:rsidRDefault="00587297" w:rsidP="009904BB">
      <w:pPr>
        <w:spacing w:after="0"/>
        <w:jc w:val="both"/>
        <w:rPr>
          <w:lang w:val="en-US"/>
        </w:rPr>
      </w:pPr>
    </w:p>
    <w:p w:rsidR="00587297" w:rsidRDefault="00587297" w:rsidP="009904BB">
      <w:pPr>
        <w:spacing w:after="0"/>
        <w:jc w:val="both"/>
        <w:rPr>
          <w:lang w:val="en-US"/>
        </w:rPr>
      </w:pPr>
    </w:p>
    <w:sectPr w:rsidR="00587297" w:rsidSect="00783C6C">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useo Sans 500">
    <w:panose1 w:val="00000000000000000000"/>
    <w:charset w:val="00"/>
    <w:family w:val="modern"/>
    <w:notTrueType/>
    <w:pitch w:val="variable"/>
    <w:sig w:usb0="A00000AF" w:usb1="4000004A" w:usb2="00000000" w:usb3="00000000" w:csb0="00000093"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CD06DC"/>
    <w:multiLevelType w:val="hybridMultilevel"/>
    <w:tmpl w:val="C4BA94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2B07AE4"/>
    <w:multiLevelType w:val="hybridMultilevel"/>
    <w:tmpl w:val="B50AE8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D92226F"/>
    <w:multiLevelType w:val="hybridMultilevel"/>
    <w:tmpl w:val="8F926C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3C61"/>
    <w:rsid w:val="000106BE"/>
    <w:rsid w:val="0001337D"/>
    <w:rsid w:val="000160D1"/>
    <w:rsid w:val="000227CF"/>
    <w:rsid w:val="00054EC9"/>
    <w:rsid w:val="00055709"/>
    <w:rsid w:val="00056DCD"/>
    <w:rsid w:val="00065B8F"/>
    <w:rsid w:val="0006652C"/>
    <w:rsid w:val="000707F5"/>
    <w:rsid w:val="00072B87"/>
    <w:rsid w:val="0007785E"/>
    <w:rsid w:val="00082B1A"/>
    <w:rsid w:val="000855F1"/>
    <w:rsid w:val="00085F5C"/>
    <w:rsid w:val="00094D2D"/>
    <w:rsid w:val="00097F5F"/>
    <w:rsid w:val="000A7DFF"/>
    <w:rsid w:val="000B1854"/>
    <w:rsid w:val="000B398F"/>
    <w:rsid w:val="000B3FFE"/>
    <w:rsid w:val="000B441C"/>
    <w:rsid w:val="000B541F"/>
    <w:rsid w:val="000D2DFF"/>
    <w:rsid w:val="000D6FF4"/>
    <w:rsid w:val="000F2DDA"/>
    <w:rsid w:val="000F7395"/>
    <w:rsid w:val="001016BF"/>
    <w:rsid w:val="001109B5"/>
    <w:rsid w:val="001270FB"/>
    <w:rsid w:val="001377A5"/>
    <w:rsid w:val="001406C1"/>
    <w:rsid w:val="00144640"/>
    <w:rsid w:val="00146C1F"/>
    <w:rsid w:val="001566D0"/>
    <w:rsid w:val="00164077"/>
    <w:rsid w:val="00164C3C"/>
    <w:rsid w:val="001834C5"/>
    <w:rsid w:val="00183E9C"/>
    <w:rsid w:val="00192116"/>
    <w:rsid w:val="001A44BA"/>
    <w:rsid w:val="001B4336"/>
    <w:rsid w:val="001C37B9"/>
    <w:rsid w:val="001D6785"/>
    <w:rsid w:val="001E46C6"/>
    <w:rsid w:val="001F3AE6"/>
    <w:rsid w:val="001F3DAA"/>
    <w:rsid w:val="00206612"/>
    <w:rsid w:val="00213102"/>
    <w:rsid w:val="00221482"/>
    <w:rsid w:val="00223646"/>
    <w:rsid w:val="00224D05"/>
    <w:rsid w:val="002274AB"/>
    <w:rsid w:val="00227CEF"/>
    <w:rsid w:val="0024370A"/>
    <w:rsid w:val="00250384"/>
    <w:rsid w:val="002812DC"/>
    <w:rsid w:val="002839AC"/>
    <w:rsid w:val="00293F6C"/>
    <w:rsid w:val="002A2505"/>
    <w:rsid w:val="002A2781"/>
    <w:rsid w:val="002A6C05"/>
    <w:rsid w:val="002A772F"/>
    <w:rsid w:val="002C2F52"/>
    <w:rsid w:val="002F00FD"/>
    <w:rsid w:val="002F274D"/>
    <w:rsid w:val="002F7273"/>
    <w:rsid w:val="00327C14"/>
    <w:rsid w:val="00330DCB"/>
    <w:rsid w:val="00341B7A"/>
    <w:rsid w:val="00353C22"/>
    <w:rsid w:val="00354760"/>
    <w:rsid w:val="00372206"/>
    <w:rsid w:val="00375089"/>
    <w:rsid w:val="00382A27"/>
    <w:rsid w:val="00386D98"/>
    <w:rsid w:val="003919FC"/>
    <w:rsid w:val="003925AB"/>
    <w:rsid w:val="003A3C63"/>
    <w:rsid w:val="003C1CEF"/>
    <w:rsid w:val="003C496F"/>
    <w:rsid w:val="003C7CEE"/>
    <w:rsid w:val="003D2064"/>
    <w:rsid w:val="003D2917"/>
    <w:rsid w:val="003D736A"/>
    <w:rsid w:val="003E7141"/>
    <w:rsid w:val="0040224C"/>
    <w:rsid w:val="004145C0"/>
    <w:rsid w:val="00415043"/>
    <w:rsid w:val="00432F97"/>
    <w:rsid w:val="004337AB"/>
    <w:rsid w:val="00441977"/>
    <w:rsid w:val="00447FB2"/>
    <w:rsid w:val="00456B61"/>
    <w:rsid w:val="00461ED8"/>
    <w:rsid w:val="004861F8"/>
    <w:rsid w:val="0049059B"/>
    <w:rsid w:val="00493EC6"/>
    <w:rsid w:val="004A58D8"/>
    <w:rsid w:val="004E4AAC"/>
    <w:rsid w:val="00500625"/>
    <w:rsid w:val="00502C30"/>
    <w:rsid w:val="00514181"/>
    <w:rsid w:val="005164A5"/>
    <w:rsid w:val="00517E49"/>
    <w:rsid w:val="0052058C"/>
    <w:rsid w:val="00531AD2"/>
    <w:rsid w:val="00536163"/>
    <w:rsid w:val="00536640"/>
    <w:rsid w:val="005472A5"/>
    <w:rsid w:val="0055152A"/>
    <w:rsid w:val="00561F60"/>
    <w:rsid w:val="0057722E"/>
    <w:rsid w:val="00581641"/>
    <w:rsid w:val="00587297"/>
    <w:rsid w:val="005903CA"/>
    <w:rsid w:val="00592BC7"/>
    <w:rsid w:val="00597BEC"/>
    <w:rsid w:val="005A6EB8"/>
    <w:rsid w:val="005D1A1C"/>
    <w:rsid w:val="005D4FE8"/>
    <w:rsid w:val="005D73E0"/>
    <w:rsid w:val="005E44B0"/>
    <w:rsid w:val="005F3DB3"/>
    <w:rsid w:val="006024A1"/>
    <w:rsid w:val="00622D8B"/>
    <w:rsid w:val="00624203"/>
    <w:rsid w:val="00632421"/>
    <w:rsid w:val="00632D09"/>
    <w:rsid w:val="00643F80"/>
    <w:rsid w:val="006510C6"/>
    <w:rsid w:val="00657D02"/>
    <w:rsid w:val="00670DA9"/>
    <w:rsid w:val="0068748E"/>
    <w:rsid w:val="006933CD"/>
    <w:rsid w:val="00693DD7"/>
    <w:rsid w:val="00695E35"/>
    <w:rsid w:val="0069611B"/>
    <w:rsid w:val="006D24C1"/>
    <w:rsid w:val="006D4477"/>
    <w:rsid w:val="006E6E88"/>
    <w:rsid w:val="0072001A"/>
    <w:rsid w:val="00721E41"/>
    <w:rsid w:val="00727D09"/>
    <w:rsid w:val="00744AAE"/>
    <w:rsid w:val="007604C4"/>
    <w:rsid w:val="007617CE"/>
    <w:rsid w:val="00762AAC"/>
    <w:rsid w:val="00766256"/>
    <w:rsid w:val="0077401A"/>
    <w:rsid w:val="00783C6C"/>
    <w:rsid w:val="00786D51"/>
    <w:rsid w:val="007A6B7E"/>
    <w:rsid w:val="007A6D2E"/>
    <w:rsid w:val="007B6150"/>
    <w:rsid w:val="007C526F"/>
    <w:rsid w:val="007D2BD0"/>
    <w:rsid w:val="007D2EB8"/>
    <w:rsid w:val="008004F8"/>
    <w:rsid w:val="008404D9"/>
    <w:rsid w:val="008405E4"/>
    <w:rsid w:val="0084540D"/>
    <w:rsid w:val="00853088"/>
    <w:rsid w:val="00857C82"/>
    <w:rsid w:val="0087575B"/>
    <w:rsid w:val="0088073E"/>
    <w:rsid w:val="00886D59"/>
    <w:rsid w:val="008B4870"/>
    <w:rsid w:val="008D4BD3"/>
    <w:rsid w:val="008E08A9"/>
    <w:rsid w:val="008F0C2A"/>
    <w:rsid w:val="00901523"/>
    <w:rsid w:val="0090517B"/>
    <w:rsid w:val="00907AB5"/>
    <w:rsid w:val="00933E64"/>
    <w:rsid w:val="009472B7"/>
    <w:rsid w:val="0094793B"/>
    <w:rsid w:val="00947DC4"/>
    <w:rsid w:val="00954B46"/>
    <w:rsid w:val="00980A2C"/>
    <w:rsid w:val="00986B15"/>
    <w:rsid w:val="009873D8"/>
    <w:rsid w:val="009904BB"/>
    <w:rsid w:val="009A1479"/>
    <w:rsid w:val="009A5634"/>
    <w:rsid w:val="009B0BFB"/>
    <w:rsid w:val="009B36C2"/>
    <w:rsid w:val="009C6B96"/>
    <w:rsid w:val="009D5BC9"/>
    <w:rsid w:val="009E4B09"/>
    <w:rsid w:val="009E4E5B"/>
    <w:rsid w:val="00A05D40"/>
    <w:rsid w:val="00A11698"/>
    <w:rsid w:val="00A12236"/>
    <w:rsid w:val="00A16747"/>
    <w:rsid w:val="00A23E87"/>
    <w:rsid w:val="00A27AAD"/>
    <w:rsid w:val="00A67990"/>
    <w:rsid w:val="00A76D79"/>
    <w:rsid w:val="00A776E4"/>
    <w:rsid w:val="00A87B9D"/>
    <w:rsid w:val="00A96E43"/>
    <w:rsid w:val="00AA601E"/>
    <w:rsid w:val="00AA71BE"/>
    <w:rsid w:val="00AB0144"/>
    <w:rsid w:val="00AB40D8"/>
    <w:rsid w:val="00AB586B"/>
    <w:rsid w:val="00AB5CD8"/>
    <w:rsid w:val="00AC44E8"/>
    <w:rsid w:val="00AC56C4"/>
    <w:rsid w:val="00AC6115"/>
    <w:rsid w:val="00AD445C"/>
    <w:rsid w:val="00AD70B5"/>
    <w:rsid w:val="00AF6332"/>
    <w:rsid w:val="00B15DD9"/>
    <w:rsid w:val="00B27E29"/>
    <w:rsid w:val="00B341A2"/>
    <w:rsid w:val="00B50823"/>
    <w:rsid w:val="00B5482B"/>
    <w:rsid w:val="00B573DE"/>
    <w:rsid w:val="00B57EF6"/>
    <w:rsid w:val="00B6281D"/>
    <w:rsid w:val="00B660F1"/>
    <w:rsid w:val="00BA790A"/>
    <w:rsid w:val="00BA7E0E"/>
    <w:rsid w:val="00BB605A"/>
    <w:rsid w:val="00BC0E1C"/>
    <w:rsid w:val="00BC1770"/>
    <w:rsid w:val="00BC4548"/>
    <w:rsid w:val="00C07EFA"/>
    <w:rsid w:val="00C10A79"/>
    <w:rsid w:val="00C13EE2"/>
    <w:rsid w:val="00C15538"/>
    <w:rsid w:val="00C22A1D"/>
    <w:rsid w:val="00C37795"/>
    <w:rsid w:val="00C439E8"/>
    <w:rsid w:val="00C53B66"/>
    <w:rsid w:val="00C572C6"/>
    <w:rsid w:val="00C66837"/>
    <w:rsid w:val="00C672DD"/>
    <w:rsid w:val="00C87818"/>
    <w:rsid w:val="00C93624"/>
    <w:rsid w:val="00C96910"/>
    <w:rsid w:val="00C9728A"/>
    <w:rsid w:val="00CA00D2"/>
    <w:rsid w:val="00CA178C"/>
    <w:rsid w:val="00CB004C"/>
    <w:rsid w:val="00CB2B76"/>
    <w:rsid w:val="00CC3AE2"/>
    <w:rsid w:val="00CD669C"/>
    <w:rsid w:val="00CE62F0"/>
    <w:rsid w:val="00CF7E38"/>
    <w:rsid w:val="00D07470"/>
    <w:rsid w:val="00D27CA8"/>
    <w:rsid w:val="00D33E23"/>
    <w:rsid w:val="00D41C59"/>
    <w:rsid w:val="00D451B8"/>
    <w:rsid w:val="00D52881"/>
    <w:rsid w:val="00D53804"/>
    <w:rsid w:val="00D90392"/>
    <w:rsid w:val="00D92E9A"/>
    <w:rsid w:val="00D94B95"/>
    <w:rsid w:val="00DC5FFF"/>
    <w:rsid w:val="00DD5139"/>
    <w:rsid w:val="00DD766F"/>
    <w:rsid w:val="00DE346D"/>
    <w:rsid w:val="00E0234B"/>
    <w:rsid w:val="00E12D02"/>
    <w:rsid w:val="00E209E2"/>
    <w:rsid w:val="00E233C2"/>
    <w:rsid w:val="00E410BB"/>
    <w:rsid w:val="00E44631"/>
    <w:rsid w:val="00E44892"/>
    <w:rsid w:val="00E4691F"/>
    <w:rsid w:val="00E52DE1"/>
    <w:rsid w:val="00E53257"/>
    <w:rsid w:val="00E70594"/>
    <w:rsid w:val="00E7537C"/>
    <w:rsid w:val="00E804A1"/>
    <w:rsid w:val="00E81ABE"/>
    <w:rsid w:val="00E853D8"/>
    <w:rsid w:val="00E9559D"/>
    <w:rsid w:val="00EA34BE"/>
    <w:rsid w:val="00EC0D99"/>
    <w:rsid w:val="00EF14EA"/>
    <w:rsid w:val="00EF187A"/>
    <w:rsid w:val="00F04459"/>
    <w:rsid w:val="00F065AB"/>
    <w:rsid w:val="00F11E98"/>
    <w:rsid w:val="00F169A0"/>
    <w:rsid w:val="00F224A4"/>
    <w:rsid w:val="00F50242"/>
    <w:rsid w:val="00F57418"/>
    <w:rsid w:val="00F6234A"/>
    <w:rsid w:val="00F64DD9"/>
    <w:rsid w:val="00F82FCA"/>
    <w:rsid w:val="00F85C64"/>
    <w:rsid w:val="00F901CE"/>
    <w:rsid w:val="00FA069A"/>
    <w:rsid w:val="00FA494B"/>
    <w:rsid w:val="00FB3C61"/>
    <w:rsid w:val="00FB7CA0"/>
    <w:rsid w:val="00FC6447"/>
    <w:rsid w:val="00FD035D"/>
    <w:rsid w:val="00FE4CE9"/>
    <w:rsid w:val="00FF1EC0"/>
    <w:rsid w:val="00FF2E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41F"/>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641"/>
    <w:rPr>
      <w:color w:val="0563C1" w:themeColor="hyperlink"/>
      <w:u w:val="single"/>
    </w:rPr>
  </w:style>
  <w:style w:type="paragraph" w:styleId="NormalWeb">
    <w:name w:val="Normal (Web)"/>
    <w:basedOn w:val="Normal"/>
    <w:uiPriority w:val="99"/>
    <w:unhideWhenUsed/>
    <w:rsid w:val="002812DC"/>
    <w:pPr>
      <w:spacing w:before="100" w:beforeAutospacing="1" w:after="100" w:afterAutospacing="1" w:line="240" w:lineRule="auto"/>
    </w:pPr>
    <w:rPr>
      <w:rFonts w:ascii="Times New Roman" w:eastAsia="Times New Roman" w:hAnsi="Times New Roman" w:cs="Times New Roman"/>
      <w:noProof w:val="0"/>
      <w:sz w:val="24"/>
      <w:szCs w:val="24"/>
      <w:lang w:eastAsia="id-ID"/>
    </w:rPr>
  </w:style>
  <w:style w:type="character" w:customStyle="1" w:styleId="apple-converted-space">
    <w:name w:val="apple-converted-space"/>
    <w:basedOn w:val="DefaultParagraphFont"/>
    <w:rsid w:val="002812DC"/>
  </w:style>
  <w:style w:type="paragraph" w:customStyle="1" w:styleId="separator">
    <w:name w:val="separator"/>
    <w:basedOn w:val="Normal"/>
    <w:rsid w:val="00F11E98"/>
    <w:pPr>
      <w:spacing w:before="100" w:beforeAutospacing="1" w:after="100" w:afterAutospacing="1" w:line="240" w:lineRule="auto"/>
    </w:pPr>
    <w:rPr>
      <w:rFonts w:ascii="Times New Roman" w:eastAsia="Times New Roman" w:hAnsi="Times New Roman" w:cs="Times New Roman"/>
      <w:noProof w:val="0"/>
      <w:sz w:val="24"/>
      <w:szCs w:val="24"/>
      <w:lang w:eastAsia="id-ID"/>
    </w:rPr>
  </w:style>
  <w:style w:type="paragraph" w:styleId="ListParagraph">
    <w:name w:val="List Paragraph"/>
    <w:basedOn w:val="Normal"/>
    <w:uiPriority w:val="34"/>
    <w:qFormat/>
    <w:rsid w:val="00F6234A"/>
    <w:pPr>
      <w:ind w:left="720"/>
      <w:contextualSpacing/>
    </w:pPr>
  </w:style>
  <w:style w:type="paragraph" w:styleId="BalloonText">
    <w:name w:val="Balloon Text"/>
    <w:basedOn w:val="Normal"/>
    <w:link w:val="BalloonTextChar"/>
    <w:uiPriority w:val="99"/>
    <w:semiHidden/>
    <w:unhideWhenUsed/>
    <w:rsid w:val="00441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977"/>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divs>
    <w:div w:id="645400746">
      <w:bodyDiv w:val="1"/>
      <w:marLeft w:val="0"/>
      <w:marRight w:val="0"/>
      <w:marTop w:val="0"/>
      <w:marBottom w:val="0"/>
      <w:divBdr>
        <w:top w:val="none" w:sz="0" w:space="0" w:color="auto"/>
        <w:left w:val="none" w:sz="0" w:space="0" w:color="auto"/>
        <w:bottom w:val="none" w:sz="0" w:space="0" w:color="auto"/>
        <w:right w:val="none" w:sz="0" w:space="0" w:color="auto"/>
      </w:divBdr>
    </w:div>
    <w:div w:id="882669127">
      <w:bodyDiv w:val="1"/>
      <w:marLeft w:val="0"/>
      <w:marRight w:val="0"/>
      <w:marTop w:val="0"/>
      <w:marBottom w:val="0"/>
      <w:divBdr>
        <w:top w:val="none" w:sz="0" w:space="0" w:color="auto"/>
        <w:left w:val="none" w:sz="0" w:space="0" w:color="auto"/>
        <w:bottom w:val="none" w:sz="0" w:space="0" w:color="auto"/>
        <w:right w:val="none" w:sz="0" w:space="0" w:color="auto"/>
      </w:divBdr>
    </w:div>
    <w:div w:id="1797605231">
      <w:bodyDiv w:val="1"/>
      <w:marLeft w:val="0"/>
      <w:marRight w:val="0"/>
      <w:marTop w:val="0"/>
      <w:marBottom w:val="0"/>
      <w:divBdr>
        <w:top w:val="none" w:sz="0" w:space="0" w:color="auto"/>
        <w:left w:val="none" w:sz="0" w:space="0" w:color="auto"/>
        <w:bottom w:val="none" w:sz="0" w:space="0" w:color="auto"/>
        <w:right w:val="none" w:sz="0" w:space="0" w:color="auto"/>
      </w:divBdr>
    </w:div>
    <w:div w:id="1821263177">
      <w:bodyDiv w:val="1"/>
      <w:marLeft w:val="0"/>
      <w:marRight w:val="0"/>
      <w:marTop w:val="0"/>
      <w:marBottom w:val="0"/>
      <w:divBdr>
        <w:top w:val="none" w:sz="0" w:space="0" w:color="auto"/>
        <w:left w:val="none" w:sz="0" w:space="0" w:color="auto"/>
        <w:bottom w:val="none" w:sz="0" w:space="0" w:color="auto"/>
        <w:right w:val="none" w:sz="0" w:space="0" w:color="auto"/>
      </w:divBdr>
      <w:divsChild>
        <w:div w:id="1098867152">
          <w:marLeft w:val="0"/>
          <w:marRight w:val="0"/>
          <w:marTop w:val="525"/>
          <w:marBottom w:val="300"/>
          <w:divBdr>
            <w:top w:val="none" w:sz="0" w:space="0" w:color="auto"/>
            <w:left w:val="none" w:sz="0" w:space="0" w:color="auto"/>
            <w:bottom w:val="none" w:sz="0" w:space="0" w:color="auto"/>
            <w:right w:val="none" w:sz="0" w:space="0" w:color="auto"/>
          </w:divBdr>
        </w:div>
        <w:div w:id="92211387">
          <w:marLeft w:val="0"/>
          <w:marRight w:val="0"/>
          <w:marTop w:val="5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1973</TotalTime>
  <Pages>6</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Rasyid Ridha</dc:creator>
  <cp:keywords/>
  <dc:description/>
  <cp:lastModifiedBy>muhammad.ridha</cp:lastModifiedBy>
  <cp:revision>269</cp:revision>
  <dcterms:created xsi:type="dcterms:W3CDTF">2017-04-05T13:06:00Z</dcterms:created>
  <dcterms:modified xsi:type="dcterms:W3CDTF">2017-05-28T07:58:00Z</dcterms:modified>
</cp:coreProperties>
</file>