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t>LAPORAN STRATEGIS  •  13 JULI 2026</w:t>
      </w:r>
    </w:p>
    <w:p>
      <w:pPr>
        <w:pStyle w:val="Title"/>
      </w:pPr>
      <w:r>
        <w:t>Audit Website dan</w:t>
        <w:br/>
        <w:t>Strategi Pertumbuhan</w:t>
        <w:br/>
        <w:t>Crediblemark</w:t>
      </w:r>
    </w:p>
    <w:p>
      <w:pPr>
        <w:spacing w:before="140" w:after="360"/>
      </w:pPr>
      <w:r>
        <w:rPr>
          <w:color w:val="53636D"/>
          <w:sz w:val="26"/>
        </w:rPr>
        <w:t>Evaluasi positioning, kepercayaan, pengalaman pengguna, SEO, penawaran, dan alur konversi untuk meningkatkan jumlah klien.</w:t>
      </w:r>
    </w:p>
    <w:tbl>
      <w:tblPr>
        <w:tblW w:type="auto" w:w="0"/>
        <w:jc w:val="center"/>
        <w:tblLayout w:type="fixed"/>
        <w:tblLook w:firstColumn="1" w:firstRow="1" w:lastColumn="0" w:lastRow="0" w:noHBand="0" w:noVBand="1" w:val="04A0"/>
      </w:tblPr>
      <w:tblGrid>
        <w:gridCol w:w="9288"/>
      </w:tblGrid>
      <w:tr>
        <w:trPr>
          <w:cantSplit/>
        </w:trPr>
        <w:tc>
          <w:tcPr>
            <w:tcW w:type="dxa" w:w="10080"/>
            <w:shd w:fill="EAF4F4"/>
            <w:tcMar>
              <w:top w:w="180" w:type="dxa"/>
              <w:start w:w="220" w:type="dxa"/>
              <w:bottom w:w="180" w:type="dxa"/>
              <w:end w:w="220" w:type="dxa"/>
            </w:tcMar>
          </w:tcPr>
          <w:p>
            <w:pPr>
              <w:spacing w:after="100"/>
            </w:pPr>
            <w:r>
              <w:rPr>
                <w:b/>
                <w:color w:val="147D7E"/>
                <w:sz w:val="22"/>
              </w:rPr>
              <w:t>KESIMPULAN UTAMA</w:t>
            </w:r>
          </w:p>
          <w:p>
            <w:pPr>
              <w:spacing w:after="0" w:line="269" w:lineRule="auto"/>
            </w:pPr>
            <w:r>
              <w:t>Crediblemark memiliki fondasi penawaran yang baik: harga tetap, kepemilikan sistem, dashboard progres, dan garansi 90 hari. Namun, situs belum cukup meyakinkan untuk mendorong proyek bernilai besar. Hambatan utamanya adalah bukti yang lemah, target pasar terlalu luas, pesan yang tidak konsisten, serta alur konversi yang belum fokus.</w:t>
            </w:r>
          </w:p>
        </w:tc>
      </w:tr>
    </w:tbl>
    <w:p/>
    <w:tbl>
      <w:tblPr>
        <w:tblW w:type="auto" w:w="0"/>
        <w:jc w:val="center"/>
        <w:tblLook w:firstColumn="1" w:firstRow="1" w:lastColumn="0" w:lastRow="0" w:noHBand="0" w:noVBand="1" w:val="04A0"/>
      </w:tblPr>
      <w:tblGrid>
        <w:gridCol w:w="3360"/>
        <w:gridCol w:w="3360"/>
        <w:gridCol w:w="3360"/>
      </w:tblGrid>
      <w:tr>
        <w:trPr>
          <w:cantSplit/>
        </w:trPr>
        <w:tc>
          <w:tcPr>
            <w:tcW w:type="dxa" w:w="3360"/>
            <w:shd w:fill="F4F7F8"/>
            <w:tcMar>
              <w:top w:w="180" w:type="dxa"/>
              <w:start w:w="140" w:type="dxa"/>
              <w:bottom w:w="180" w:type="dxa"/>
              <w:end w:w="140" w:type="dxa"/>
            </w:tcMar>
          </w:tcPr>
          <w:p>
            <w:pPr>
              <w:jc w:val="center"/>
            </w:pPr>
            <w:r>
              <w:rPr>
                <w:b/>
                <w:color w:val="147D7E"/>
                <w:sz w:val="15"/>
              </w:rPr>
              <w:t>FOKUS UTAMA</w:t>
              <w:br/>
            </w:r>
            <w:r>
              <w:rPr>
                <w:b/>
                <w:color w:val="132A3A"/>
                <w:sz w:val="20"/>
              </w:rPr>
              <w:t>Kepercayaan</w:t>
            </w:r>
          </w:p>
        </w:tc>
        <w:tc>
          <w:tcPr>
            <w:tcW w:type="dxa" w:w="3360"/>
            <w:shd w:fill="F4F7F8"/>
            <w:tcMar>
              <w:top w:w="180" w:type="dxa"/>
              <w:start w:w="140" w:type="dxa"/>
              <w:bottom w:w="180" w:type="dxa"/>
              <w:end w:w="140" w:type="dxa"/>
            </w:tcMar>
          </w:tcPr>
          <w:p>
            <w:pPr>
              <w:jc w:val="center"/>
            </w:pPr>
            <w:r>
              <w:rPr>
                <w:b/>
                <w:color w:val="147D7E"/>
                <w:sz w:val="15"/>
              </w:rPr>
              <w:t>HASIL YANG DITUJU</w:t>
              <w:br/>
            </w:r>
            <w:r>
              <w:rPr>
                <w:b/>
                <w:color w:val="132A3A"/>
                <w:sz w:val="20"/>
              </w:rPr>
              <w:t>Lebih banyak lead berkualitas</w:t>
            </w:r>
          </w:p>
        </w:tc>
        <w:tc>
          <w:tcPr>
            <w:tcW w:type="dxa" w:w="3360"/>
            <w:shd w:fill="F4F7F8"/>
            <w:tcMar>
              <w:top w:w="180" w:type="dxa"/>
              <w:start w:w="140" w:type="dxa"/>
              <w:bottom w:w="180" w:type="dxa"/>
              <w:end w:w="140" w:type="dxa"/>
            </w:tcMar>
          </w:tcPr>
          <w:p>
            <w:pPr>
              <w:jc w:val="center"/>
            </w:pPr>
            <w:r>
              <w:rPr>
                <w:b/>
                <w:color w:val="147D7E"/>
                <w:sz w:val="15"/>
              </w:rPr>
              <w:t>PRIORITAS</w:t>
              <w:br/>
            </w:r>
            <w:r>
              <w:rPr>
                <w:b/>
                <w:color w:val="132A3A"/>
                <w:sz w:val="20"/>
              </w:rPr>
              <w:t>Perbaikan 90 hari</w:t>
            </w:r>
          </w:p>
        </w:tc>
      </w:tr>
    </w:tbl>
    <w:p/>
    <w:p>
      <w:r>
        <w:rPr>
          <w:b/>
        </w:rPr>
        <w:t>Ruang lingkup audit</w:t>
      </w:r>
    </w:p>
    <w:p>
      <w:pPr>
        <w:pStyle w:val="ListBullet"/>
        <w:spacing w:after="60"/>
      </w:pPr>
      <w:r>
        <w:t>Halaman utama dan pesan penawaran</w:t>
      </w:r>
    </w:p>
    <w:p>
      <w:pPr>
        <w:pStyle w:val="ListBullet"/>
        <w:spacing w:after="60"/>
      </w:pPr>
      <w:r>
        <w:t>Layanan, WordPress, kalkulator harga, kontak, dan URL yang terindeks</w:t>
      </w:r>
    </w:p>
    <w:p>
      <w:pPr>
        <w:pStyle w:val="ListBullet"/>
        <w:spacing w:after="60"/>
      </w:pPr>
      <w:r>
        <w:t>Bukti sosial, portofolio, positioning, serta jalur calon klien menuju konsultasi</w:t>
      </w:r>
    </w:p>
    <w:p>
      <w:pPr>
        <w:pStyle w:val="ListBullet"/>
        <w:spacing w:after="60"/>
      </w:pPr>
      <w:r>
        <w:t>Rekomendasi pemasaran dan indikator pengukuran</w:t>
      </w:r>
    </w:p>
    <w:p>
      <w:r>
        <w:br w:type="page"/>
      </w:r>
    </w:p>
    <w:p>
      <w:pPr>
        <w:pStyle w:val="Heading1"/>
      </w:pPr>
      <w:r>
        <w:t>1. Ringkasan Eksekutif</w:t>
      </w:r>
    </w:p>
    <w:p>
      <w:r>
        <w:t>Desain situs memberi kesan modern dan teknis. Namun, keputusan membeli jasa pengembangan website atau sistem tidak hanya bergantung pada tampilan. Calon klien membutuhkan tiga hal: relevansi, bukti, dan kepastian proses. Crediblemark belum menyampaikan ketiganya secara konsisten.</w:t>
      </w:r>
    </w:p>
    <w:tbl>
      <w:tblPr>
        <w:tblW w:type="auto" w:w="0"/>
        <w:jc w:val="center"/>
        <w:tblLayout w:type="fixed"/>
        <w:tblLook w:firstColumn="1" w:firstRow="1" w:lastColumn="0" w:lastRow="0" w:noHBand="0" w:noVBand="1" w:val="04A0"/>
      </w:tblPr>
      <w:tblGrid>
        <w:gridCol w:w="9288"/>
      </w:tblGrid>
      <w:tr>
        <w:trPr>
          <w:cantSplit/>
        </w:trPr>
        <w:tc>
          <w:tcPr>
            <w:tcW w:type="dxa" w:w="10080"/>
            <w:shd w:fill="EAF4F4"/>
            <w:tcMar>
              <w:top w:w="180" w:type="dxa"/>
              <w:start w:w="220" w:type="dxa"/>
              <w:bottom w:w="180" w:type="dxa"/>
              <w:end w:w="220" w:type="dxa"/>
            </w:tcMar>
          </w:tcPr>
          <w:p>
            <w:pPr>
              <w:spacing w:after="100"/>
            </w:pPr>
            <w:r>
              <w:rPr>
                <w:b/>
                <w:color w:val="147D7E"/>
                <w:sz w:val="22"/>
              </w:rPr>
              <w:t>DIAGNOSIS</w:t>
            </w:r>
          </w:p>
          <w:p>
            <w:pPr>
              <w:spacing w:after="0" w:line="269" w:lineRule="auto"/>
            </w:pPr>
            <w:r>
              <w:t>Situs lebih kuat dalam menjelaskan kemampuan teknis daripada membuktikan dampak bisnis. Akibatnya, pengunjung dapat memahami bahwa Crediblemark mampu membuat sistem, tetapi belum tentu yakin bahwa Crediblemark merupakan pilihan paling aman untuk bisnis mereka.</w:t>
            </w:r>
          </w:p>
        </w:tc>
      </w:tr>
    </w:tbl>
    <w:p>
      <w:pPr>
        <w:pStyle w:val="Heading2"/>
      </w:pPr>
      <w:r>
        <w:t>Kekuatan yang sudah dapat dipertahankan</w:t>
      </w:r>
    </w:p>
    <w:p>
      <w:pPr>
        <w:pStyle w:val="ListBullet"/>
        <w:spacing w:after="60"/>
      </w:pPr>
      <w:r>
        <w:t>Harga proyek tetap dan ruang lingkup yang disepakati sejak awal.</w:t>
      </w:r>
    </w:p>
    <w:p>
      <w:pPr>
        <w:pStyle w:val="ListBullet"/>
        <w:spacing w:after="60"/>
      </w:pPr>
      <w:r>
        <w:t>Kepemilikan kode dan sistem oleh klien.</w:t>
      </w:r>
    </w:p>
    <w:p>
      <w:pPr>
        <w:pStyle w:val="ListBullet"/>
        <w:spacing w:after="60"/>
      </w:pPr>
      <w:r>
        <w:t>Dashboard untuk memantau progres pekerjaan.</w:t>
      </w:r>
    </w:p>
    <w:p>
      <w:pPr>
        <w:pStyle w:val="ListBullet"/>
        <w:spacing w:after="60"/>
      </w:pPr>
      <w:r>
        <w:t>Garansi perbaikan bug dan dukungan selama 90 hari.</w:t>
      </w:r>
    </w:p>
    <w:p>
      <w:pPr>
        <w:pStyle w:val="ListBullet"/>
        <w:spacing w:after="60"/>
      </w:pPr>
      <w:r>
        <w:t>Kalkulator harga sebagai alat untuk mengurangi ketidakpastian awal.</w:t>
      </w:r>
    </w:p>
    <w:p>
      <w:pPr>
        <w:pStyle w:val="ListBullet"/>
        <w:spacing w:after="60"/>
      </w:pPr>
      <w:r>
        <w:t>Kemampuan membuat website sekaligus sistem operasional khusus.</w:t>
      </w:r>
    </w:p>
    <w:p>
      <w:pPr>
        <w:pStyle w:val="Heading2"/>
      </w:pPr>
      <w:r>
        <w:t>Hambatan utama terhadap penjualan</w:t>
      </w:r>
    </w:p>
    <w:p>
      <w:pPr>
        <w:pStyle w:val="ListNumber"/>
        <w:spacing w:after="80"/>
      </w:pPr>
      <w:r>
        <w:t>Bukti sosial tampak generik dan sulit diverifikasi.</w:t>
      </w:r>
    </w:p>
    <w:p>
      <w:pPr>
        <w:pStyle w:val="ListNumber"/>
        <w:spacing w:after="80"/>
      </w:pPr>
      <w:r>
        <w:t>Beberapa URL lama masih muncul di pencarian tetapi mengarah ke halaman tidak ditemukan.</w:t>
      </w:r>
    </w:p>
    <w:p>
      <w:pPr>
        <w:pStyle w:val="ListNumber"/>
        <w:spacing w:after="80"/>
      </w:pPr>
      <w:r>
        <w:t>Target pasar dan daftar layanan terlalu luas.</w:t>
      </w:r>
    </w:p>
    <w:p>
      <w:pPr>
        <w:pStyle w:val="ListNumber"/>
        <w:spacing w:after="80"/>
      </w:pPr>
      <w:r>
        <w:t>Manfaat bisnis kalah menonjol dibandingkan istilah teknis.</w:t>
      </w:r>
    </w:p>
    <w:p>
      <w:pPr>
        <w:pStyle w:val="ListNumber"/>
        <w:spacing w:after="80"/>
      </w:pPr>
      <w:r>
        <w:t>Bahasa, mata uang, CTA, dan ketentuan kepemilikan belum konsisten.</w:t>
      </w:r>
    </w:p>
    <w:p>
      <w:pPr>
        <w:pStyle w:val="ListNumber"/>
        <w:spacing w:after="80"/>
      </w:pPr>
      <w:r>
        <w:t>Portofolio belum menjelaskan masalah, proses, dan hasil bisnis secara terukur.</w:t>
      </w:r>
    </w:p>
    <w:p>
      <w:pPr>
        <w:pStyle w:val="Heading1"/>
      </w:pPr>
      <w:r>
        <w:t>2. Temuan Berdasarkan Prioritas</w:t>
      </w:r>
    </w:p>
    <w:tbl>
      <w:tblPr>
        <w:tblStyle w:val="TableGrid"/>
        <w:tblW w:type="auto" w:w="0"/>
        <w:jc w:val="center"/>
        <w:tblLook w:firstColumn="1" w:firstRow="1" w:lastColumn="0" w:lastRow="0" w:noHBand="0" w:noVBand="1" w:val="04A0"/>
      </w:tblPr>
      <w:tblGrid>
        <w:gridCol w:w="1368"/>
        <w:gridCol w:w="1872"/>
        <w:gridCol w:w="2880"/>
        <w:gridCol w:w="3096"/>
      </w:tblGrid>
      <w:tr>
        <w:trPr>
          <w:tblHeader w:val="true"/>
          <w:cantSplit/>
        </w:trPr>
        <w:tc>
          <w:tcPr>
            <w:tcW w:type="dxa" w:w="2520"/>
            <w:vAlign w:val="center"/>
            <w:tcMar>
              <w:top w:w="100" w:type="dxa"/>
              <w:start w:w="110" w:type="dxa"/>
              <w:bottom w:w="100" w:type="dxa"/>
              <w:end w:w="110" w:type="dxa"/>
            </w:tcMar>
            <w:shd w:fill="132A3A"/>
          </w:tcPr>
          <w:p>
            <w:pPr>
              <w:spacing w:after="0" w:line="252" w:lineRule="auto"/>
            </w:pPr>
            <w:r/>
            <w:r>
              <w:rPr>
                <w:rFonts w:ascii="Aptos" w:hAnsi="Aptos"/>
                <w:b/>
                <w:color w:val="FFFFFF"/>
                <w:sz w:val="16"/>
              </w:rPr>
              <w:t>Prioritas</w:t>
            </w:r>
          </w:p>
        </w:tc>
        <w:tc>
          <w:tcPr>
            <w:tcW w:type="dxa" w:w="2520"/>
            <w:vAlign w:val="center"/>
            <w:tcMar>
              <w:top w:w="100" w:type="dxa"/>
              <w:start w:w="110" w:type="dxa"/>
              <w:bottom w:w="100" w:type="dxa"/>
              <w:end w:w="110" w:type="dxa"/>
            </w:tcMar>
            <w:shd w:fill="132A3A"/>
          </w:tcPr>
          <w:p>
            <w:pPr>
              <w:spacing w:after="0" w:line="252" w:lineRule="auto"/>
            </w:pPr>
            <w:r/>
            <w:r>
              <w:rPr>
                <w:rFonts w:ascii="Aptos" w:hAnsi="Aptos"/>
                <w:b/>
                <w:color w:val="FFFFFF"/>
                <w:sz w:val="16"/>
              </w:rPr>
              <w:t>Temuan</w:t>
            </w:r>
          </w:p>
        </w:tc>
        <w:tc>
          <w:tcPr>
            <w:tcW w:type="dxa" w:w="2520"/>
            <w:vAlign w:val="center"/>
            <w:tcMar>
              <w:top w:w="100" w:type="dxa"/>
              <w:start w:w="110" w:type="dxa"/>
              <w:bottom w:w="100" w:type="dxa"/>
              <w:end w:w="110" w:type="dxa"/>
            </w:tcMar>
            <w:shd w:fill="132A3A"/>
          </w:tcPr>
          <w:p>
            <w:pPr>
              <w:spacing w:after="0" w:line="252" w:lineRule="auto"/>
            </w:pPr>
            <w:r/>
            <w:r>
              <w:rPr>
                <w:rFonts w:ascii="Aptos" w:hAnsi="Aptos"/>
                <w:b/>
                <w:color w:val="FFFFFF"/>
                <w:sz w:val="16"/>
              </w:rPr>
              <w:t>Dampak</w:t>
            </w:r>
          </w:p>
        </w:tc>
        <w:tc>
          <w:tcPr>
            <w:tcW w:type="dxa" w:w="2520"/>
            <w:vAlign w:val="center"/>
            <w:tcMar>
              <w:top w:w="100" w:type="dxa"/>
              <w:start w:w="110" w:type="dxa"/>
              <w:bottom w:w="100" w:type="dxa"/>
              <w:end w:w="110" w:type="dxa"/>
            </w:tcMar>
            <w:shd w:fill="132A3A"/>
          </w:tcPr>
          <w:p>
            <w:pPr>
              <w:spacing w:after="0" w:line="252" w:lineRule="auto"/>
            </w:pPr>
            <w:r/>
            <w:r>
              <w:rPr>
                <w:rFonts w:ascii="Aptos" w:hAnsi="Aptos"/>
                <w:b/>
                <w:color w:val="FFFFFF"/>
                <w:sz w:val="16"/>
              </w:rPr>
              <w:t>Perbaikan</w:t>
            </w:r>
          </w:p>
        </w:tc>
      </w:tr>
      <w:tr>
        <w:trPr>
          <w:cantSplit/>
        </w:trPr>
        <w:tc>
          <w:tcPr>
            <w:tcW w:type="dxa" w:w="1368"/>
            <w:vAlign w:val="center"/>
            <w:tcMar>
              <w:top w:w="100" w:type="dxa"/>
              <w:start w:w="110" w:type="dxa"/>
              <w:bottom w:w="100" w:type="dxa"/>
              <w:end w:w="110" w:type="dxa"/>
            </w:tcMar>
            <w:shd w:fill="FCEBE9"/>
          </w:tcPr>
          <w:p>
            <w:pPr>
              <w:spacing w:after="0" w:line="252" w:lineRule="auto"/>
            </w:pPr>
            <w:r/>
            <w:r>
              <w:rPr>
                <w:rFonts w:ascii="Aptos" w:hAnsi="Aptos"/>
                <w:b/>
                <w:color w:val="132A3A"/>
                <w:sz w:val="16"/>
              </w:rPr>
              <w:t>KRITIS</w:t>
            </w:r>
          </w:p>
        </w:tc>
        <w:tc>
          <w:tcPr>
            <w:tcW w:type="dxa" w:w="1872"/>
            <w:vAlign w:val="center"/>
            <w:tcMar>
              <w:top w:w="100" w:type="dxa"/>
              <w:start w:w="110" w:type="dxa"/>
              <w:bottom w:w="100" w:type="dxa"/>
              <w:end w:w="110" w:type="dxa"/>
            </w:tcMar>
          </w:tcPr>
          <w:p>
            <w:pPr>
              <w:spacing w:after="0" w:line="252" w:lineRule="auto"/>
            </w:pPr>
            <w:r/>
            <w:r>
              <w:rPr>
                <w:rFonts w:ascii="Aptos" w:hAnsi="Aptos"/>
                <w:b w:val="0"/>
                <w:color w:val="132A3A"/>
                <w:sz w:val="16"/>
              </w:rPr>
              <w:t>Testimoni generik dan berulang</w:t>
            </w:r>
          </w:p>
        </w:tc>
        <w:tc>
          <w:tcPr>
            <w:tcW w:type="dxa" w:w="2880"/>
            <w:vAlign w:val="center"/>
            <w:tcMar>
              <w:top w:w="100" w:type="dxa"/>
              <w:start w:w="110" w:type="dxa"/>
              <w:bottom w:w="100" w:type="dxa"/>
              <w:end w:w="110" w:type="dxa"/>
            </w:tcMar>
          </w:tcPr>
          <w:p>
            <w:pPr>
              <w:spacing w:after="0" w:line="252" w:lineRule="auto"/>
            </w:pPr>
            <w:r/>
            <w:r>
              <w:rPr>
                <w:rFonts w:ascii="Aptos" w:hAnsi="Aptos"/>
                <w:b w:val="0"/>
                <w:color w:val="132A3A"/>
                <w:sz w:val="16"/>
              </w:rPr>
              <w:t>Dapat terlihat seperti data contoh. Kepercayaan turun sebelum calon klien menghubungi tim.</w:t>
            </w:r>
          </w:p>
        </w:tc>
        <w:tc>
          <w:tcPr>
            <w:tcW w:type="dxa" w:w="3096"/>
            <w:vAlign w:val="center"/>
            <w:tcMar>
              <w:top w:w="100" w:type="dxa"/>
              <w:start w:w="110" w:type="dxa"/>
              <w:bottom w:w="100" w:type="dxa"/>
              <w:end w:w="110" w:type="dxa"/>
            </w:tcMar>
          </w:tcPr>
          <w:p>
            <w:pPr>
              <w:spacing w:after="0" w:line="252" w:lineRule="auto"/>
            </w:pPr>
            <w:r/>
            <w:r>
              <w:rPr>
                <w:rFonts w:ascii="Aptos" w:hAnsi="Aptos"/>
                <w:b w:val="0"/>
                <w:color w:val="132A3A"/>
                <w:sz w:val="16"/>
              </w:rPr>
              <w:t>Gunakan klien asli, jabatan, perusahaan, tautan proyek, izin publikasi, dan hasil terukur.</w:t>
            </w:r>
          </w:p>
        </w:tc>
      </w:tr>
      <w:tr>
        <w:trPr>
          <w:cantSplit/>
        </w:trPr>
        <w:tc>
          <w:tcPr>
            <w:tcW w:type="dxa" w:w="1368"/>
            <w:vAlign w:val="center"/>
            <w:tcMar>
              <w:top w:w="100" w:type="dxa"/>
              <w:start w:w="110" w:type="dxa"/>
              <w:bottom w:w="100" w:type="dxa"/>
              <w:end w:w="110" w:type="dxa"/>
            </w:tcMar>
            <w:shd w:fill="FCEBE9"/>
          </w:tcPr>
          <w:p>
            <w:pPr>
              <w:spacing w:after="0" w:line="252" w:lineRule="auto"/>
            </w:pPr>
            <w:r/>
            <w:r>
              <w:rPr>
                <w:rFonts w:ascii="Aptos" w:hAnsi="Aptos"/>
                <w:b/>
                <w:color w:val="132A3A"/>
                <w:sz w:val="16"/>
              </w:rPr>
              <w:t>KRITIS</w:t>
            </w:r>
          </w:p>
        </w:tc>
        <w:tc>
          <w:tcPr>
            <w:tcW w:type="dxa" w:w="1872"/>
            <w:vAlign w:val="center"/>
            <w:tcMar>
              <w:top w:w="100" w:type="dxa"/>
              <w:start w:w="110" w:type="dxa"/>
              <w:bottom w:w="100" w:type="dxa"/>
              <w:end w:w="110" w:type="dxa"/>
            </w:tcMar>
          </w:tcPr>
          <w:p>
            <w:pPr>
              <w:spacing w:after="0" w:line="252" w:lineRule="auto"/>
            </w:pPr>
            <w:r/>
            <w:r>
              <w:rPr>
                <w:rFonts w:ascii="Aptos" w:hAnsi="Aptos"/>
                <w:b w:val="0"/>
                <w:color w:val="132A3A"/>
                <w:sz w:val="16"/>
              </w:rPr>
              <w:t>URL terindeks menuju 404</w:t>
            </w:r>
          </w:p>
        </w:tc>
        <w:tc>
          <w:tcPr>
            <w:tcW w:type="dxa" w:w="2880"/>
            <w:vAlign w:val="center"/>
            <w:tcMar>
              <w:top w:w="100" w:type="dxa"/>
              <w:start w:w="110" w:type="dxa"/>
              <w:bottom w:w="100" w:type="dxa"/>
              <w:end w:w="110" w:type="dxa"/>
            </w:tcMar>
          </w:tcPr>
          <w:p>
            <w:pPr>
              <w:spacing w:after="0" w:line="252" w:lineRule="auto"/>
            </w:pPr>
            <w:r/>
            <w:r>
              <w:rPr>
                <w:rFonts w:ascii="Aptos" w:hAnsi="Aptos"/>
                <w:b w:val="0"/>
                <w:color w:val="132A3A"/>
                <w:sz w:val="16"/>
              </w:rPr>
              <w:t>Pengunjung dari Google masuk ke halaman mati. SEO dan kredibilitas menurun.</w:t>
            </w:r>
          </w:p>
        </w:tc>
        <w:tc>
          <w:tcPr>
            <w:tcW w:type="dxa" w:w="3096"/>
            <w:vAlign w:val="center"/>
            <w:tcMar>
              <w:top w:w="100" w:type="dxa"/>
              <w:start w:w="110" w:type="dxa"/>
              <w:bottom w:w="100" w:type="dxa"/>
              <w:end w:w="110" w:type="dxa"/>
            </w:tcMar>
          </w:tcPr>
          <w:p>
            <w:pPr>
              <w:spacing w:after="0" w:line="252" w:lineRule="auto"/>
            </w:pPr>
            <w:r/>
            <w:r>
              <w:rPr>
                <w:rFonts w:ascii="Aptos" w:hAnsi="Aptos"/>
                <w:b w:val="0"/>
                <w:color w:val="132A3A"/>
                <w:sz w:val="16"/>
              </w:rPr>
              <w:t>Pasang redirect 301, bersihkan sitemap, dan validasi ulang melalui Search Console.</w:t>
            </w:r>
          </w:p>
        </w:tc>
      </w:tr>
      <w:tr>
        <w:trPr>
          <w:cantSplit/>
        </w:trPr>
        <w:tc>
          <w:tcPr>
            <w:tcW w:type="dxa" w:w="1368"/>
            <w:vAlign w:val="center"/>
            <w:tcMar>
              <w:top w:w="100" w:type="dxa"/>
              <w:start w:w="110" w:type="dxa"/>
              <w:bottom w:w="100" w:type="dxa"/>
              <w:end w:w="110" w:type="dxa"/>
            </w:tcMar>
            <w:shd w:fill="FCEBE9"/>
          </w:tcPr>
          <w:p>
            <w:pPr>
              <w:spacing w:after="0" w:line="252" w:lineRule="auto"/>
            </w:pPr>
            <w:r/>
            <w:r>
              <w:rPr>
                <w:rFonts w:ascii="Aptos" w:hAnsi="Aptos"/>
                <w:b/>
                <w:color w:val="132A3A"/>
                <w:sz w:val="16"/>
              </w:rPr>
              <w:t>KRITIS</w:t>
            </w:r>
          </w:p>
        </w:tc>
        <w:tc>
          <w:tcPr>
            <w:tcW w:type="dxa" w:w="1872"/>
            <w:vAlign w:val="center"/>
            <w:tcMar>
              <w:top w:w="100" w:type="dxa"/>
              <w:start w:w="110" w:type="dxa"/>
              <w:bottom w:w="100" w:type="dxa"/>
              <w:end w:w="110" w:type="dxa"/>
            </w:tcMar>
          </w:tcPr>
          <w:p>
            <w:pPr>
              <w:spacing w:after="0" w:line="252" w:lineRule="auto"/>
            </w:pPr>
            <w:r/>
            <w:r>
              <w:rPr>
                <w:rFonts w:ascii="Aptos" w:hAnsi="Aptos"/>
                <w:b w:val="0"/>
                <w:color w:val="132A3A"/>
                <w:sz w:val="16"/>
              </w:rPr>
              <w:t>Klaim besar tanpa bukti pendukung</w:t>
            </w:r>
          </w:p>
        </w:tc>
        <w:tc>
          <w:tcPr>
            <w:tcW w:type="dxa" w:w="2880"/>
            <w:vAlign w:val="center"/>
            <w:tcMar>
              <w:top w:w="100" w:type="dxa"/>
              <w:start w:w="110" w:type="dxa"/>
              <w:bottom w:w="100" w:type="dxa"/>
              <w:end w:w="110" w:type="dxa"/>
            </w:tcMar>
          </w:tcPr>
          <w:p>
            <w:pPr>
              <w:spacing w:after="0" w:line="252" w:lineRule="auto"/>
            </w:pPr>
            <w:r/>
            <w:r>
              <w:rPr>
                <w:rFonts w:ascii="Aptos" w:hAnsi="Aptos"/>
                <w:b w:val="0"/>
                <w:color w:val="132A3A"/>
                <w:sz w:val="16"/>
              </w:rPr>
              <w:t>Pengalaman 12+ tahun, 60+ founders, keamanan enterprise, dan hasil terjamin sulit diverifikasi.</w:t>
            </w:r>
          </w:p>
        </w:tc>
        <w:tc>
          <w:tcPr>
            <w:tcW w:type="dxa" w:w="3096"/>
            <w:vAlign w:val="center"/>
            <w:tcMar>
              <w:top w:w="100" w:type="dxa"/>
              <w:start w:w="110" w:type="dxa"/>
              <w:bottom w:w="100" w:type="dxa"/>
              <w:end w:w="110" w:type="dxa"/>
            </w:tcMar>
          </w:tcPr>
          <w:p>
            <w:pPr>
              <w:spacing w:after="0" w:line="252" w:lineRule="auto"/>
            </w:pPr>
            <w:r/>
            <w:r>
              <w:rPr>
                <w:rFonts w:ascii="Aptos" w:hAnsi="Aptos"/>
                <w:b w:val="0"/>
                <w:color w:val="132A3A"/>
                <w:sz w:val="16"/>
              </w:rPr>
              <w:t>Tambahkan profil tim, legalitas, studi kasus, metodologi, dan dokumentasi hasil.</w:t>
            </w:r>
          </w:p>
        </w:tc>
      </w:tr>
      <w:tr>
        <w:trPr>
          <w:cantSplit/>
        </w:trPr>
        <w:tc>
          <w:tcPr>
            <w:tcW w:type="dxa" w:w="1368"/>
            <w:vAlign w:val="center"/>
            <w:tcMar>
              <w:top w:w="100" w:type="dxa"/>
              <w:start w:w="110" w:type="dxa"/>
              <w:bottom w:w="100" w:type="dxa"/>
              <w:end w:w="110" w:type="dxa"/>
            </w:tcMar>
            <w:shd w:fill="FFF4DD"/>
          </w:tcPr>
          <w:p>
            <w:pPr>
              <w:spacing w:after="0" w:line="252" w:lineRule="auto"/>
            </w:pPr>
            <w:r/>
            <w:r>
              <w:rPr>
                <w:rFonts w:ascii="Aptos" w:hAnsi="Aptos"/>
                <w:b/>
                <w:color w:val="132A3A"/>
                <w:sz w:val="16"/>
              </w:rPr>
              <w:t>TINGGI</w:t>
            </w:r>
          </w:p>
        </w:tc>
        <w:tc>
          <w:tcPr>
            <w:tcW w:type="dxa" w:w="1872"/>
            <w:vAlign w:val="center"/>
            <w:tcMar>
              <w:top w:w="100" w:type="dxa"/>
              <w:start w:w="110" w:type="dxa"/>
              <w:bottom w:w="100" w:type="dxa"/>
              <w:end w:w="110" w:type="dxa"/>
            </w:tcMar>
          </w:tcPr>
          <w:p>
            <w:pPr>
              <w:spacing w:after="0" w:line="252" w:lineRule="auto"/>
            </w:pPr>
            <w:r/>
            <w:r>
              <w:rPr>
                <w:rFonts w:ascii="Aptos" w:hAnsi="Aptos"/>
                <w:b w:val="0"/>
                <w:color w:val="132A3A"/>
                <w:sz w:val="16"/>
              </w:rPr>
              <w:t>Target pasar terlalu luas</w:t>
            </w:r>
          </w:p>
        </w:tc>
        <w:tc>
          <w:tcPr>
            <w:tcW w:type="dxa" w:w="2880"/>
            <w:vAlign w:val="center"/>
            <w:tcMar>
              <w:top w:w="100" w:type="dxa"/>
              <w:start w:w="110" w:type="dxa"/>
              <w:bottom w:w="100" w:type="dxa"/>
              <w:end w:w="110" w:type="dxa"/>
            </w:tcMar>
          </w:tcPr>
          <w:p>
            <w:pPr>
              <w:spacing w:after="0" w:line="252" w:lineRule="auto"/>
            </w:pPr>
            <w:r/>
            <w:r>
              <w:rPr>
                <w:rFonts w:ascii="Aptos" w:hAnsi="Aptos"/>
                <w:b w:val="0"/>
                <w:color w:val="132A3A"/>
                <w:sz w:val="16"/>
              </w:rPr>
              <w:t>UMKM, founder, dan enterprise menerima pesan yang sama meski kebutuhan mereka berbeda.</w:t>
            </w:r>
          </w:p>
        </w:tc>
        <w:tc>
          <w:tcPr>
            <w:tcW w:type="dxa" w:w="3096"/>
            <w:vAlign w:val="center"/>
            <w:tcMar>
              <w:top w:w="100" w:type="dxa"/>
              <w:start w:w="110" w:type="dxa"/>
              <w:bottom w:w="100" w:type="dxa"/>
              <w:end w:w="110" w:type="dxa"/>
            </w:tcMar>
          </w:tcPr>
          <w:p>
            <w:pPr>
              <w:spacing w:after="0" w:line="252" w:lineRule="auto"/>
            </w:pPr>
            <w:r/>
            <w:r>
              <w:rPr>
                <w:rFonts w:ascii="Aptos" w:hAnsi="Aptos"/>
                <w:b w:val="0"/>
                <w:color w:val="132A3A"/>
                <w:sz w:val="16"/>
              </w:rPr>
              <w:t>Pilih satu sampai dua segmen dan dua layanan utama.</w:t>
            </w:r>
          </w:p>
        </w:tc>
      </w:tr>
      <w:tr>
        <w:trPr>
          <w:cantSplit/>
        </w:trPr>
        <w:tc>
          <w:tcPr>
            <w:tcW w:type="dxa" w:w="1368"/>
            <w:vAlign w:val="center"/>
            <w:tcMar>
              <w:top w:w="100" w:type="dxa"/>
              <w:start w:w="110" w:type="dxa"/>
              <w:bottom w:w="100" w:type="dxa"/>
              <w:end w:w="110" w:type="dxa"/>
            </w:tcMar>
            <w:shd w:fill="FFF4DD"/>
          </w:tcPr>
          <w:p>
            <w:pPr>
              <w:spacing w:after="0" w:line="252" w:lineRule="auto"/>
            </w:pPr>
            <w:r/>
            <w:r>
              <w:rPr>
                <w:rFonts w:ascii="Aptos" w:hAnsi="Aptos"/>
                <w:b/>
                <w:color w:val="132A3A"/>
                <w:sz w:val="16"/>
              </w:rPr>
              <w:t>TINGGI</w:t>
            </w:r>
          </w:p>
        </w:tc>
        <w:tc>
          <w:tcPr>
            <w:tcW w:type="dxa" w:w="1872"/>
            <w:vAlign w:val="center"/>
            <w:tcMar>
              <w:top w:w="100" w:type="dxa"/>
              <w:start w:w="110" w:type="dxa"/>
              <w:bottom w:w="100" w:type="dxa"/>
              <w:end w:w="110" w:type="dxa"/>
            </w:tcMar>
          </w:tcPr>
          <w:p>
            <w:pPr>
              <w:spacing w:after="0" w:line="252" w:lineRule="auto"/>
            </w:pPr>
            <w:r/>
            <w:r>
              <w:rPr>
                <w:rFonts w:ascii="Aptos" w:hAnsi="Aptos"/>
                <w:b w:val="0"/>
                <w:color w:val="132A3A"/>
                <w:sz w:val="16"/>
              </w:rPr>
              <w:t>Pesan terlalu teknis</w:t>
            </w:r>
          </w:p>
        </w:tc>
        <w:tc>
          <w:tcPr>
            <w:tcW w:type="dxa" w:w="2880"/>
            <w:vAlign w:val="center"/>
            <w:tcMar>
              <w:top w:w="100" w:type="dxa"/>
              <w:start w:w="110" w:type="dxa"/>
              <w:bottom w:w="100" w:type="dxa"/>
              <w:end w:w="110" w:type="dxa"/>
            </w:tcMar>
          </w:tcPr>
          <w:p>
            <w:pPr>
              <w:spacing w:after="0" w:line="252" w:lineRule="auto"/>
            </w:pPr>
            <w:r/>
            <w:r>
              <w:rPr>
                <w:rFonts w:ascii="Aptos" w:hAnsi="Aptos"/>
                <w:b w:val="0"/>
                <w:color w:val="132A3A"/>
                <w:sz w:val="16"/>
              </w:rPr>
              <w:t>Istilah React, GraphQL, Redis, headless, dan cloud muncul sebelum nilai bisnis dipahami.</w:t>
            </w:r>
          </w:p>
        </w:tc>
        <w:tc>
          <w:tcPr>
            <w:tcW w:type="dxa" w:w="3096"/>
            <w:vAlign w:val="center"/>
            <w:tcMar>
              <w:top w:w="100" w:type="dxa"/>
              <w:start w:w="110" w:type="dxa"/>
              <w:bottom w:w="100" w:type="dxa"/>
              <w:end w:w="110" w:type="dxa"/>
            </w:tcMar>
          </w:tcPr>
          <w:p>
            <w:pPr>
              <w:spacing w:after="0" w:line="252" w:lineRule="auto"/>
            </w:pPr>
            <w:r/>
            <w:r>
              <w:rPr>
                <w:rFonts w:ascii="Aptos" w:hAnsi="Aptos"/>
                <w:b w:val="0"/>
                <w:color w:val="132A3A"/>
                <w:sz w:val="16"/>
              </w:rPr>
              <w:t>Dahulukan kenaikan lead, penghematan waktu, pengurangan kesalahan, dan kepemilikan data.</w:t>
            </w:r>
          </w:p>
        </w:tc>
      </w:tr>
      <w:tr>
        <w:trPr>
          <w:cantSplit/>
        </w:trPr>
        <w:tc>
          <w:tcPr>
            <w:tcW w:type="dxa" w:w="1368"/>
            <w:vAlign w:val="center"/>
            <w:tcMar>
              <w:top w:w="100" w:type="dxa"/>
              <w:start w:w="110" w:type="dxa"/>
              <w:bottom w:w="100" w:type="dxa"/>
              <w:end w:w="110" w:type="dxa"/>
            </w:tcMar>
            <w:shd w:fill="FFF4DD"/>
          </w:tcPr>
          <w:p>
            <w:pPr>
              <w:spacing w:after="0" w:line="252" w:lineRule="auto"/>
            </w:pPr>
            <w:r/>
            <w:r>
              <w:rPr>
                <w:rFonts w:ascii="Aptos" w:hAnsi="Aptos"/>
                <w:b/>
                <w:color w:val="132A3A"/>
                <w:sz w:val="16"/>
              </w:rPr>
              <w:t>TINGGI</w:t>
            </w:r>
          </w:p>
        </w:tc>
        <w:tc>
          <w:tcPr>
            <w:tcW w:type="dxa" w:w="1872"/>
            <w:vAlign w:val="center"/>
            <w:tcMar>
              <w:top w:w="100" w:type="dxa"/>
              <w:start w:w="110" w:type="dxa"/>
              <w:bottom w:w="100" w:type="dxa"/>
              <w:end w:w="110" w:type="dxa"/>
            </w:tcMar>
          </w:tcPr>
          <w:p>
            <w:pPr>
              <w:spacing w:after="0" w:line="252" w:lineRule="auto"/>
            </w:pPr>
            <w:r/>
            <w:r>
              <w:rPr>
                <w:rFonts w:ascii="Aptos" w:hAnsi="Aptos"/>
                <w:b w:val="0"/>
                <w:color w:val="132A3A"/>
                <w:sz w:val="16"/>
              </w:rPr>
              <w:t>Identitas bahasa tidak konsisten</w:t>
            </w:r>
          </w:p>
        </w:tc>
        <w:tc>
          <w:tcPr>
            <w:tcW w:type="dxa" w:w="2880"/>
            <w:vAlign w:val="center"/>
            <w:tcMar>
              <w:top w:w="100" w:type="dxa"/>
              <w:start w:w="110" w:type="dxa"/>
              <w:bottom w:w="100" w:type="dxa"/>
              <w:end w:w="110" w:type="dxa"/>
            </w:tcMar>
          </w:tcPr>
          <w:p>
            <w:pPr>
              <w:spacing w:after="0" w:line="252" w:lineRule="auto"/>
            </w:pPr>
            <w:r/>
            <w:r>
              <w:rPr>
                <w:rFonts w:ascii="Aptos" w:hAnsi="Aptos"/>
                <w:b w:val="0"/>
                <w:color w:val="132A3A"/>
                <w:sz w:val="16"/>
              </w:rPr>
              <w:t>Halaman Indonesia masih bercampur dengan bahasa Inggris dan istilah yang tidak dijelaskan.</w:t>
            </w:r>
          </w:p>
        </w:tc>
        <w:tc>
          <w:tcPr>
            <w:tcW w:type="dxa" w:w="3096"/>
            <w:vAlign w:val="center"/>
            <w:tcMar>
              <w:top w:w="100" w:type="dxa"/>
              <w:start w:w="110" w:type="dxa"/>
              <w:bottom w:w="100" w:type="dxa"/>
              <w:end w:w="110" w:type="dxa"/>
            </w:tcMar>
          </w:tcPr>
          <w:p>
            <w:pPr>
              <w:spacing w:after="0" w:line="252" w:lineRule="auto"/>
            </w:pPr>
            <w:r/>
            <w:r>
              <w:rPr>
                <w:rFonts w:ascii="Aptos" w:hAnsi="Aptos"/>
                <w:b w:val="0"/>
                <w:color w:val="132A3A"/>
                <w:sz w:val="16"/>
              </w:rPr>
              <w:t>Gunakan Bahasa Indonesia penuh pada /id dan Inggris penuh pada /en.</w:t>
            </w:r>
          </w:p>
        </w:tc>
      </w:tr>
      <w:tr>
        <w:trPr>
          <w:cantSplit/>
        </w:trPr>
        <w:tc>
          <w:tcPr>
            <w:tcW w:type="dxa" w:w="1368"/>
            <w:vAlign w:val="center"/>
            <w:tcMar>
              <w:top w:w="100" w:type="dxa"/>
              <w:start w:w="110" w:type="dxa"/>
              <w:bottom w:w="100" w:type="dxa"/>
              <w:end w:w="110" w:type="dxa"/>
            </w:tcMar>
            <w:shd w:fill="FFF4DD"/>
          </w:tcPr>
          <w:p>
            <w:pPr>
              <w:spacing w:after="0" w:line="252" w:lineRule="auto"/>
            </w:pPr>
            <w:r/>
            <w:r>
              <w:rPr>
                <w:rFonts w:ascii="Aptos" w:hAnsi="Aptos"/>
                <w:b/>
                <w:color w:val="132A3A"/>
                <w:sz w:val="16"/>
              </w:rPr>
              <w:t>TINGGI</w:t>
            </w:r>
          </w:p>
        </w:tc>
        <w:tc>
          <w:tcPr>
            <w:tcW w:type="dxa" w:w="1872"/>
            <w:vAlign w:val="center"/>
            <w:tcMar>
              <w:top w:w="100" w:type="dxa"/>
              <w:start w:w="110" w:type="dxa"/>
              <w:bottom w:w="100" w:type="dxa"/>
              <w:end w:w="110" w:type="dxa"/>
            </w:tcMar>
          </w:tcPr>
          <w:p>
            <w:pPr>
              <w:spacing w:after="0" w:line="252" w:lineRule="auto"/>
            </w:pPr>
            <w:r/>
            <w:r>
              <w:rPr>
                <w:rFonts w:ascii="Aptos" w:hAnsi="Aptos"/>
                <w:b w:val="0"/>
                <w:color w:val="132A3A"/>
                <w:sz w:val="16"/>
              </w:rPr>
              <w:t>Kontak menggunakan Gmail</w:t>
            </w:r>
          </w:p>
        </w:tc>
        <w:tc>
          <w:tcPr>
            <w:tcW w:type="dxa" w:w="2880"/>
            <w:vAlign w:val="center"/>
            <w:tcMar>
              <w:top w:w="100" w:type="dxa"/>
              <w:start w:w="110" w:type="dxa"/>
              <w:bottom w:w="100" w:type="dxa"/>
              <w:end w:w="110" w:type="dxa"/>
            </w:tcMar>
          </w:tcPr>
          <w:p>
            <w:pPr>
              <w:spacing w:after="0" w:line="252" w:lineRule="auto"/>
            </w:pPr>
            <w:r/>
            <w:r>
              <w:rPr>
                <w:rFonts w:ascii="Aptos" w:hAnsi="Aptos"/>
                <w:b w:val="0"/>
                <w:color w:val="132A3A"/>
                <w:sz w:val="16"/>
              </w:rPr>
              <w:t>Kurang sesuai untuk penyedia sistem bisnis dan keamanan.</w:t>
            </w:r>
          </w:p>
        </w:tc>
        <w:tc>
          <w:tcPr>
            <w:tcW w:type="dxa" w:w="3096"/>
            <w:vAlign w:val="center"/>
            <w:tcMar>
              <w:top w:w="100" w:type="dxa"/>
              <w:start w:w="110" w:type="dxa"/>
              <w:bottom w:w="100" w:type="dxa"/>
              <w:end w:w="110" w:type="dxa"/>
            </w:tcMar>
          </w:tcPr>
          <w:p>
            <w:pPr>
              <w:spacing w:after="0" w:line="252" w:lineRule="auto"/>
            </w:pPr>
            <w:r/>
            <w:r>
              <w:rPr>
                <w:rFonts w:ascii="Aptos" w:hAnsi="Aptos"/>
                <w:b w:val="0"/>
                <w:color w:val="132A3A"/>
                <w:sz w:val="16"/>
              </w:rPr>
              <w:t>Gunakan hello@, sales@, dan support@crediblemark.com.</w:t>
            </w:r>
          </w:p>
        </w:tc>
      </w:tr>
      <w:tr>
        <w:trPr>
          <w:cantSplit/>
        </w:trPr>
        <w:tc>
          <w:tcPr>
            <w:tcW w:type="dxa" w:w="1368"/>
            <w:vAlign w:val="center"/>
            <w:tcMar>
              <w:top w:w="100" w:type="dxa"/>
              <w:start w:w="110" w:type="dxa"/>
              <w:bottom w:w="100" w:type="dxa"/>
              <w:end w:w="110" w:type="dxa"/>
            </w:tcMar>
            <w:shd w:fill="EAF4F4"/>
          </w:tcPr>
          <w:p>
            <w:pPr>
              <w:spacing w:after="0" w:line="252" w:lineRule="auto"/>
            </w:pPr>
            <w:r/>
            <w:r>
              <w:rPr>
                <w:rFonts w:ascii="Aptos" w:hAnsi="Aptos"/>
                <w:b/>
                <w:color w:val="132A3A"/>
                <w:sz w:val="16"/>
              </w:rPr>
              <w:t>MENENGAH</w:t>
            </w:r>
          </w:p>
        </w:tc>
        <w:tc>
          <w:tcPr>
            <w:tcW w:type="dxa" w:w="1872"/>
            <w:vAlign w:val="center"/>
            <w:tcMar>
              <w:top w:w="100" w:type="dxa"/>
              <w:start w:w="110" w:type="dxa"/>
              <w:bottom w:w="100" w:type="dxa"/>
              <w:end w:w="110" w:type="dxa"/>
            </w:tcMar>
          </w:tcPr>
          <w:p>
            <w:pPr>
              <w:spacing w:after="0" w:line="252" w:lineRule="auto"/>
            </w:pPr>
            <w:r/>
            <w:r>
              <w:rPr>
                <w:rFonts w:ascii="Aptos" w:hAnsi="Aptos"/>
                <w:b w:val="0"/>
                <w:color w:val="132A3A"/>
                <w:sz w:val="16"/>
              </w:rPr>
              <w:t>CTA terlalu banyak</w:t>
            </w:r>
          </w:p>
        </w:tc>
        <w:tc>
          <w:tcPr>
            <w:tcW w:type="dxa" w:w="2880"/>
            <w:vAlign w:val="center"/>
            <w:tcMar>
              <w:top w:w="100" w:type="dxa"/>
              <w:start w:w="110" w:type="dxa"/>
              <w:bottom w:w="100" w:type="dxa"/>
              <w:end w:w="110" w:type="dxa"/>
            </w:tcMar>
          </w:tcPr>
          <w:p>
            <w:pPr>
              <w:spacing w:after="0" w:line="252" w:lineRule="auto"/>
            </w:pPr>
            <w:r/>
            <w:r>
              <w:rPr>
                <w:rFonts w:ascii="Aptos" w:hAnsi="Aptos"/>
                <w:b w:val="0"/>
                <w:color w:val="132A3A"/>
                <w:sz w:val="16"/>
              </w:rPr>
              <w:t>Pengunjung tidak mengetahui tindakan utama yang harus dipilih.</w:t>
            </w:r>
          </w:p>
        </w:tc>
        <w:tc>
          <w:tcPr>
            <w:tcW w:type="dxa" w:w="3096"/>
            <w:vAlign w:val="center"/>
            <w:tcMar>
              <w:top w:w="100" w:type="dxa"/>
              <w:start w:w="110" w:type="dxa"/>
              <w:bottom w:w="100" w:type="dxa"/>
              <w:end w:w="110" w:type="dxa"/>
            </w:tcMar>
          </w:tcPr>
          <w:p>
            <w:pPr>
              <w:spacing w:after="0" w:line="252" w:lineRule="auto"/>
            </w:pPr>
            <w:r/>
            <w:r>
              <w:rPr>
                <w:rFonts w:ascii="Aptos" w:hAnsi="Aptos"/>
                <w:b w:val="0"/>
                <w:color w:val="132A3A"/>
                <w:sz w:val="16"/>
              </w:rPr>
              <w:t>Gunakan satu CTA utama: Konsultasi Gratis 30 Menit.</w:t>
            </w:r>
          </w:p>
        </w:tc>
      </w:tr>
      <w:tr>
        <w:trPr>
          <w:cantSplit/>
        </w:trPr>
        <w:tc>
          <w:tcPr>
            <w:tcW w:type="dxa" w:w="1368"/>
            <w:vAlign w:val="center"/>
            <w:tcMar>
              <w:top w:w="100" w:type="dxa"/>
              <w:start w:w="110" w:type="dxa"/>
              <w:bottom w:w="100" w:type="dxa"/>
              <w:end w:w="110" w:type="dxa"/>
            </w:tcMar>
            <w:shd w:fill="EAF4F4"/>
          </w:tcPr>
          <w:p>
            <w:pPr>
              <w:spacing w:after="0" w:line="252" w:lineRule="auto"/>
            </w:pPr>
            <w:r/>
            <w:r>
              <w:rPr>
                <w:rFonts w:ascii="Aptos" w:hAnsi="Aptos"/>
                <w:b/>
                <w:color w:val="132A3A"/>
                <w:sz w:val="16"/>
              </w:rPr>
              <w:t>MENENGAH</w:t>
            </w:r>
          </w:p>
        </w:tc>
        <w:tc>
          <w:tcPr>
            <w:tcW w:type="dxa" w:w="1872"/>
            <w:vAlign w:val="center"/>
            <w:tcMar>
              <w:top w:w="100" w:type="dxa"/>
              <w:start w:w="110" w:type="dxa"/>
              <w:bottom w:w="100" w:type="dxa"/>
              <w:end w:w="110" w:type="dxa"/>
            </w:tcMar>
          </w:tcPr>
          <w:p>
            <w:pPr>
              <w:spacing w:after="0" w:line="252" w:lineRule="auto"/>
            </w:pPr>
            <w:r/>
            <w:r>
              <w:rPr>
                <w:rFonts w:ascii="Aptos" w:hAnsi="Aptos"/>
                <w:b w:val="0"/>
                <w:color w:val="132A3A"/>
                <w:sz w:val="16"/>
              </w:rPr>
              <w:t>Harga dolar untuk pasar Indonesia</w:t>
            </w:r>
          </w:p>
        </w:tc>
        <w:tc>
          <w:tcPr>
            <w:tcW w:type="dxa" w:w="2880"/>
            <w:vAlign w:val="center"/>
            <w:tcMar>
              <w:top w:w="100" w:type="dxa"/>
              <w:start w:w="110" w:type="dxa"/>
              <w:bottom w:w="100" w:type="dxa"/>
              <w:end w:w="110" w:type="dxa"/>
            </w:tcMar>
          </w:tcPr>
          <w:p>
            <w:pPr>
              <w:spacing w:after="0" w:line="252" w:lineRule="auto"/>
            </w:pPr>
            <w:r/>
            <w:r>
              <w:rPr>
                <w:rFonts w:ascii="Aptos" w:hAnsi="Aptos"/>
                <w:b w:val="0"/>
                <w:color w:val="132A3A"/>
                <w:sz w:val="16"/>
              </w:rPr>
              <w:t>Menimbulkan pertanyaan tentang target pasar dan mekanisme pembayaran.</w:t>
            </w:r>
          </w:p>
        </w:tc>
        <w:tc>
          <w:tcPr>
            <w:tcW w:type="dxa" w:w="3096"/>
            <w:vAlign w:val="center"/>
            <w:tcMar>
              <w:top w:w="100" w:type="dxa"/>
              <w:start w:w="110" w:type="dxa"/>
              <w:bottom w:w="100" w:type="dxa"/>
              <w:end w:w="110" w:type="dxa"/>
            </w:tcMar>
          </w:tcPr>
          <w:p>
            <w:pPr>
              <w:spacing w:after="0" w:line="252" w:lineRule="auto"/>
            </w:pPr>
            <w:r/>
            <w:r>
              <w:rPr>
                <w:rFonts w:ascii="Aptos" w:hAnsi="Aptos"/>
                <w:b w:val="0"/>
                <w:color w:val="132A3A"/>
                <w:sz w:val="16"/>
              </w:rPr>
              <w:t>Gunakan rupiah pada /id serta jelaskan termin dan komponen biaya.</w:t>
            </w:r>
          </w:p>
        </w:tc>
      </w:tr>
      <w:tr>
        <w:trPr>
          <w:cantSplit/>
        </w:trPr>
        <w:tc>
          <w:tcPr>
            <w:tcW w:type="dxa" w:w="1368"/>
            <w:vAlign w:val="center"/>
            <w:tcMar>
              <w:top w:w="100" w:type="dxa"/>
              <w:start w:w="110" w:type="dxa"/>
              <w:bottom w:w="100" w:type="dxa"/>
              <w:end w:w="110" w:type="dxa"/>
            </w:tcMar>
            <w:shd w:fill="EAF4F4"/>
          </w:tcPr>
          <w:p>
            <w:pPr>
              <w:spacing w:after="0" w:line="252" w:lineRule="auto"/>
            </w:pPr>
            <w:r/>
            <w:r>
              <w:rPr>
                <w:rFonts w:ascii="Aptos" w:hAnsi="Aptos"/>
                <w:b/>
                <w:color w:val="132A3A"/>
                <w:sz w:val="16"/>
              </w:rPr>
              <w:t>MENENGAH</w:t>
            </w:r>
          </w:p>
        </w:tc>
        <w:tc>
          <w:tcPr>
            <w:tcW w:type="dxa" w:w="1872"/>
            <w:vAlign w:val="center"/>
            <w:tcMar>
              <w:top w:w="100" w:type="dxa"/>
              <w:start w:w="110" w:type="dxa"/>
              <w:bottom w:w="100" w:type="dxa"/>
              <w:end w:w="110" w:type="dxa"/>
            </w:tcMar>
          </w:tcPr>
          <w:p>
            <w:pPr>
              <w:spacing w:after="0" w:line="252" w:lineRule="auto"/>
            </w:pPr>
            <w:r/>
            <w:r>
              <w:rPr>
                <w:rFonts w:ascii="Aptos" w:hAnsi="Aptos"/>
                <w:b w:val="0"/>
                <w:color w:val="132A3A"/>
                <w:sz w:val="16"/>
              </w:rPr>
              <w:t>FAQ panjang dan berulang</w:t>
            </w:r>
          </w:p>
        </w:tc>
        <w:tc>
          <w:tcPr>
            <w:tcW w:type="dxa" w:w="2880"/>
            <w:vAlign w:val="center"/>
            <w:tcMar>
              <w:top w:w="100" w:type="dxa"/>
              <w:start w:w="110" w:type="dxa"/>
              <w:bottom w:w="100" w:type="dxa"/>
              <w:end w:w="110" w:type="dxa"/>
            </w:tcMar>
          </w:tcPr>
          <w:p>
            <w:pPr>
              <w:spacing w:after="0" w:line="252" w:lineRule="auto"/>
            </w:pPr>
            <w:r/>
            <w:r>
              <w:rPr>
                <w:rFonts w:ascii="Aptos" w:hAnsi="Aptos"/>
                <w:b w:val="0"/>
                <w:color w:val="132A3A"/>
                <w:sz w:val="16"/>
              </w:rPr>
              <w:t>Informasi penting sulit dipindai.</w:t>
            </w:r>
          </w:p>
        </w:tc>
        <w:tc>
          <w:tcPr>
            <w:tcW w:type="dxa" w:w="3096"/>
            <w:vAlign w:val="center"/>
            <w:tcMar>
              <w:top w:w="100" w:type="dxa"/>
              <w:start w:w="110" w:type="dxa"/>
              <w:bottom w:w="100" w:type="dxa"/>
              <w:end w:w="110" w:type="dxa"/>
            </w:tcMar>
          </w:tcPr>
          <w:p>
            <w:pPr>
              <w:spacing w:after="0" w:line="252" w:lineRule="auto"/>
            </w:pPr>
            <w:r/>
            <w:r>
              <w:rPr>
                <w:rFonts w:ascii="Aptos" w:hAnsi="Aptos"/>
                <w:b w:val="0"/>
                <w:color w:val="132A3A"/>
                <w:sz w:val="16"/>
              </w:rPr>
              <w:t>Pertahankan enam sampai delapan FAQ yang paling memengaruhi keputusan.</w:t>
            </w:r>
          </w:p>
        </w:tc>
      </w:tr>
    </w:tbl>
    <w:p>
      <w:pPr>
        <w:pStyle w:val="Heading1"/>
      </w:pPr>
      <w:r>
        <w:t>3. Positioning yang Direkomendasikan</w:t>
      </w:r>
    </w:p>
    <w:p>
      <w:r>
        <w:t>Pesan Crediblemark saat ini mencakup terlalu banyak kategori. Calon klien kesulitan mengenali keahlian utama dan hasil yang paling kuat. Positioning perlu menyebut target, masalah, solusi, dan pembeda dalam satu pernyataan.</w:t>
      </w:r>
    </w:p>
    <w:tbl>
      <w:tblPr>
        <w:tblW w:type="auto" w:w="0"/>
        <w:jc w:val="center"/>
        <w:tblLayout w:type="fixed"/>
        <w:tblLook w:firstColumn="1" w:firstRow="1" w:lastColumn="0" w:lastRow="0" w:noHBand="0" w:noVBand="1" w:val="04A0"/>
      </w:tblPr>
      <w:tblGrid>
        <w:gridCol w:w="9288"/>
      </w:tblGrid>
      <w:tr>
        <w:trPr>
          <w:cantSplit/>
        </w:trPr>
        <w:tc>
          <w:tcPr>
            <w:tcW w:type="dxa" w:w="10080"/>
            <w:shd w:fill="EAF4F4"/>
            <w:tcMar>
              <w:top w:w="180" w:type="dxa"/>
              <w:start w:w="220" w:type="dxa"/>
              <w:bottom w:w="180" w:type="dxa"/>
              <w:end w:w="220" w:type="dxa"/>
            </w:tcMar>
          </w:tcPr>
          <w:p>
            <w:pPr>
              <w:spacing w:after="100"/>
            </w:pPr>
            <w:r>
              <w:rPr>
                <w:b/>
                <w:color w:val="147D7E"/>
                <w:sz w:val="22"/>
              </w:rPr>
              <w:t>POSITIONING INTI</w:t>
            </w:r>
          </w:p>
          <w:p>
            <w:pPr>
              <w:spacing w:after="0" w:line="269" w:lineRule="auto"/>
            </w:pPr>
            <w:r>
              <w:t>Crediblemark membantu bisnis Indonesia membangun website penjualan dan sistem operasional khusus, tanpa biaya lisensi bulanan dan tanpa ketergantungan pada vendor.</w:t>
            </w:r>
          </w:p>
        </w:tc>
      </w:tr>
    </w:tbl>
    <w:p>
      <w:pPr>
        <w:pStyle w:val="Heading2"/>
      </w:pPr>
      <w:r>
        <w:t>Dua jalur layanan utama</w:t>
      </w:r>
    </w:p>
    <w:tbl>
      <w:tblPr>
        <w:tblW w:type="auto" w:w="0"/>
        <w:jc w:val="center"/>
        <w:tblLook w:firstColumn="1" w:firstRow="1" w:lastColumn="0" w:lastRow="0" w:noHBand="0" w:noVBand="1" w:val="04A0"/>
      </w:tblPr>
      <w:tblGrid>
        <w:gridCol w:w="5040"/>
        <w:gridCol w:w="5040"/>
      </w:tblGrid>
      <w:tr>
        <w:trPr>
          <w:cantSplit/>
        </w:trPr>
        <w:tc>
          <w:tcPr>
            <w:tcW w:type="dxa" w:w="5040"/>
            <w:shd w:fill="EAF4F4"/>
            <w:tcMar>
              <w:top w:w="180" w:type="dxa"/>
              <w:start w:w="180" w:type="dxa"/>
              <w:bottom w:w="180" w:type="dxa"/>
              <w:end w:w="180" w:type="dxa"/>
            </w:tcMar>
          </w:tcPr>
          <w:p>
            <w:r>
              <w:rPr>
                <w:b/>
                <w:color w:val="147D7E"/>
                <w:sz w:val="22"/>
              </w:rPr>
              <w:t>1. Website Penjualan</w:t>
            </w:r>
          </w:p>
          <w:p>
            <w:pPr>
              <w:spacing w:after="0"/>
            </w:pPr>
            <w:r>
              <w:t>Company profile, landing page, katalog, dan website yang dirancang untuk menghasilkan lead.</w:t>
            </w:r>
          </w:p>
        </w:tc>
        <w:tc>
          <w:tcPr>
            <w:tcW w:type="dxa" w:w="5040"/>
            <w:shd w:fill="EAF4F4"/>
            <w:tcMar>
              <w:top w:w="180" w:type="dxa"/>
              <w:start w:w="180" w:type="dxa"/>
              <w:bottom w:w="180" w:type="dxa"/>
              <w:end w:w="180" w:type="dxa"/>
            </w:tcMar>
          </w:tcPr>
          <w:p>
            <w:r>
              <w:rPr>
                <w:b/>
                <w:color w:val="147D7E"/>
                <w:sz w:val="22"/>
              </w:rPr>
              <w:t>2. Sistem Operasional Bisnis</w:t>
            </w:r>
          </w:p>
          <w:p>
            <w:pPr>
              <w:spacing w:after="0"/>
            </w:pPr>
            <w:r>
              <w:t>CRM, inventory, booking, dashboard, administrasi, dan portal pelanggan sesuai proses kerja.</w:t>
            </w:r>
          </w:p>
        </w:tc>
      </w:tr>
    </w:tbl>
    <w:p>
      <w:r>
        <w:t>Jasa perbaikan WordPress dan pekerjaan kecil dapat menjadi produk masuk. Namun, layanan tersebut tidak perlu menjadi identitas utama perusahaan.</w:t>
      </w:r>
    </w:p>
    <w:p>
      <w:pPr>
        <w:pStyle w:val="Heading2"/>
      </w:pPr>
      <w:r>
        <w:t>Keputusan positioning perusahaan</w:t>
      </w:r>
    </w:p>
    <w:tbl>
      <w:tblPr>
        <w:tblW w:type="auto" w:w="0"/>
        <w:jc w:val="center"/>
        <w:tblLayout w:type="fixed"/>
        <w:tblLook w:firstColumn="1" w:firstRow="1" w:lastColumn="0" w:lastRow="0" w:noHBand="0" w:noVBand="1" w:val="04A0"/>
      </w:tblPr>
      <w:tblGrid>
        <w:gridCol w:w="9288"/>
      </w:tblGrid>
      <w:tr>
        <w:trPr>
          <w:cantSplit/>
        </w:trPr>
        <w:tc>
          <w:tcPr>
            <w:tcW w:type="dxa" w:w="10080"/>
            <w:shd w:fill="EAF4F4"/>
            <w:tcMar>
              <w:top w:w="180" w:type="dxa"/>
              <w:start w:w="220" w:type="dxa"/>
              <w:bottom w:w="180" w:type="dxa"/>
              <w:end w:w="220" w:type="dxa"/>
            </w:tcMar>
          </w:tcPr>
          <w:p>
            <w:pPr>
              <w:spacing w:after="100"/>
            </w:pPr>
            <w:r>
              <w:rPr>
                <w:b/>
                <w:color w:val="147D7E"/>
                <w:sz w:val="22"/>
              </w:rPr>
              <w:t>POSITIONING RESMI CREDIBLEMARK</w:t>
            </w:r>
          </w:p>
          <w:p>
            <w:pPr>
              <w:spacing w:after="0" w:line="269" w:lineRule="auto"/>
            </w:pPr>
            <w:r>
              <w:t>Crediblemark adalah konsultan sistem digital dan mitra pengembangan teknologi yang menganalisis masalah bisnis, merancang solusi, lalu membangun website atau aplikasi khusus sampai siap digunakan.</w:t>
            </w:r>
          </w:p>
        </w:tc>
      </w:tr>
    </w:tbl>
    <w:p>
      <w:r>
        <w:t>Posisi ini lebih tepat daripada sekadar jasa pembuatan website atau aplikasi. Crediblemark tidak hanya menjual kemampuan coding. Crediblemark menjual kemampuan memahami proses bisnis, menentukan solusi, membangun sistem, dan mendampingi penerapannya.</w:t>
      </w:r>
    </w:p>
    <w:p>
      <w:pPr>
        <w:pStyle w:val="Heading2"/>
      </w:pPr>
      <w:r>
        <w:t>Model layanan Consult–Build–Operate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tcMar>
              <w:top w:w="100" w:type="dxa"/>
              <w:start w:w="110" w:type="dxa"/>
              <w:bottom w:w="100" w:type="dxa"/>
              <w:end w:w="110" w:type="dxa"/>
            </w:tcMar>
            <w:shd w:fill="132A3A"/>
          </w:tcPr>
          <w:p>
            <w:pPr>
              <w:spacing w:after="0" w:line="252" w:lineRule="auto"/>
            </w:pPr>
            <w:r/>
            <w:r>
              <w:rPr>
                <w:rFonts w:ascii="Aptos" w:hAnsi="Aptos"/>
                <w:b/>
                <w:color w:val="FFFFFF"/>
                <w:sz w:val="17"/>
              </w:rPr>
              <w:t>Tahap</w:t>
            </w:r>
          </w:p>
        </w:tc>
        <w:tc>
          <w:tcPr>
            <w:tcW w:type="dxa" w:w="3360"/>
            <w:vAlign w:val="center"/>
            <w:tcMar>
              <w:top w:w="100" w:type="dxa"/>
              <w:start w:w="110" w:type="dxa"/>
              <w:bottom w:w="100" w:type="dxa"/>
              <w:end w:w="110" w:type="dxa"/>
            </w:tcMar>
            <w:shd w:fill="132A3A"/>
          </w:tcPr>
          <w:p>
            <w:pPr>
              <w:spacing w:after="0" w:line="252" w:lineRule="auto"/>
            </w:pPr>
            <w:r/>
            <w:r>
              <w:rPr>
                <w:rFonts w:ascii="Aptos" w:hAnsi="Aptos"/>
                <w:b/>
                <w:color w:val="FFFFFF"/>
                <w:sz w:val="17"/>
              </w:rPr>
              <w:t>Aktivitas utama</w:t>
            </w:r>
          </w:p>
        </w:tc>
        <w:tc>
          <w:tcPr>
            <w:tcW w:type="dxa" w:w="3360"/>
            <w:vAlign w:val="center"/>
            <w:tcMar>
              <w:top w:w="100" w:type="dxa"/>
              <w:start w:w="110" w:type="dxa"/>
              <w:bottom w:w="100" w:type="dxa"/>
              <w:end w:w="110" w:type="dxa"/>
            </w:tcMar>
            <w:shd w:fill="132A3A"/>
          </w:tcPr>
          <w:p>
            <w:pPr>
              <w:spacing w:after="0" w:line="252" w:lineRule="auto"/>
            </w:pPr>
            <w:r/>
            <w:r>
              <w:rPr>
                <w:rFonts w:ascii="Aptos" w:hAnsi="Aptos"/>
                <w:b/>
                <w:color w:val="FFFFFF"/>
                <w:sz w:val="17"/>
              </w:rPr>
              <w:t>Hasil untuk klien</w:t>
            </w:r>
          </w:p>
        </w:tc>
      </w:tr>
      <w:tr>
        <w:trPr>
          <w:cantSplit/>
        </w:trPr>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CONSULT</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Audit proses, analisis kebutuhan, identifikasi masalah, prioritas fitur, dan blueprint sistem.</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Klien memahami masalah, pilihan solusi, ruang lingkup, biaya, dan rencana implementasi.</w:t>
            </w:r>
          </w:p>
        </w:tc>
      </w:tr>
      <w:tr>
        <w:trPr>
          <w:cantSplit/>
        </w:trPr>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BUILD</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UI/UX, website, aplikasi, CRM, inventory, booking, dashboard, database, dan integrasi.</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Solusi digital dibangun sesuai proses kerja dan kebutuhan pengguna.</w:t>
            </w:r>
          </w:p>
        </w:tc>
      </w:tr>
      <w:tr>
        <w:trPr>
          <w:cantSplit/>
        </w:trPr>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OPERATE</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Peluncuran, pelatihan, monitoring, keamanan, maintenance, dan pengembangan lanjutan.</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Sistem tetap stabil, aman, digunakan oleh tim, dan dapat berkembang.</w:t>
            </w:r>
          </w:p>
        </w:tc>
      </w:tr>
    </w:tbl>
    <w:p>
      <w:pPr>
        <w:pStyle w:val="Heading2"/>
      </w:pPr>
      <w:r>
        <w:t>Produk konsultasi awal</w:t>
      </w:r>
    </w:p>
    <w:p>
      <w:r>
        <w:t>Agar sebutan konsultan memiliki bukti nyata, Crediblemark perlu menawarkan Digital System Audit. Hasil akhirnya berupa Digital System Blueprint yang dapat mencakup:</w:t>
      </w:r>
    </w:p>
    <w:p>
      <w:pPr>
        <w:pStyle w:val="ListBullet"/>
        <w:spacing w:after="60"/>
      </w:pPr>
      <w:r>
        <w:t>Ringkasan masalah dan tujuan bisnis.</w:t>
      </w:r>
    </w:p>
    <w:p>
      <w:pPr>
        <w:pStyle w:val="ListBullet"/>
        <w:spacing w:after="60"/>
      </w:pPr>
      <w:r>
        <w:t>Peta proses kerja saat ini.</w:t>
      </w:r>
    </w:p>
    <w:p>
      <w:pPr>
        <w:pStyle w:val="ListBullet"/>
        <w:spacing w:after="60"/>
      </w:pPr>
      <w:r>
        <w:t>Masalah, risiko, dan pekerjaan manual yang ditemukan.</w:t>
      </w:r>
    </w:p>
    <w:p>
      <w:pPr>
        <w:pStyle w:val="ListBullet"/>
        <w:spacing w:after="60"/>
      </w:pPr>
      <w:r>
        <w:t>Rekomendasi solusi digital.</w:t>
      </w:r>
    </w:p>
    <w:p>
      <w:pPr>
        <w:pStyle w:val="ListBullet"/>
        <w:spacing w:after="60"/>
      </w:pPr>
      <w:r>
        <w:t>Diagram alur sistem.</w:t>
      </w:r>
    </w:p>
    <w:p>
      <w:pPr>
        <w:pStyle w:val="ListBullet"/>
        <w:spacing w:after="60"/>
      </w:pPr>
      <w:r>
        <w:t>Daftar serta prioritas fitur.</w:t>
      </w:r>
    </w:p>
    <w:p>
      <w:pPr>
        <w:pStyle w:val="ListBullet"/>
        <w:spacing w:after="60"/>
      </w:pPr>
      <w:r>
        <w:t>Estimasi waktu dan investasi.</w:t>
      </w:r>
    </w:p>
    <w:p>
      <w:pPr>
        <w:pStyle w:val="ListBullet"/>
        <w:spacing w:after="60"/>
      </w:pPr>
      <w:r>
        <w:t>Tahapan implementasi dan indikator keberhasilan.</w:t>
      </w:r>
    </w:p>
    <w:p>
      <w:r>
        <w:t>Blueprint dapat menjadi layanan berbayar. Jika klien melanjutkan pengembangan bersama Crediblemark, sebagian atau seluruh biaya konsultasi dapat diperhitungkan sebagai bagian dari nilai proyek.</w:t>
      </w:r>
    </w:p>
    <w:p>
      <w:pPr>
        <w:pStyle w:val="Heading2"/>
      </w:pPr>
      <w:r>
        <w:t>Batas positioning</w:t>
      </w:r>
    </w:p>
    <w:p>
      <w:r>
        <w:t>Gunakan istilah “konsultan sistem digital” atau “digital systems consultancy”. Hindari klaim “digital transformation consultant” sampai Crediblemark memiliki bukti proyek transformasi lintas departemen, enterprise architecture, tata kelola TI, dan manajemen perubahan pada organisasi besar.</w:t>
      </w:r>
    </w:p>
    <w:p>
      <w:pPr>
        <w:pStyle w:val="Heading1"/>
      </w:pPr>
      <w:r>
        <w:t>4. Rancangan Pesan Halaman Utama</w:t>
      </w:r>
    </w:p>
    <w:p>
      <w:pPr>
        <w:pStyle w:val="Heading2"/>
      </w:pPr>
      <w:r>
        <w:t>Headline</w:t>
      </w:r>
    </w:p>
    <w:tbl>
      <w:tblPr>
        <w:tblW w:type="auto" w:w="0"/>
        <w:jc w:val="center"/>
        <w:tblLayout w:type="fixed"/>
        <w:tblLook w:firstColumn="1" w:firstRow="1" w:lastColumn="0" w:lastRow="0" w:noHBand="0" w:noVBand="1" w:val="04A0"/>
      </w:tblPr>
      <w:tblGrid>
        <w:gridCol w:w="9288"/>
      </w:tblGrid>
      <w:tr>
        <w:trPr>
          <w:cantSplit/>
        </w:trPr>
        <w:tc>
          <w:tcPr>
            <w:tcW w:type="dxa" w:w="10080"/>
            <w:shd w:fill="F4F7F8"/>
            <w:tcMar>
              <w:top w:w="180" w:type="dxa"/>
              <w:start w:w="220" w:type="dxa"/>
              <w:bottom w:w="180" w:type="dxa"/>
              <w:end w:w="220" w:type="dxa"/>
            </w:tcMar>
          </w:tcPr>
          <w:p>
            <w:pPr>
              <w:spacing w:after="100"/>
            </w:pPr>
            <w:r>
              <w:rPr>
                <w:b/>
                <w:color w:val="147D7E"/>
                <w:sz w:val="22"/>
              </w:rPr>
              <w:t>WEBSITE DAN SISTEM BISNIS YANG MEMBANTU ANDA MENJUAL LEBIH BANYAK DAN BEKERJA LEBIH CEPAT</w:t>
            </w:r>
          </w:p>
          <w:p>
            <w:pPr>
              <w:spacing w:after="0" w:line="269" w:lineRule="auto"/>
            </w:pPr>
          </w:p>
        </w:tc>
      </w:tr>
    </w:tbl>
    <w:p>
      <w:pPr>
        <w:pStyle w:val="Heading2"/>
      </w:pPr>
      <w:r>
        <w:t>Subheadline</w:t>
      </w:r>
    </w:p>
    <w:p>
      <w:r>
        <w:t>Kami membangun website, CRM, inventory, booking, dan dashboard sesuai proses bisnis Anda. Harga proyek tetap, progres dapat dipantau, dan seluruh sistem menjadi milik Anda.</w:t>
      </w:r>
    </w:p>
    <w:p>
      <w:pPr>
        <w:pStyle w:val="Heading2"/>
      </w:pPr>
      <w:r>
        <w:t>CTA utama</w:t>
      </w:r>
    </w:p>
    <w:tbl>
      <w:tblPr>
        <w:tblW w:type="auto" w:w="0"/>
        <w:jc w:val="center"/>
        <w:tblLayout w:type="fixed"/>
        <w:tblLook w:firstColumn="1" w:firstRow="1" w:lastColumn="0" w:lastRow="0" w:noHBand="0" w:noVBand="1" w:val="04A0"/>
      </w:tblPr>
      <w:tblGrid>
        <w:gridCol w:w="9288"/>
      </w:tblGrid>
      <w:tr>
        <w:trPr>
          <w:cantSplit/>
        </w:trPr>
        <w:tc>
          <w:tcPr>
            <w:tcW w:type="dxa" w:w="10080"/>
            <w:shd w:fill="EAF4F4"/>
            <w:tcMar>
              <w:top w:w="180" w:type="dxa"/>
              <w:start w:w="220" w:type="dxa"/>
              <w:bottom w:w="180" w:type="dxa"/>
              <w:end w:w="220" w:type="dxa"/>
            </w:tcMar>
          </w:tcPr>
          <w:p>
            <w:pPr>
              <w:spacing w:after="100"/>
            </w:pPr>
            <w:r>
              <w:rPr>
                <w:b/>
                <w:color w:val="147D7E"/>
                <w:sz w:val="22"/>
              </w:rPr>
              <w:t>KONSULTASI GRATIS 30 MENIT</w:t>
            </w:r>
          </w:p>
          <w:p>
            <w:pPr>
              <w:spacing w:after="0" w:line="269" w:lineRule="auto"/>
            </w:pPr>
            <w:r>
              <w:t>Ceritakan kendala bisnis Anda. Kami akan memberikan rekomendasi awal, estimasi biaya, dan waktu pengerjaan.</w:t>
            </w:r>
          </w:p>
        </w:tc>
      </w:tr>
    </w:tbl>
    <w:p>
      <w:pPr>
        <w:pStyle w:val="Heading2"/>
      </w:pPr>
      <w:r>
        <w:t>Bukti singkat di bawah CTA</w:t>
      </w:r>
    </w:p>
    <w:p>
      <w:pPr>
        <w:pStyle w:val="ListBullet"/>
        <w:spacing w:after="60"/>
      </w:pPr>
      <w:r>
        <w:t>Harga dan ruang lingkup disepakati sejak awal.</w:t>
      </w:r>
    </w:p>
    <w:p>
      <w:pPr>
        <w:pStyle w:val="ListBullet"/>
        <w:spacing w:after="60"/>
      </w:pPr>
      <w:r>
        <w:t>Garansi perbaikan bug selama 90 hari.</w:t>
      </w:r>
    </w:p>
    <w:p>
      <w:pPr>
        <w:pStyle w:val="ListBullet"/>
        <w:spacing w:after="60"/>
      </w:pPr>
      <w:r>
        <w:t>Kepemilikan kode dan data setelah pelunasan.</w:t>
      </w:r>
    </w:p>
    <w:p>
      <w:pPr>
        <w:pStyle w:val="ListBullet"/>
        <w:spacing w:after="60"/>
      </w:pPr>
      <w:r>
        <w:t>Laporan progres melalui dashboard.</w:t>
      </w:r>
    </w:p>
    <w:p>
      <w:r>
        <w:t>Catatan penting: hindari klaim “100% ownership from day one” jika dokumen layanan menyatakan penyerahan akses setelah seluruh pembayaran selesai. Gunakan satu ketentuan yang konsisten pada halaman, proposal, kontrak, dan FAQ.</w:t>
      </w:r>
    </w:p>
    <w:p>
      <w:pPr>
        <w:pStyle w:val="Heading1"/>
      </w:pPr>
      <w:r>
        <w:t>5. Portofolio Berbasis Studi Kasus</w:t>
      </w:r>
    </w:p>
    <w:p>
      <w:r>
        <w:t>Portofolio visual menunjukkan kemampuan desain. Studi kasus membuktikan kemampuan menyelesaikan masalah bisnis. Setiap proyek unggulan perlu memuat elemen berikut:</w:t>
      </w:r>
    </w:p>
    <w:p>
      <w:pPr>
        <w:pStyle w:val="ListNumber"/>
        <w:spacing w:after="80"/>
      </w:pPr>
      <w:r>
        <w:t>Nama dan profil klien.</w:t>
      </w:r>
    </w:p>
    <w:p>
      <w:pPr>
        <w:pStyle w:val="ListNumber"/>
        <w:spacing w:after="80"/>
      </w:pPr>
      <w:r>
        <w:t>Kondisi atau masalah sebelum proyek.</w:t>
      </w:r>
    </w:p>
    <w:p>
      <w:pPr>
        <w:pStyle w:val="ListNumber"/>
        <w:spacing w:after="80"/>
      </w:pPr>
      <w:r>
        <w:t>Solusi yang dibuat.</w:t>
      </w:r>
    </w:p>
    <w:p>
      <w:pPr>
        <w:pStyle w:val="ListNumber"/>
        <w:spacing w:after="80"/>
      </w:pPr>
      <w:r>
        <w:t>Ruang lingkup dan durasi pengerjaan.</w:t>
      </w:r>
    </w:p>
    <w:p>
      <w:pPr>
        <w:pStyle w:val="ListNumber"/>
        <w:spacing w:after="80"/>
      </w:pPr>
      <w:r>
        <w:t>Tampilan desktop dan mobile.</w:t>
      </w:r>
    </w:p>
    <w:p>
      <w:pPr>
        <w:pStyle w:val="ListNumber"/>
        <w:spacing w:after="80"/>
      </w:pPr>
      <w:r>
        <w:t>Teknologi yang relevan, dijelaskan secara singkat.</w:t>
      </w:r>
    </w:p>
    <w:p>
      <w:pPr>
        <w:pStyle w:val="ListNumber"/>
        <w:spacing w:after="80"/>
      </w:pPr>
      <w:r>
        <w:t>Hasil terukur yang didukung data.</w:t>
      </w:r>
    </w:p>
    <w:p>
      <w:pPr>
        <w:pStyle w:val="ListNumber"/>
        <w:spacing w:after="80"/>
      </w:pPr>
      <w:r>
        <w:t>Testimoni asli dan tautan proyek atau video demo.</w:t>
      </w:r>
    </w:p>
    <w:tbl>
      <w:tblPr>
        <w:tblW w:type="auto" w:w="0"/>
        <w:jc w:val="center"/>
        <w:tblLayout w:type="fixed"/>
        <w:tblLook w:firstColumn="1" w:firstRow="1" w:lastColumn="0" w:lastRow="0" w:noHBand="0" w:noVBand="1" w:val="04A0"/>
      </w:tblPr>
      <w:tblGrid>
        <w:gridCol w:w="9288"/>
      </w:tblGrid>
      <w:tr>
        <w:trPr>
          <w:cantSplit/>
        </w:trPr>
        <w:tc>
          <w:tcPr>
            <w:tcW w:type="dxa" w:w="10080"/>
            <w:shd w:fill="EAF4F4"/>
            <w:tcMar>
              <w:top w:w="180" w:type="dxa"/>
              <w:start w:w="220" w:type="dxa"/>
              <w:bottom w:w="180" w:type="dxa"/>
              <w:end w:w="220" w:type="dxa"/>
            </w:tcMar>
          </w:tcPr>
          <w:p>
            <w:pPr>
              <w:spacing w:after="100"/>
            </w:pPr>
            <w:r>
              <w:rPr>
                <w:b/>
                <w:color w:val="147D7E"/>
                <w:sz w:val="22"/>
              </w:rPr>
              <w:t>CONTOH FORMAT</w:t>
            </w:r>
          </w:p>
          <w:p>
            <w:pPr>
              <w:spacing w:after="0" w:line="269" w:lineRule="auto"/>
            </w:pPr>
            <w:r>
              <w:t>Sistem Pemeriksaan Toko untuk Tim Lapangan</w:t>
              <w:br/>
              <w:br/>
              <w:t>Sebelumnya, laporan pemeriksaan dicatat melalui WhatsApp dan spreadsheet terpisah. Crediblemark membangun dashboard terpusat untuk pencatatan toko, dokumentasi kunjungan, dan pemantauan progres. Waktu rekap turun dari dua hari menjadi dua jam.</w:t>
              <w:br/>
              <w:br/>
              <w:t>Gunakan angka hanya jika tersedia data atau konfirmasi tertulis dari klien.</w:t>
            </w:r>
          </w:p>
        </w:tc>
      </w:tr>
    </w:tbl>
    <w:p>
      <w:pPr>
        <w:pStyle w:val="Heading1"/>
      </w:pPr>
      <w:r>
        <w:t>6. Struktur Penawaran dan Harga</w:t>
      </w:r>
    </w:p>
    <w:p>
      <w:r>
        <w:t>Calon klien sebaiknya tidak dipaksa berpindah langsung dari membaca situs menuju proyek besar. Gunakan tiga tingkat penawaran agar risiko keputusan terasa lebih rendah.</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tcMar>
              <w:top w:w="100" w:type="dxa"/>
              <w:start w:w="110" w:type="dxa"/>
              <w:bottom w:w="100" w:type="dxa"/>
              <w:end w:w="110" w:type="dxa"/>
            </w:tcMar>
            <w:shd w:fill="132A3A"/>
          </w:tcPr>
          <w:p>
            <w:pPr>
              <w:spacing w:after="0" w:line="252" w:lineRule="auto"/>
            </w:pPr>
            <w:r/>
            <w:r>
              <w:rPr>
                <w:rFonts w:ascii="Aptos" w:hAnsi="Aptos"/>
                <w:b/>
                <w:color w:val="FFFFFF"/>
                <w:sz w:val="17"/>
              </w:rPr>
              <w:t>Tahap</w:t>
            </w:r>
          </w:p>
        </w:tc>
        <w:tc>
          <w:tcPr>
            <w:tcW w:type="dxa" w:w="3360"/>
            <w:vAlign w:val="center"/>
            <w:tcMar>
              <w:top w:w="100" w:type="dxa"/>
              <w:start w:w="110" w:type="dxa"/>
              <w:bottom w:w="100" w:type="dxa"/>
              <w:end w:w="110" w:type="dxa"/>
            </w:tcMar>
            <w:shd w:fill="132A3A"/>
          </w:tcPr>
          <w:p>
            <w:pPr>
              <w:spacing w:after="0" w:line="252" w:lineRule="auto"/>
            </w:pPr>
            <w:r/>
            <w:r>
              <w:rPr>
                <w:rFonts w:ascii="Aptos" w:hAnsi="Aptos"/>
                <w:b/>
                <w:color w:val="FFFFFF"/>
                <w:sz w:val="17"/>
              </w:rPr>
              <w:t>Penawaran</w:t>
            </w:r>
          </w:p>
        </w:tc>
        <w:tc>
          <w:tcPr>
            <w:tcW w:type="dxa" w:w="3360"/>
            <w:vAlign w:val="center"/>
            <w:tcMar>
              <w:top w:w="100" w:type="dxa"/>
              <w:start w:w="110" w:type="dxa"/>
              <w:bottom w:w="100" w:type="dxa"/>
              <w:end w:w="110" w:type="dxa"/>
            </w:tcMar>
            <w:shd w:fill="132A3A"/>
          </w:tcPr>
          <w:p>
            <w:pPr>
              <w:spacing w:after="0" w:line="252" w:lineRule="auto"/>
            </w:pPr>
            <w:r/>
            <w:r>
              <w:rPr>
                <w:rFonts w:ascii="Aptos" w:hAnsi="Aptos"/>
                <w:b/>
                <w:color w:val="FFFFFF"/>
                <w:sz w:val="17"/>
              </w:rPr>
              <w:t>Tujuan</w:t>
            </w:r>
          </w:p>
        </w:tc>
      </w:tr>
      <w:tr>
        <w:trPr>
          <w:cantSplit/>
        </w:trPr>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Awal</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Audit website, konsultasi 30 menit, pemeriksaan dasar, estimasi biaya</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Menghasilkan lead dan membangun relevansi</w:t>
            </w:r>
          </w:p>
        </w:tc>
      </w:tr>
      <w:tr>
        <w:trPr>
          <w:cantSplit/>
        </w:trPr>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Proyek cepat</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Landing page, company profile, perbaikan WordPress, otomasi formulir</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Membangun kepercayaan melalui hasil cepat</w:t>
            </w:r>
          </w:p>
        </w:tc>
      </w:tr>
      <w:tr>
        <w:trPr>
          <w:cantSplit/>
        </w:trPr>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Proyek utama</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CRM, inventory, booking, portal pelanggan, aplikasi khusus</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Meningkatkan nilai transaksi dan hubungan jangka panjang</w:t>
            </w:r>
          </w:p>
        </w:tc>
      </w:tr>
    </w:tbl>
    <w:p>
      <w:pPr>
        <w:pStyle w:val="Heading2"/>
      </w:pPr>
      <w:r>
        <w:t>Contoh paket untuk pasar Indonesia</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tcMar>
              <w:top w:w="100" w:type="dxa"/>
              <w:start w:w="110" w:type="dxa"/>
              <w:bottom w:w="100" w:type="dxa"/>
              <w:end w:w="110" w:type="dxa"/>
            </w:tcMar>
            <w:shd w:fill="147D7E"/>
          </w:tcPr>
          <w:p>
            <w:pPr>
              <w:spacing w:after="0" w:line="252" w:lineRule="auto"/>
            </w:pPr>
            <w:r/>
            <w:r>
              <w:rPr>
                <w:rFonts w:ascii="Aptos" w:hAnsi="Aptos"/>
                <w:b/>
                <w:color w:val="FFFFFF"/>
                <w:sz w:val="16"/>
              </w:rPr>
              <w:t>Paket</w:t>
            </w:r>
          </w:p>
        </w:tc>
        <w:tc>
          <w:tcPr>
            <w:tcW w:type="dxa" w:w="2520"/>
            <w:vAlign w:val="center"/>
            <w:tcMar>
              <w:top w:w="100" w:type="dxa"/>
              <w:start w:w="110" w:type="dxa"/>
              <w:bottom w:w="100" w:type="dxa"/>
              <w:end w:w="110" w:type="dxa"/>
            </w:tcMar>
            <w:shd w:fill="147D7E"/>
          </w:tcPr>
          <w:p>
            <w:pPr>
              <w:spacing w:after="0" w:line="252" w:lineRule="auto"/>
            </w:pPr>
            <w:r/>
            <w:r>
              <w:rPr>
                <w:rFonts w:ascii="Aptos" w:hAnsi="Aptos"/>
                <w:b/>
                <w:color w:val="FFFFFF"/>
                <w:sz w:val="16"/>
              </w:rPr>
              <w:t>Cocok untuk</w:t>
            </w:r>
          </w:p>
        </w:tc>
        <w:tc>
          <w:tcPr>
            <w:tcW w:type="dxa" w:w="2520"/>
            <w:vAlign w:val="center"/>
            <w:tcMar>
              <w:top w:w="100" w:type="dxa"/>
              <w:start w:w="110" w:type="dxa"/>
              <w:bottom w:w="100" w:type="dxa"/>
              <w:end w:w="110" w:type="dxa"/>
            </w:tcMar>
            <w:shd w:fill="147D7E"/>
          </w:tcPr>
          <w:p>
            <w:pPr>
              <w:spacing w:after="0" w:line="252" w:lineRule="auto"/>
            </w:pPr>
            <w:r/>
            <w:r>
              <w:rPr>
                <w:rFonts w:ascii="Aptos" w:hAnsi="Aptos"/>
                <w:b/>
                <w:color w:val="FFFFFF"/>
                <w:sz w:val="16"/>
              </w:rPr>
              <w:t>Isi utama</w:t>
            </w:r>
          </w:p>
        </w:tc>
        <w:tc>
          <w:tcPr>
            <w:tcW w:type="dxa" w:w="2520"/>
            <w:vAlign w:val="center"/>
            <w:tcMar>
              <w:top w:w="100" w:type="dxa"/>
              <w:start w:w="110" w:type="dxa"/>
              <w:bottom w:w="100" w:type="dxa"/>
              <w:end w:w="110" w:type="dxa"/>
            </w:tcMar>
            <w:shd w:fill="147D7E"/>
          </w:tcPr>
          <w:p>
            <w:pPr>
              <w:spacing w:after="0" w:line="252" w:lineRule="auto"/>
            </w:pPr>
            <w:r/>
            <w:r>
              <w:rPr>
                <w:rFonts w:ascii="Aptos" w:hAnsi="Aptos"/>
                <w:b/>
                <w:color w:val="FFFFFF"/>
                <w:sz w:val="16"/>
              </w:rPr>
              <w:t>Kisaran awal</w:t>
            </w:r>
          </w:p>
        </w:tc>
      </w:tr>
      <w:tr>
        <w:trPr>
          <w:cantSplit/>
        </w:trPr>
        <w:tc>
          <w:tcPr>
            <w:tcW w:type="dxa" w:w="2520"/>
            <w:vAlign w:val="center"/>
            <w:tcMar>
              <w:top w:w="100" w:type="dxa"/>
              <w:start w:w="110" w:type="dxa"/>
              <w:bottom w:w="100" w:type="dxa"/>
              <w:end w:w="110" w:type="dxa"/>
            </w:tcMar>
          </w:tcPr>
          <w:p>
            <w:pPr>
              <w:spacing w:after="0" w:line="252" w:lineRule="auto"/>
            </w:pPr>
            <w:r/>
            <w:r>
              <w:rPr>
                <w:rFonts w:ascii="Aptos" w:hAnsi="Aptos"/>
                <w:b/>
                <w:color w:val="132A3A"/>
                <w:sz w:val="16"/>
              </w:rPr>
              <w:t>Website Starter</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Usaha lokal dan profesional</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5 halaman, WhatsApp, formulir lead, SEO dasar</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Rp6–10 juta</w:t>
            </w:r>
          </w:p>
        </w:tc>
      </w:tr>
      <w:tr>
        <w:trPr>
          <w:cantSplit/>
        </w:trPr>
        <w:tc>
          <w:tcPr>
            <w:tcW w:type="dxa" w:w="2520"/>
            <w:vAlign w:val="center"/>
            <w:tcMar>
              <w:top w:w="100" w:type="dxa"/>
              <w:start w:w="110" w:type="dxa"/>
              <w:bottom w:w="100" w:type="dxa"/>
              <w:end w:w="110" w:type="dxa"/>
            </w:tcMar>
          </w:tcPr>
          <w:p>
            <w:pPr>
              <w:spacing w:after="0" w:line="252" w:lineRule="auto"/>
            </w:pPr>
            <w:r/>
            <w:r>
              <w:rPr>
                <w:rFonts w:ascii="Aptos" w:hAnsi="Aptos"/>
                <w:b/>
                <w:color w:val="132A3A"/>
                <w:sz w:val="16"/>
              </w:rPr>
              <w:t>Website Growth</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Bisnis yang aktif mencari pelanggan</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Desain khusus, landing page, analytics, integrasi CRM</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Rp12–25 juta</w:t>
            </w:r>
          </w:p>
        </w:tc>
      </w:tr>
      <w:tr>
        <w:trPr>
          <w:cantSplit/>
        </w:trPr>
        <w:tc>
          <w:tcPr>
            <w:tcW w:type="dxa" w:w="2520"/>
            <w:vAlign w:val="center"/>
            <w:tcMar>
              <w:top w:w="100" w:type="dxa"/>
              <w:start w:w="110" w:type="dxa"/>
              <w:bottom w:w="100" w:type="dxa"/>
              <w:end w:w="110" w:type="dxa"/>
            </w:tcMar>
          </w:tcPr>
          <w:p>
            <w:pPr>
              <w:spacing w:after="0" w:line="252" w:lineRule="auto"/>
            </w:pPr>
            <w:r/>
            <w:r>
              <w:rPr>
                <w:rFonts w:ascii="Aptos" w:hAnsi="Aptos"/>
                <w:b/>
                <w:color w:val="132A3A"/>
                <w:sz w:val="16"/>
              </w:rPr>
              <w:t>Business System</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Bisnis dengan pekerjaan manual</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Dashboard, database, pengguna, laporan, otomasi</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Mulai Rp25 juta</w:t>
            </w:r>
          </w:p>
        </w:tc>
      </w:tr>
      <w:tr>
        <w:trPr>
          <w:cantSplit/>
        </w:trPr>
        <w:tc>
          <w:tcPr>
            <w:tcW w:type="dxa" w:w="2520"/>
            <w:vAlign w:val="center"/>
            <w:tcMar>
              <w:top w:w="100" w:type="dxa"/>
              <w:start w:w="110" w:type="dxa"/>
              <w:bottom w:w="100" w:type="dxa"/>
              <w:end w:w="110" w:type="dxa"/>
            </w:tcMar>
          </w:tcPr>
          <w:p>
            <w:pPr>
              <w:spacing w:after="0" w:line="252" w:lineRule="auto"/>
            </w:pPr>
            <w:r/>
            <w:r>
              <w:rPr>
                <w:rFonts w:ascii="Aptos" w:hAnsi="Aptos"/>
                <w:b/>
                <w:color w:val="132A3A"/>
                <w:sz w:val="16"/>
              </w:rPr>
              <w:t>Custom Platform</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Proses bisnis kompleks</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Analisis, UI/UX, development, API, deployment</w:t>
            </w:r>
          </w:p>
        </w:tc>
        <w:tc>
          <w:tcPr>
            <w:tcW w:type="dxa" w:w="2520"/>
            <w:vAlign w:val="center"/>
            <w:tcMar>
              <w:top w:w="100" w:type="dxa"/>
              <w:start w:w="110" w:type="dxa"/>
              <w:bottom w:w="100" w:type="dxa"/>
              <w:end w:w="110" w:type="dxa"/>
            </w:tcMar>
          </w:tcPr>
          <w:p>
            <w:pPr>
              <w:spacing w:after="0" w:line="252" w:lineRule="auto"/>
            </w:pPr>
            <w:r/>
            <w:r>
              <w:rPr>
                <w:rFonts w:ascii="Aptos" w:hAnsi="Aptos"/>
                <w:b w:val="0"/>
                <w:color w:val="132A3A"/>
                <w:sz w:val="16"/>
              </w:rPr>
              <w:t>Sesuai ruang lingkup</w:t>
            </w:r>
          </w:p>
        </w:tc>
      </w:tr>
    </w:tbl>
    <w:p>
      <w:r>
        <w:t>Kisaran di atas merupakan contoh struktur komunikasi, bukan penetapan harga final. Crediblemark perlu menyesuaikannya dengan biaya, kapasitas tim, margin, dan data proyek sebelumnya.</w:t>
      </w:r>
    </w:p>
    <w:p>
      <w:pPr>
        <w:pStyle w:val="Heading1"/>
      </w:pPr>
      <w:r>
        <w:t>7. Sistem Kepercayaan</w:t>
      </w:r>
    </w:p>
    <w:p>
      <w:r>
        <w:t>Sebelum menjalankan promosi besar, Crediblemark perlu memperkuat bukti yang dapat diperiksa calon klien.</w:t>
      </w:r>
    </w:p>
    <w:p>
      <w:pPr>
        <w:pStyle w:val="ListBullet"/>
        <w:spacing w:after="60"/>
      </w:pPr>
      <w:r>
        <w:t>Nama badan usaha dan nomor legalitas.</w:t>
      </w:r>
    </w:p>
    <w:p>
      <w:pPr>
        <w:pStyle w:val="ListBullet"/>
        <w:spacing w:after="60"/>
      </w:pPr>
      <w:r>
        <w:t>Profil pendiri serta anggota inti.</w:t>
      </w:r>
    </w:p>
    <w:p>
      <w:pPr>
        <w:pStyle w:val="ListBullet"/>
        <w:spacing w:after="60"/>
      </w:pPr>
      <w:r>
        <w:t>Foto tim asli dan peran masing-masing.</w:t>
      </w:r>
    </w:p>
    <w:p>
      <w:pPr>
        <w:pStyle w:val="ListBullet"/>
        <w:spacing w:after="60"/>
      </w:pPr>
      <w:r>
        <w:t>Email dengan domain perusahaan.</w:t>
      </w:r>
    </w:p>
    <w:p>
      <w:pPr>
        <w:pStyle w:val="ListBullet"/>
        <w:spacing w:after="60"/>
      </w:pPr>
      <w:r>
        <w:t>Logo klien yang telah memberikan izin.</w:t>
      </w:r>
    </w:p>
    <w:p>
      <w:pPr>
        <w:pStyle w:val="ListBullet"/>
        <w:spacing w:after="60"/>
      </w:pPr>
      <w:r>
        <w:t>Tautan proyek aktif atau video demo.</w:t>
      </w:r>
    </w:p>
    <w:p>
      <w:pPr>
        <w:pStyle w:val="ListBullet"/>
        <w:spacing w:after="60"/>
      </w:pPr>
      <w:r>
        <w:t>Dokumen contoh alur kerja dan dashboard progres.</w:t>
      </w:r>
    </w:p>
    <w:p>
      <w:pPr>
        <w:pStyle w:val="ListBullet"/>
        <w:spacing w:after="60"/>
      </w:pPr>
      <w:r>
        <w:t>Ketentuan garansi, kepemilikan kode, dan batas tanggung jawab yang jelas.</w:t>
      </w:r>
    </w:p>
    <w:p>
      <w:pPr>
        <w:pStyle w:val="ListBullet"/>
        <w:spacing w:after="60"/>
      </w:pPr>
      <w:r>
        <w:t>SLA waktu respons dan opsi maintenance.</w:t>
      </w:r>
    </w:p>
    <w:p>
      <w:pPr>
        <w:pStyle w:val="ListBullet"/>
        <w:spacing w:after="60"/>
      </w:pPr>
      <w:r>
        <w:t>Invoice resmi, termin pembayaran, serta NDA untuk proyek sensitif.</w:t>
      </w:r>
    </w:p>
    <w:p>
      <w:pPr>
        <w:pStyle w:val="Heading1"/>
      </w:pPr>
      <w:r>
        <w:t>8. Strategi Mendapatkan Klien</w:t>
      </w:r>
    </w:p>
    <w:p>
      <w:r>
        <w:t>Hindari bergantung hanya pada kata kunci umum seperti “jasa pembuatan website”. Persaingannya tinggi dan banyak lead hanya mencari harga terendah. Fokuskan akuisisi pada sektor yang memiliki masalah operasional jelas.</w:t>
      </w:r>
    </w:p>
    <w:p>
      <w:pPr>
        <w:pStyle w:val="Heading2"/>
      </w:pPr>
      <w:r>
        <w:t>Segmen yang layak diuji</w:t>
      </w:r>
    </w:p>
    <w:p>
      <w:pPr>
        <w:pStyle w:val="ListBullet"/>
        <w:spacing w:after="60"/>
      </w:pPr>
      <w:r>
        <w:t>Distributor dan perusahaan dagang.</w:t>
      </w:r>
    </w:p>
    <w:p>
      <w:pPr>
        <w:pStyle w:val="ListBullet"/>
        <w:spacing w:after="60"/>
      </w:pPr>
      <w:r>
        <w:t>Klinik dan layanan kesehatan.</w:t>
      </w:r>
    </w:p>
    <w:p>
      <w:pPr>
        <w:pStyle w:val="ListBullet"/>
        <w:spacing w:after="60"/>
      </w:pPr>
      <w:r>
        <w:t>Lembaga pendidikan.</w:t>
      </w:r>
    </w:p>
    <w:p>
      <w:pPr>
        <w:pStyle w:val="ListBullet"/>
        <w:spacing w:after="60"/>
      </w:pPr>
      <w:r>
        <w:t>Travel dan hospitality.</w:t>
      </w:r>
    </w:p>
    <w:p>
      <w:pPr>
        <w:pStyle w:val="ListBullet"/>
        <w:spacing w:after="60"/>
      </w:pPr>
      <w:r>
        <w:t>Kontraktor.</w:t>
      </w:r>
    </w:p>
    <w:p>
      <w:pPr>
        <w:pStyle w:val="ListBullet"/>
        <w:spacing w:after="60"/>
      </w:pPr>
      <w:r>
        <w:t>Organisasi dan asosiasi.</w:t>
      </w:r>
    </w:p>
    <w:p>
      <w:pPr>
        <w:pStyle w:val="ListBullet"/>
        <w:spacing w:after="60"/>
      </w:pPr>
      <w:r>
        <w:t>Bisnis yang masih mengandalkan Excel dan WhatsApp untuk proses utama.</w:t>
      </w:r>
    </w:p>
    <w:p>
      <w:pPr>
        <w:pStyle w:val="Heading2"/>
      </w:pPr>
      <w:r>
        <w:t>Landing page berbasis masalah</w:t>
      </w:r>
    </w:p>
    <w:p>
      <w:pPr>
        <w:pStyle w:val="ListBullet"/>
        <w:spacing w:after="60"/>
      </w:pPr>
      <w:r>
        <w:t>Sistem inventory untuk distributor.</w:t>
      </w:r>
    </w:p>
    <w:p>
      <w:pPr>
        <w:pStyle w:val="ListBullet"/>
        <w:spacing w:after="60"/>
      </w:pPr>
      <w:r>
        <w:t>Sistem booking untuk klinik.</w:t>
      </w:r>
    </w:p>
    <w:p>
      <w:pPr>
        <w:pStyle w:val="ListBullet"/>
        <w:spacing w:after="60"/>
      </w:pPr>
      <w:r>
        <w:t>Website penerimaan siswa.</w:t>
      </w:r>
    </w:p>
    <w:p>
      <w:pPr>
        <w:pStyle w:val="ListBullet"/>
        <w:spacing w:after="60"/>
      </w:pPr>
      <w:r>
        <w:t>Dashboard proyek untuk kontraktor.</w:t>
      </w:r>
    </w:p>
    <w:p>
      <w:pPr>
        <w:pStyle w:val="ListBullet"/>
        <w:spacing w:after="60"/>
      </w:pPr>
      <w:r>
        <w:t>Portal anggota untuk organisasi.</w:t>
      </w:r>
    </w:p>
    <w:p>
      <w:pPr>
        <w:pStyle w:val="ListBullet"/>
        <w:spacing w:after="60"/>
      </w:pPr>
      <w:r>
        <w:t>CRM WhatsApp untuk tim penjualan.</w:t>
      </w:r>
    </w:p>
    <w:p>
      <w:pPr>
        <w:pStyle w:val="Heading2"/>
      </w:pPr>
      <w:r>
        <w:t>Contoh pesan outreach</w:t>
      </w:r>
    </w:p>
    <w:tbl>
      <w:tblPr>
        <w:tblW w:type="auto" w:w="0"/>
        <w:jc w:val="center"/>
        <w:tblLayout w:type="fixed"/>
        <w:tblLook w:firstColumn="1" w:firstRow="1" w:lastColumn="0" w:lastRow="0" w:noHBand="0" w:noVBand="1" w:val="04A0"/>
      </w:tblPr>
      <w:tblGrid>
        <w:gridCol w:w="9288"/>
      </w:tblGrid>
      <w:tr>
        <w:trPr>
          <w:cantSplit/>
        </w:trPr>
        <w:tc>
          <w:tcPr>
            <w:tcW w:type="dxa" w:w="10080"/>
            <w:shd w:fill="EAF4F4"/>
            <w:tcMar>
              <w:top w:w="180" w:type="dxa"/>
              <w:start w:w="220" w:type="dxa"/>
              <w:bottom w:w="180" w:type="dxa"/>
              <w:end w:w="220" w:type="dxa"/>
            </w:tcMar>
          </w:tcPr>
          <w:p>
            <w:pPr>
              <w:spacing w:after="100"/>
            </w:pPr>
            <w:r>
              <w:rPr>
                <w:b/>
                <w:color w:val="147D7E"/>
                <w:sz w:val="22"/>
              </w:rPr>
              <w:t>PESAN PERSONAL</w:t>
            </w:r>
          </w:p>
          <w:p>
            <w:pPr>
              <w:spacing w:after="0" w:line="269" w:lineRule="auto"/>
            </w:pPr>
            <w:r>
              <w:t>Halo Pak/Bu, saya memeriksa website perusahaan Anda dan menemukan tiga hal yang kemungkinan menghambat calon pelanggan menghubungi tim. Saya sudah membuat ringkasan singkat beserta contoh perbaikannya. Apakah saya boleh mengirimkannya?</w:t>
            </w:r>
          </w:p>
        </w:tc>
      </w:tr>
    </w:tbl>
    <w:p>
      <w:pPr>
        <w:pStyle w:val="Heading1"/>
      </w:pPr>
      <w:r>
        <w:t>9. Rencana Perbaikan 90 Hari</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tcMar>
              <w:top w:w="100" w:type="dxa"/>
              <w:start w:w="110" w:type="dxa"/>
              <w:bottom w:w="100" w:type="dxa"/>
              <w:end w:w="110" w:type="dxa"/>
            </w:tcMar>
            <w:shd w:fill="132A3A"/>
          </w:tcPr>
          <w:p>
            <w:pPr>
              <w:spacing w:after="0" w:line="252" w:lineRule="auto"/>
            </w:pPr>
            <w:r/>
            <w:r>
              <w:rPr>
                <w:rFonts w:ascii="Aptos" w:hAnsi="Aptos"/>
                <w:b/>
                <w:color w:val="FFFFFF"/>
                <w:sz w:val="17"/>
              </w:rPr>
              <w:t>Periode</w:t>
            </w:r>
          </w:p>
        </w:tc>
        <w:tc>
          <w:tcPr>
            <w:tcW w:type="dxa" w:w="3360"/>
            <w:vAlign w:val="center"/>
            <w:tcMar>
              <w:top w:w="100" w:type="dxa"/>
              <w:start w:w="110" w:type="dxa"/>
              <w:bottom w:w="100" w:type="dxa"/>
              <w:end w:w="110" w:type="dxa"/>
            </w:tcMar>
            <w:shd w:fill="132A3A"/>
          </w:tcPr>
          <w:p>
            <w:pPr>
              <w:spacing w:after="0" w:line="252" w:lineRule="auto"/>
            </w:pPr>
            <w:r/>
            <w:r>
              <w:rPr>
                <w:rFonts w:ascii="Aptos" w:hAnsi="Aptos"/>
                <w:b/>
                <w:color w:val="FFFFFF"/>
                <w:sz w:val="17"/>
              </w:rPr>
              <w:t>Fokus</w:t>
            </w:r>
          </w:p>
        </w:tc>
        <w:tc>
          <w:tcPr>
            <w:tcW w:type="dxa" w:w="3360"/>
            <w:vAlign w:val="center"/>
            <w:tcMar>
              <w:top w:w="100" w:type="dxa"/>
              <w:start w:w="110" w:type="dxa"/>
              <w:bottom w:w="100" w:type="dxa"/>
              <w:end w:w="110" w:type="dxa"/>
            </w:tcMar>
            <w:shd w:fill="132A3A"/>
          </w:tcPr>
          <w:p>
            <w:pPr>
              <w:spacing w:after="0" w:line="252" w:lineRule="auto"/>
            </w:pPr>
            <w:r/>
            <w:r>
              <w:rPr>
                <w:rFonts w:ascii="Aptos" w:hAnsi="Aptos"/>
                <w:b/>
                <w:color w:val="FFFFFF"/>
                <w:sz w:val="17"/>
              </w:rPr>
              <w:t>Tindakan utama</w:t>
            </w:r>
          </w:p>
        </w:tc>
      </w:tr>
      <w:tr>
        <w:trPr>
          <w:cantSplit/>
        </w:trPr>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Hari 1–14</w:t>
            </w:r>
          </w:p>
        </w:tc>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Fondasi konversi</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Redirect URL 404; ganti testimoni generik; perbaiki hero dan CTA; gunakan email domain; pilih dua layanan utama; publikasikan tiga studi kasus; pasang formulir atau WhatsApp terstruktur.</w:t>
            </w:r>
          </w:p>
        </w:tc>
      </w:tr>
      <w:tr>
        <w:trPr>
          <w:cantSplit/>
        </w:trPr>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Hari 15–45</w:t>
            </w:r>
          </w:p>
        </w:tc>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Akuisisi terarah</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Buat lima landing page industri; terbitkan studi kasus; tawarkan audit gratis; hubungi 20 prospek terpilih per hari; bangun kemitraan dengan konsultan, agency iklan, dan penyedia hosting.</w:t>
            </w:r>
          </w:p>
        </w:tc>
      </w:tr>
      <w:tr>
        <w:trPr>
          <w:cantSplit/>
        </w:trPr>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Hari 46–90</w:t>
            </w:r>
          </w:p>
        </w:tc>
        <w:tc>
          <w:tcPr>
            <w:tcW w:type="dxa" w:w="3360"/>
            <w:vAlign w:val="center"/>
            <w:tcMar>
              <w:top w:w="100" w:type="dxa"/>
              <w:start w:w="110" w:type="dxa"/>
              <w:bottom w:w="100" w:type="dxa"/>
              <w:end w:w="110" w:type="dxa"/>
            </w:tcMar>
          </w:tcPr>
          <w:p>
            <w:pPr>
              <w:spacing w:after="0" w:line="252" w:lineRule="auto"/>
            </w:pPr>
            <w:r/>
            <w:r>
              <w:rPr>
                <w:rFonts w:ascii="Aptos" w:hAnsi="Aptos"/>
                <w:b/>
                <w:color w:val="132A3A"/>
                <w:sz w:val="16"/>
              </w:rPr>
              <w:t>Skala dan optimasi</w:t>
            </w:r>
          </w:p>
        </w:tc>
        <w:tc>
          <w:tcPr>
            <w:tcW w:type="dxa" w:w="3360"/>
            <w:vAlign w:val="center"/>
            <w:tcMar>
              <w:top w:w="100" w:type="dxa"/>
              <w:start w:w="110" w:type="dxa"/>
              <w:bottom w:w="100" w:type="dxa"/>
              <w:end w:w="110" w:type="dxa"/>
            </w:tcMar>
          </w:tcPr>
          <w:p>
            <w:pPr>
              <w:spacing w:after="0" w:line="252" w:lineRule="auto"/>
            </w:pPr>
            <w:r/>
            <w:r>
              <w:rPr>
                <w:rFonts w:ascii="Aptos" w:hAnsi="Aptos"/>
                <w:b w:val="0"/>
                <w:color w:val="132A3A"/>
                <w:sz w:val="16"/>
              </w:rPr>
              <w:t>Adakan webinar sektoral; publikasikan demo mingguan; buat program referral; lakukan retargeting; follow-up pada hari 1, 3, 7, dan 14; evaluasi sumber lead berdasarkan transaksi.</w:t>
            </w:r>
          </w:p>
        </w:tc>
      </w:tr>
    </w:tbl>
    <w:p>
      <w:pPr>
        <w:pStyle w:val="Heading1"/>
      </w:pPr>
      <w:r>
        <w:t>10. Indikator Pengukuran</w:t>
      </w:r>
    </w:p>
    <w:p>
      <w:r>
        <w:t>Gunakan satu funnel untuk menilai efektivitas situs dan kegiatan pemasaran:</w:t>
      </w:r>
    </w:p>
    <w:p>
      <w:pPr>
        <w:pStyle w:val="ListNumber"/>
        <w:spacing w:after="80"/>
      </w:pPr>
      <w:r>
        <w:t>Jumlah pengunjung halaman.</w:t>
      </w:r>
    </w:p>
    <w:p>
      <w:pPr>
        <w:pStyle w:val="ListNumber"/>
        <w:spacing w:after="80"/>
      </w:pPr>
      <w:r>
        <w:t>Persentase pengunjung yang mengklik CTA.</w:t>
      </w:r>
    </w:p>
    <w:p>
      <w:pPr>
        <w:pStyle w:val="ListNumber"/>
        <w:spacing w:after="80"/>
      </w:pPr>
      <w:r>
        <w:t>Jumlah formulir yang mulai diisi.</w:t>
      </w:r>
    </w:p>
    <w:p>
      <w:pPr>
        <w:pStyle w:val="ListNumber"/>
        <w:spacing w:after="80"/>
      </w:pPr>
      <w:r>
        <w:t>Jumlah formulir yang selesai.</w:t>
      </w:r>
    </w:p>
    <w:p>
      <w:pPr>
        <w:pStyle w:val="ListNumber"/>
        <w:spacing w:after="80"/>
      </w:pPr>
      <w:r>
        <w:t>Jumlah konsultasi yang terjadwal.</w:t>
      </w:r>
    </w:p>
    <w:p>
      <w:pPr>
        <w:pStyle w:val="ListNumber"/>
        <w:spacing w:after="80"/>
      </w:pPr>
      <w:r>
        <w:t>Jumlah proposal yang dikirim.</w:t>
      </w:r>
    </w:p>
    <w:p>
      <w:pPr>
        <w:pStyle w:val="ListNumber"/>
        <w:spacing w:after="80"/>
      </w:pPr>
      <w:r>
        <w:t>Proposal yang diterima.</w:t>
      </w:r>
    </w:p>
    <w:p>
      <w:pPr>
        <w:pStyle w:val="ListNumber"/>
        <w:spacing w:after="80"/>
      </w:pPr>
      <w:r>
        <w:t>Nilai proyek rata-rata.</w:t>
      </w:r>
    </w:p>
    <w:p>
      <w:pPr>
        <w:pStyle w:val="ListNumber"/>
        <w:spacing w:after="80"/>
      </w:pPr>
      <w:r>
        <w:t>Waktu dari lead sampai transaksi.</w:t>
      </w:r>
    </w:p>
    <w:p>
      <w:pPr>
        <w:pStyle w:val="ListNumber"/>
        <w:spacing w:after="80"/>
      </w:pPr>
      <w:r>
        <w:t>Pendapatan berdasarkan sumber lead.</w:t>
      </w:r>
    </w:p>
    <w:tbl>
      <w:tblPr>
        <w:tblW w:type="auto" w:w="0"/>
        <w:jc w:val="center"/>
        <w:tblLayout w:type="fixed"/>
        <w:tblLook w:firstColumn="1" w:firstRow="1" w:lastColumn="0" w:lastRow="0" w:noHBand="0" w:noVBand="1" w:val="04A0"/>
      </w:tblPr>
      <w:tblGrid>
        <w:gridCol w:w="9288"/>
      </w:tblGrid>
      <w:tr>
        <w:trPr>
          <w:cantSplit/>
        </w:trPr>
        <w:tc>
          <w:tcPr>
            <w:tcW w:type="dxa" w:w="10080"/>
            <w:shd w:fill="EAF4F4"/>
            <w:tcMar>
              <w:top w:w="180" w:type="dxa"/>
              <w:start w:w="220" w:type="dxa"/>
              <w:bottom w:w="180" w:type="dxa"/>
              <w:end w:w="220" w:type="dxa"/>
            </w:tcMar>
          </w:tcPr>
          <w:p>
            <w:pPr>
              <w:spacing w:after="100"/>
            </w:pPr>
            <w:r>
              <w:rPr>
                <w:b/>
                <w:color w:val="147D7E"/>
                <w:sz w:val="22"/>
              </w:rPr>
              <w:t>PRINSIP PENGUKURAN</w:t>
            </w:r>
          </w:p>
          <w:p>
            <w:pPr>
              <w:spacing w:after="0" w:line="269" w:lineRule="auto"/>
            </w:pPr>
            <w:r>
              <w:t>Tetapkan target setelah Crediblemark memiliki baseline minimal 30 hari. Ukur transaksi dan kualitas lead, bukan hanya kunjungan, pengikut, atau jumlah formulir.</w:t>
            </w:r>
          </w:p>
        </w:tc>
      </w:tr>
    </w:tbl>
    <w:p>
      <w:pPr>
        <w:pStyle w:val="Heading1"/>
      </w:pPr>
      <w:r>
        <w:t>11. Lima Tindakan Pertama</w:t>
      </w:r>
    </w:p>
    <w:p>
      <w:r>
        <w:t>Jika sumber daya terbatas, lakukan perbaikan sesuai urutan berikut:</w:t>
      </w:r>
    </w:p>
    <w:p>
      <w:pPr>
        <w:pStyle w:val="ListNumber"/>
        <w:spacing w:after="80"/>
      </w:pPr>
      <w:r>
        <w:t>Hapus testimoni generik dan tampilkan bukti klien asli.</w:t>
      </w:r>
    </w:p>
    <w:p>
      <w:pPr>
        <w:pStyle w:val="ListNumber"/>
        <w:spacing w:after="80"/>
      </w:pPr>
      <w:r>
        <w:t>Perbaiki seluruh halaman mati dan redirect URL lama.</w:t>
      </w:r>
    </w:p>
    <w:p>
      <w:pPr>
        <w:pStyle w:val="ListNumber"/>
        <w:spacing w:after="80"/>
      </w:pPr>
      <w:r>
        <w:t>Persempit target pasar serta layanan utama.</w:t>
      </w:r>
    </w:p>
    <w:p>
      <w:pPr>
        <w:pStyle w:val="ListNumber"/>
        <w:spacing w:after="80"/>
      </w:pPr>
      <w:r>
        <w:t>Ubah portofolio menjadi studi kasus dengan hasil terukur.</w:t>
      </w:r>
    </w:p>
    <w:p>
      <w:pPr>
        <w:pStyle w:val="ListNumber"/>
        <w:spacing w:after="80"/>
      </w:pPr>
      <w:r>
        <w:t>Gunakan satu CTA utama menuju konsultasi terjadwal.</w:t>
      </w:r>
    </w:p>
    <w:p>
      <w:pPr>
        <w:pStyle w:val="Heading2"/>
      </w:pPr>
      <w:r>
        <w:t>Penutup</w:t>
      </w:r>
    </w:p>
    <w:p>
      <w:r>
        <w:t>Crediblemark tidak perlu menambah lebih banyak klaim. Crediblemark perlu membuat klaim yang ada lebih dapat dipercaya. Bukti klien, positioning yang tajam, studi kasus, dan satu jalur konsultasi yang jelas akan memberi dampak lebih besar daripada menambah layanan atau istilah teknis baru.</w:t>
      </w:r>
    </w:p>
    <w:p>
      <w:pPr>
        <w:pStyle w:val="Heading1"/>
      </w:pPr>
      <w:r>
        <w:t>Sumber yang Ditinjau</w:t>
      </w:r>
    </w:p>
    <w:p>
      <w:pPr>
        <w:pStyle w:val="ListBullet"/>
        <w:spacing w:after="60"/>
      </w:pPr>
      <w:r>
        <w:t>Crediblemark. Halaman utama. https://crediblemark.com/</w:t>
      </w:r>
    </w:p>
    <w:p>
      <w:pPr>
        <w:pStyle w:val="ListBullet"/>
        <w:spacing w:after="60"/>
      </w:pPr>
      <w:r>
        <w:t>Crediblemark. Kalkulator Harga. https://crediblemark.com/id/price-calculator</w:t>
      </w:r>
    </w:p>
    <w:p>
      <w:pPr>
        <w:pStyle w:val="ListBullet"/>
        <w:spacing w:after="60"/>
      </w:pPr>
      <w:r>
        <w:t>Crediblemark. WordPress Development Services. https://crediblemark.com/en/wordpress</w:t>
      </w:r>
    </w:p>
    <w:p>
      <w:pPr>
        <w:pStyle w:val="ListBullet"/>
        <w:spacing w:after="60"/>
      </w:pPr>
      <w:r>
        <w:t>Crediblemark. Contact. https://crediblemark.com/en/contact</w:t>
      </w:r>
    </w:p>
    <w:p>
      <w:pPr>
        <w:pStyle w:val="ListBullet"/>
        <w:spacing w:after="60"/>
      </w:pPr>
      <w:r>
        <w:t>Crediblemark. Standard Company Profile Website Package, terindeks tetapi tidak tersedia. https://crediblemark.com/services/standard-company-profile-website-package</w:t>
      </w:r>
    </w:p>
    <w:p>
      <w:pPr>
        <w:pStyle w:val="ListBullet"/>
        <w:spacing w:after="60"/>
      </w:pPr>
      <w:r>
        <w:t>LinkedIn. Profil perusahaan Crediblemark. https://id.linkedin.com/company/crediblemark</w:t>
      </w:r>
    </w:p>
    <w:p>
      <w:r>
        <w:t>Catatan metodologis: audit ini menilai konten publik dan jalur konversi yang dapat diamati pada 13 Juli 2026. Audit belum menggunakan data internal seperti Google Analytics, Search Console, CRM, biaya akuisisi, rekaman sesi, atau hasil wawancara klien.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pPr>
    <w:r>
      <w:t>CREDIBLEMARK  |  AUDIT WEBSITE &amp; STRATEGI PERTUMBUHAN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32A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32A3A"/>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47D7E"/>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13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3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100"/>
    </w:pPr>
    <w:rPr>
      <w:rFonts w:ascii="Aptos" w:hAnsi="Aptos"/>
      <w:b/>
      <w:color w:val="147D7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Website dan Strategi Pertumbuhan Crediblemark</dc:title>
  <dc:subject>Audit positioning, kepercayaan, SEO, UX, dan konversi</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