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0BAD" w14:textId="10CF9DE9" w:rsidR="00834907" w:rsidRPr="00EC4275" w:rsidRDefault="000E3598" w:rsidP="00EC4275">
      <w:pPr>
        <w:pStyle w:val="ATGHeading1"/>
      </w:pPr>
      <w:r>
        <w:t xml:space="preserve">Accounting/Administrative: </w:t>
      </w:r>
      <w:proofErr w:type="gramStart"/>
      <w:r>
        <w:t xml:space="preserve">Archive </w:t>
      </w:r>
      <w:r w:rsidR="00B91DFA">
        <w:t xml:space="preserve"> Hard</w:t>
      </w:r>
      <w:proofErr w:type="gramEnd"/>
      <w:r w:rsidR="00B91DFA">
        <w:t xml:space="preserve"> Files SOP</w:t>
      </w:r>
    </w:p>
    <w:p w14:paraId="0D057B6C" w14:textId="58BD6D20" w:rsidR="00B042B5" w:rsidRPr="00B91DFA" w:rsidRDefault="005832B5" w:rsidP="0023517B">
      <w:pPr>
        <w:rPr>
          <w:sz w:val="28"/>
        </w:rPr>
      </w:pPr>
      <w:r>
        <w:rPr>
          <w:b/>
          <w:bCs/>
          <w:sz w:val="28"/>
        </w:rPr>
        <w:t>Objective/Purpose/ Why:</w:t>
      </w:r>
      <w:r w:rsidR="00882AC2">
        <w:rPr>
          <w:b/>
          <w:bCs/>
          <w:sz w:val="28"/>
        </w:rPr>
        <w:t xml:space="preserve"> </w:t>
      </w:r>
      <w:r w:rsidR="00882AC2" w:rsidRPr="00B91DFA">
        <w:rPr>
          <w:sz w:val="28"/>
        </w:rPr>
        <w:t xml:space="preserve">To outline the timeframe and frequency to archive hard project files. The goal is to </w:t>
      </w:r>
      <w:r w:rsidR="00A677BE" w:rsidRPr="00B91DFA">
        <w:rPr>
          <w:sz w:val="28"/>
        </w:rPr>
        <w:t>ensure d</w:t>
      </w:r>
      <w:r w:rsidR="00882AC2" w:rsidRPr="00B91DFA">
        <w:rPr>
          <w:sz w:val="28"/>
        </w:rPr>
        <w:t>ormant projects</w:t>
      </w:r>
      <w:r w:rsidR="00A677BE" w:rsidRPr="00B91DFA">
        <w:rPr>
          <w:sz w:val="28"/>
        </w:rPr>
        <w:t xml:space="preserve"> are filed properly and contain all necessary and applicable documents</w:t>
      </w:r>
      <w:r w:rsidR="00B042B5" w:rsidRPr="00B91DFA">
        <w:rPr>
          <w:sz w:val="28"/>
        </w:rPr>
        <w:t xml:space="preserve">. </w:t>
      </w:r>
    </w:p>
    <w:p w14:paraId="5435497B" w14:textId="0A9B4125" w:rsidR="005832B5" w:rsidRPr="00B91DFA" w:rsidRDefault="00B042B5" w:rsidP="0023517B">
      <w:pPr>
        <w:rPr>
          <w:i/>
          <w:iCs/>
          <w:sz w:val="28"/>
        </w:rPr>
      </w:pPr>
      <w:r>
        <w:rPr>
          <w:b/>
          <w:bCs/>
          <w:sz w:val="28"/>
        </w:rPr>
        <w:t xml:space="preserve">Outcome: </w:t>
      </w:r>
      <w:r w:rsidR="00B91DFA" w:rsidRPr="00B91DFA">
        <w:rPr>
          <w:sz w:val="28"/>
        </w:rPr>
        <w:t xml:space="preserve">Organized filed structure for project hard files that can be easily accessed when </w:t>
      </w:r>
      <w:proofErr w:type="gramStart"/>
      <w:r w:rsidR="00B91DFA" w:rsidRPr="00B91DFA">
        <w:rPr>
          <w:sz w:val="28"/>
        </w:rPr>
        <w:t>necessar</w:t>
      </w:r>
      <w:r w:rsidR="00F56D2F">
        <w:rPr>
          <w:sz w:val="28"/>
        </w:rPr>
        <w:t>y, and</w:t>
      </w:r>
      <w:proofErr w:type="gramEnd"/>
      <w:r w:rsidR="00F56D2F">
        <w:rPr>
          <w:sz w:val="28"/>
        </w:rPr>
        <w:t xml:space="preserve"> meets contract retention requirements. </w:t>
      </w:r>
    </w:p>
    <w:p w14:paraId="6BEDC239" w14:textId="77777777" w:rsidR="00B042B5" w:rsidRDefault="00B042B5" w:rsidP="0023517B">
      <w:pPr>
        <w:rPr>
          <w:b/>
          <w:bCs/>
          <w:sz w:val="28"/>
        </w:rPr>
      </w:pPr>
    </w:p>
    <w:p w14:paraId="5C53991E" w14:textId="25BFCEEA" w:rsidR="005832B5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 xml:space="preserve">Subject Matter Expert: </w:t>
      </w:r>
      <w:r w:rsidR="0088547E">
        <w:rPr>
          <w:i/>
          <w:iCs/>
          <w:sz w:val="28"/>
        </w:rPr>
        <w:t>Administrative Assistant, Accounting Staff, Controller</w:t>
      </w:r>
    </w:p>
    <w:p w14:paraId="4A71AE7D" w14:textId="77777777" w:rsidR="00B042B5" w:rsidRPr="00B042B5" w:rsidRDefault="00B042B5" w:rsidP="0023517B">
      <w:pPr>
        <w:rPr>
          <w:i/>
          <w:iCs/>
          <w:sz w:val="28"/>
        </w:rPr>
      </w:pPr>
    </w:p>
    <w:p w14:paraId="5A08D50A" w14:textId="6AFAF478" w:rsidR="00B042B5" w:rsidRPr="00B042B5" w:rsidRDefault="005832B5" w:rsidP="00A677BE">
      <w:pPr>
        <w:rPr>
          <w:b/>
          <w:bCs/>
          <w:sz w:val="28"/>
        </w:rPr>
      </w:pPr>
      <w:r>
        <w:rPr>
          <w:b/>
          <w:bCs/>
          <w:sz w:val="28"/>
        </w:rPr>
        <w:t xml:space="preserve">Process: </w:t>
      </w:r>
      <w:r w:rsidR="00A677BE">
        <w:rPr>
          <w:b/>
          <w:bCs/>
          <w:sz w:val="28"/>
        </w:rPr>
        <w:t>Archiv</w:t>
      </w:r>
      <w:r w:rsidR="00C61E9A">
        <w:rPr>
          <w:b/>
          <w:bCs/>
          <w:sz w:val="28"/>
        </w:rPr>
        <w:t>ing</w:t>
      </w:r>
      <w:r w:rsidR="00A677BE">
        <w:rPr>
          <w:b/>
          <w:bCs/>
          <w:sz w:val="28"/>
        </w:rPr>
        <w:t xml:space="preserve"> is the process in which closed projects are filed and stored </w:t>
      </w:r>
      <w:r w:rsidR="00C61E9A">
        <w:rPr>
          <w:b/>
          <w:bCs/>
          <w:sz w:val="28"/>
        </w:rPr>
        <w:t xml:space="preserve">in a designated location </w:t>
      </w:r>
      <w:r w:rsidR="00A677BE">
        <w:rPr>
          <w:b/>
          <w:bCs/>
          <w:sz w:val="28"/>
        </w:rPr>
        <w:t xml:space="preserve">according to the appropriate retention schedule. </w:t>
      </w:r>
    </w:p>
    <w:p w14:paraId="3706135F" w14:textId="25B2A4EE" w:rsidR="006B10A6" w:rsidRDefault="00CD5BAC" w:rsidP="006B10A6">
      <w:r w:rsidRPr="00CD5BAC">
        <w:rPr>
          <w:i/>
          <w:iCs/>
          <w:sz w:val="24"/>
          <w:szCs w:val="24"/>
          <w:u w:val="single"/>
        </w:rPr>
        <w:t>When to Archive (</w:t>
      </w:r>
      <w:r>
        <w:rPr>
          <w:i/>
          <w:iCs/>
          <w:sz w:val="24"/>
          <w:szCs w:val="24"/>
          <w:u w:val="single"/>
        </w:rPr>
        <w:t>hard files</w:t>
      </w:r>
      <w:r w:rsidRPr="00CD5BAC">
        <w:rPr>
          <w:i/>
          <w:iCs/>
          <w:sz w:val="24"/>
          <w:szCs w:val="24"/>
          <w:u w:val="single"/>
        </w:rPr>
        <w:t>)</w:t>
      </w:r>
      <w:r w:rsidRPr="00CD5BAC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Hard files can be archived 6 months after project has been made dormant and at the direction of Project Accountant or Project Controller. </w:t>
      </w:r>
    </w:p>
    <w:p w14:paraId="534F5668" w14:textId="234A62A0" w:rsidR="006B10A6" w:rsidRDefault="006B10A6" w:rsidP="00B042B5">
      <w:pPr>
        <w:pStyle w:val="ATGBodyBullet1"/>
        <w:numPr>
          <w:ilvl w:val="0"/>
          <w:numId w:val="11"/>
        </w:numPr>
      </w:pPr>
      <w:r>
        <w:t>Project Accountant will send a list of Dormant projects to Admin at the end of every quarter.</w:t>
      </w:r>
    </w:p>
    <w:p w14:paraId="249DE24B" w14:textId="18417C4D" w:rsidR="006B10A6" w:rsidRDefault="006B10A6" w:rsidP="00B042B5">
      <w:pPr>
        <w:pStyle w:val="ATGBodyBullet1"/>
        <w:numPr>
          <w:ilvl w:val="0"/>
          <w:numId w:val="11"/>
        </w:numPr>
      </w:pPr>
      <w:r>
        <w:t xml:space="preserve">Admin will QC project hard files to ensure all necessary documents are in each project folder. Refer to QC checklist below. </w:t>
      </w:r>
    </w:p>
    <w:p w14:paraId="2B5B2841" w14:textId="6889F2A4" w:rsidR="006B10A6" w:rsidRDefault="006B10A6" w:rsidP="00B042B5">
      <w:pPr>
        <w:pStyle w:val="ATGBodyBullet1"/>
        <w:numPr>
          <w:ilvl w:val="0"/>
          <w:numId w:val="11"/>
        </w:numPr>
      </w:pPr>
      <w:r>
        <w:t>Admin will have the following quarter to complete QC of file</w:t>
      </w:r>
      <w:r w:rsidR="00EA6976">
        <w:t xml:space="preserve">s. </w:t>
      </w:r>
    </w:p>
    <w:p w14:paraId="5F326811" w14:textId="7CAF4A95" w:rsidR="00EA6976" w:rsidRDefault="00EA6976" w:rsidP="00EA6976">
      <w:pPr>
        <w:pStyle w:val="ATGBodyBullet1"/>
        <w:numPr>
          <w:ilvl w:val="0"/>
          <w:numId w:val="11"/>
        </w:numPr>
      </w:pPr>
      <w:r>
        <w:t>At the end of the QC period, applicable project files will be pulled from designated Active file location and stored in file boxes.</w:t>
      </w:r>
    </w:p>
    <w:p w14:paraId="6BCD2219" w14:textId="6A1BB3B0" w:rsidR="00EA6976" w:rsidRDefault="00EA6976" w:rsidP="00EA6976">
      <w:pPr>
        <w:pStyle w:val="ATGBodyBullet1"/>
        <w:numPr>
          <w:ilvl w:val="0"/>
          <w:numId w:val="11"/>
        </w:numPr>
      </w:pPr>
      <w:r>
        <w:t>File boxes will be numbered and grouped by project number i.e., Box 1 – 2020.0001-2020.0050</w:t>
      </w:r>
    </w:p>
    <w:p w14:paraId="25538FFE" w14:textId="37122E0C" w:rsidR="00EA6976" w:rsidRDefault="00EA6976" w:rsidP="00EA6976">
      <w:pPr>
        <w:pStyle w:val="ATGBodyBullet1"/>
        <w:numPr>
          <w:ilvl w:val="0"/>
          <w:numId w:val="11"/>
        </w:numPr>
      </w:pPr>
      <w:r>
        <w:t>Admin will enter newly archived projects in Archive file spreadsheet with box number</w:t>
      </w:r>
      <w:r w:rsidR="009F0DAB">
        <w:t xml:space="preserve">, </w:t>
      </w:r>
      <w:r>
        <w:t>location</w:t>
      </w:r>
      <w:r w:rsidR="009F0DAB">
        <w:t>, and retention schedule</w:t>
      </w:r>
      <w:r>
        <w:t>.</w:t>
      </w:r>
    </w:p>
    <w:p w14:paraId="4B8CF59D" w14:textId="77777777" w:rsidR="009F0DAB" w:rsidRDefault="009F0DAB" w:rsidP="009F0DAB">
      <w:pPr>
        <w:pStyle w:val="ATGBodyBullet1"/>
        <w:numPr>
          <w:ilvl w:val="0"/>
          <w:numId w:val="0"/>
        </w:numPr>
        <w:ind w:left="720"/>
      </w:pPr>
    </w:p>
    <w:p w14:paraId="36F4C14E" w14:textId="0C5608C6" w:rsidR="009F0DAB" w:rsidRPr="009F0DAB" w:rsidRDefault="009F0DAB" w:rsidP="009F0DAB">
      <w:pPr>
        <w:pStyle w:val="ATGBodyBullet1"/>
        <w:numPr>
          <w:ilvl w:val="0"/>
          <w:numId w:val="0"/>
        </w:numPr>
        <w:ind w:left="360"/>
        <w:rPr>
          <w:i/>
          <w:iCs/>
          <w:sz w:val="24"/>
          <w:szCs w:val="24"/>
          <w:u w:val="single"/>
        </w:rPr>
      </w:pPr>
      <w:r w:rsidRPr="009F0DAB">
        <w:rPr>
          <w:i/>
          <w:iCs/>
          <w:sz w:val="24"/>
          <w:szCs w:val="24"/>
          <w:u w:val="single"/>
        </w:rPr>
        <w:t>QC</w:t>
      </w:r>
      <w:r>
        <w:rPr>
          <w:i/>
          <w:iCs/>
          <w:sz w:val="24"/>
          <w:szCs w:val="24"/>
          <w:u w:val="single"/>
        </w:rPr>
        <w:t xml:space="preserve"> Checklist </w:t>
      </w:r>
    </w:p>
    <w:p w14:paraId="4434496F" w14:textId="7F21EB5D" w:rsidR="005832B5" w:rsidRDefault="00D848D4" w:rsidP="009F0DAB">
      <w:pPr>
        <w:pStyle w:val="ATGBodyBullet1"/>
        <w:numPr>
          <w:ilvl w:val="0"/>
          <w:numId w:val="12"/>
        </w:numPr>
      </w:pPr>
      <w:r>
        <w:t>Ensure all electronic contract documents match hard project files:</w:t>
      </w:r>
    </w:p>
    <w:p w14:paraId="5F41A78F" w14:textId="425678A5" w:rsidR="00D848D4" w:rsidRDefault="00D848D4" w:rsidP="009F0DAB">
      <w:pPr>
        <w:pStyle w:val="ATGBodyBullet1"/>
        <w:numPr>
          <w:ilvl w:val="1"/>
          <w:numId w:val="12"/>
        </w:numPr>
      </w:pPr>
      <w:r>
        <w:t xml:space="preserve">Executed </w:t>
      </w:r>
      <w:proofErr w:type="gramStart"/>
      <w:r>
        <w:t>contract</w:t>
      </w:r>
      <w:proofErr w:type="gramEnd"/>
      <w:r w:rsidR="006B10A6">
        <w:t xml:space="preserve"> </w:t>
      </w:r>
    </w:p>
    <w:p w14:paraId="3729B85C" w14:textId="09AF6C23" w:rsidR="00D848D4" w:rsidRDefault="00D848D4" w:rsidP="009F0DAB">
      <w:pPr>
        <w:pStyle w:val="ATGBodyBullet1"/>
        <w:numPr>
          <w:ilvl w:val="1"/>
          <w:numId w:val="12"/>
        </w:numPr>
      </w:pPr>
      <w:r>
        <w:t>Subcontracts (if applicable)</w:t>
      </w:r>
    </w:p>
    <w:p w14:paraId="69CCE359" w14:textId="428DAF12" w:rsidR="00D848D4" w:rsidRDefault="00D848D4" w:rsidP="009F0DAB">
      <w:pPr>
        <w:pStyle w:val="ATGBodyBullet1"/>
        <w:numPr>
          <w:ilvl w:val="1"/>
          <w:numId w:val="12"/>
        </w:numPr>
      </w:pPr>
      <w:r>
        <w:t>Communication e</w:t>
      </w:r>
      <w:r w:rsidR="006B10A6">
        <w:t xml:space="preserve">mails related to contract </w:t>
      </w:r>
      <w:proofErr w:type="gramStart"/>
      <w:r w:rsidR="006B10A6">
        <w:t>changes</w:t>
      </w:r>
      <w:proofErr w:type="gramEnd"/>
    </w:p>
    <w:p w14:paraId="5AC6E1A0" w14:textId="78F14008" w:rsidR="005832B5" w:rsidRDefault="005832B5" w:rsidP="009F0DAB">
      <w:pPr>
        <w:pStyle w:val="ATGBodyBullet1"/>
        <w:numPr>
          <w:ilvl w:val="0"/>
          <w:numId w:val="12"/>
        </w:numPr>
      </w:pPr>
      <w:r>
        <w:t xml:space="preserve"> </w:t>
      </w:r>
      <w:r w:rsidR="00D848D4">
        <w:t xml:space="preserve">Invoice register of all submitted invoices and copies of </w:t>
      </w:r>
      <w:proofErr w:type="gramStart"/>
      <w:r w:rsidR="00D848D4">
        <w:t>invoices</w:t>
      </w:r>
      <w:proofErr w:type="gramEnd"/>
    </w:p>
    <w:p w14:paraId="5A32714F" w14:textId="4812434C" w:rsidR="006B10A6" w:rsidRDefault="006B10A6" w:rsidP="009F0DAB">
      <w:pPr>
        <w:pStyle w:val="ATGBodyBullet1"/>
        <w:numPr>
          <w:ilvl w:val="0"/>
          <w:numId w:val="12"/>
        </w:numPr>
      </w:pPr>
      <w:r>
        <w:lastRenderedPageBreak/>
        <w:t>Copies of invoice payments</w:t>
      </w:r>
    </w:p>
    <w:p w14:paraId="70C13EEC" w14:textId="7CADC16A" w:rsidR="009F0DAB" w:rsidRDefault="009F0DAB" w:rsidP="009F0DAB">
      <w:pPr>
        <w:pStyle w:val="ATGBodyBullet1"/>
        <w:numPr>
          <w:ilvl w:val="0"/>
          <w:numId w:val="12"/>
        </w:numPr>
      </w:pPr>
      <w:r>
        <w:t>Copies of Subconsultant invoice payments if applicable</w:t>
      </w:r>
    </w:p>
    <w:p w14:paraId="7FAC9FFC" w14:textId="5B9B52B8" w:rsidR="006B10A6" w:rsidRDefault="006B10A6" w:rsidP="009F0DAB">
      <w:pPr>
        <w:pStyle w:val="ATGBodyBullet1"/>
        <w:numPr>
          <w:ilvl w:val="0"/>
          <w:numId w:val="12"/>
        </w:numPr>
      </w:pPr>
      <w:r>
        <w:t xml:space="preserve">Communication emails/documents related to AR </w:t>
      </w:r>
      <w:proofErr w:type="gramStart"/>
      <w:r>
        <w:t>issues</w:t>
      </w:r>
      <w:proofErr w:type="gramEnd"/>
    </w:p>
    <w:p w14:paraId="40CDB97F" w14:textId="77777777" w:rsidR="00A677BE" w:rsidRDefault="00A677BE" w:rsidP="009F0DAB">
      <w:pPr>
        <w:pStyle w:val="ATGBodyBullet1"/>
        <w:numPr>
          <w:ilvl w:val="0"/>
          <w:numId w:val="0"/>
        </w:numPr>
      </w:pPr>
    </w:p>
    <w:p w14:paraId="63ECDBF3" w14:textId="10BEDDAF" w:rsidR="005832B5" w:rsidRDefault="005832B5" w:rsidP="0023517B">
      <w:pPr>
        <w:rPr>
          <w:b/>
          <w:bCs/>
          <w:sz w:val="28"/>
        </w:rPr>
      </w:pPr>
    </w:p>
    <w:p w14:paraId="322502E4" w14:textId="77777777" w:rsidR="00A677BE" w:rsidRDefault="005832B5" w:rsidP="0023517B">
      <w:pPr>
        <w:rPr>
          <w:b/>
          <w:bCs/>
          <w:sz w:val="28"/>
        </w:rPr>
      </w:pPr>
      <w:r>
        <w:rPr>
          <w:b/>
          <w:bCs/>
          <w:sz w:val="28"/>
        </w:rPr>
        <w:t xml:space="preserve">Resources: </w:t>
      </w:r>
    </w:p>
    <w:p w14:paraId="235A8614" w14:textId="78D96B60" w:rsidR="00A677BE" w:rsidRDefault="00A677BE" w:rsidP="0023517B">
      <w:pPr>
        <w:rPr>
          <w:i/>
          <w:iCs/>
          <w:sz w:val="28"/>
        </w:rPr>
      </w:pPr>
      <w:r>
        <w:rPr>
          <w:i/>
          <w:iCs/>
          <w:sz w:val="28"/>
        </w:rPr>
        <w:t>Specific project contract for retention requirements, Project closeout SOP</w:t>
      </w:r>
    </w:p>
    <w:p w14:paraId="75EA2180" w14:textId="77777777" w:rsidR="002F0C4A" w:rsidRDefault="002F0C4A" w:rsidP="0023517B">
      <w:pPr>
        <w:rPr>
          <w:i/>
          <w:iCs/>
          <w:sz w:val="28"/>
        </w:rPr>
      </w:pPr>
    </w:p>
    <w:p w14:paraId="5D0E3A22" w14:textId="710BFE5D" w:rsidR="002F0C4A" w:rsidRDefault="002F0C4A" w:rsidP="0023517B">
      <w:pPr>
        <w:rPr>
          <w:i/>
          <w:iCs/>
          <w:sz w:val="28"/>
        </w:rPr>
      </w:pPr>
      <w:r w:rsidRPr="002F0C4A">
        <w:rPr>
          <w:b/>
          <w:bCs/>
          <w:sz w:val="28"/>
        </w:rPr>
        <w:t>Definitions:</w:t>
      </w:r>
      <w:r>
        <w:rPr>
          <w:b/>
          <w:bCs/>
          <w:sz w:val="28"/>
        </w:rPr>
        <w:t xml:space="preserve"> </w:t>
      </w:r>
    </w:p>
    <w:p w14:paraId="742A33E3" w14:textId="1DBE4BF2" w:rsidR="00B91DFA" w:rsidRDefault="00B91DFA" w:rsidP="0023517B">
      <w:pPr>
        <w:rPr>
          <w:i/>
          <w:iCs/>
          <w:sz w:val="28"/>
        </w:rPr>
      </w:pPr>
      <w:r>
        <w:rPr>
          <w:i/>
          <w:iCs/>
          <w:sz w:val="28"/>
        </w:rPr>
        <w:t>Retention schedule: specific time frame identified in the contract that stipulates how long project documents must be retained.</w:t>
      </w:r>
    </w:p>
    <w:p w14:paraId="287437E4" w14:textId="3BB470B2" w:rsidR="0066324E" w:rsidRDefault="0066324E" w:rsidP="0023517B">
      <w:pPr>
        <w:rPr>
          <w:b/>
          <w:bCs/>
          <w:sz w:val="28"/>
        </w:rPr>
      </w:pPr>
      <w:r>
        <w:rPr>
          <w:i/>
          <w:iCs/>
          <w:sz w:val="28"/>
        </w:rPr>
        <w:t>Hard files: Physical copies or originals of project contract files</w:t>
      </w:r>
    </w:p>
    <w:p w14:paraId="3DC10437" w14:textId="77777777" w:rsidR="005832B5" w:rsidRPr="00775130" w:rsidRDefault="005832B5" w:rsidP="0023517B">
      <w:pPr>
        <w:rPr>
          <w:b/>
          <w:bCs/>
          <w:sz w:val="28"/>
        </w:rPr>
      </w:pPr>
    </w:p>
    <w:p w14:paraId="15A77501" w14:textId="77777777" w:rsidR="00F05573" w:rsidRDefault="00F05573" w:rsidP="00834907"/>
    <w:p w14:paraId="70A4FD9F" w14:textId="04A2ABCF" w:rsidR="00F05573" w:rsidRDefault="00F05573" w:rsidP="00834907"/>
    <w:p w14:paraId="6FA5DF2A" w14:textId="496F4C96" w:rsidR="00F05573" w:rsidRDefault="00F05573" w:rsidP="00834907"/>
    <w:p w14:paraId="4DD9F9EC" w14:textId="3E55ADFF" w:rsidR="00F05573" w:rsidRDefault="00F05573" w:rsidP="00834907"/>
    <w:p w14:paraId="7800F29D" w14:textId="57686F37" w:rsidR="00F05573" w:rsidRDefault="00F05573" w:rsidP="00834907"/>
    <w:p w14:paraId="5C7F6653" w14:textId="1E8553B9" w:rsidR="00F05573" w:rsidRDefault="00F05573" w:rsidP="00834907"/>
    <w:p w14:paraId="7BE9A450" w14:textId="4D4945B2" w:rsidR="00F05573" w:rsidRDefault="00F05573" w:rsidP="00834907"/>
    <w:p w14:paraId="0F03A931" w14:textId="1A7E6304" w:rsidR="00234090" w:rsidRDefault="00234090" w:rsidP="00834907"/>
    <w:p w14:paraId="7DA95C5A" w14:textId="6548E8F8" w:rsidR="00234090" w:rsidRDefault="00234090" w:rsidP="00834907"/>
    <w:p w14:paraId="391E7119" w14:textId="5FE5A159" w:rsidR="00234090" w:rsidRDefault="00234090" w:rsidP="00834907"/>
    <w:p w14:paraId="076BC84D" w14:textId="4CEFD3D7" w:rsidR="00234090" w:rsidRDefault="00234090" w:rsidP="00834907"/>
    <w:p w14:paraId="279EBCD8" w14:textId="0FBF66DD" w:rsidR="00234090" w:rsidRDefault="00234090" w:rsidP="00834907"/>
    <w:p w14:paraId="3CD9EF32" w14:textId="0FBA32E0" w:rsidR="00234090" w:rsidRDefault="00234090" w:rsidP="00834907"/>
    <w:p w14:paraId="753E6974" w14:textId="76607C2D" w:rsidR="00234090" w:rsidRDefault="00234090" w:rsidP="00834907"/>
    <w:p w14:paraId="6E88C00F" w14:textId="0F3CE714" w:rsidR="00234090" w:rsidRDefault="00234090" w:rsidP="00834907"/>
    <w:p w14:paraId="093D5940" w14:textId="11959637" w:rsidR="00234090" w:rsidRDefault="00234090" w:rsidP="00834907"/>
    <w:p w14:paraId="32B064AB" w14:textId="735CBF5B" w:rsidR="00234090" w:rsidRDefault="00234090" w:rsidP="00834907"/>
    <w:p w14:paraId="4825E91D" w14:textId="716CDC77" w:rsidR="00BF5FFC" w:rsidRDefault="00BF5FFC" w:rsidP="00834907"/>
    <w:p w14:paraId="7852C6C0" w14:textId="1A9FA7F7" w:rsidR="00BF5FFC" w:rsidRDefault="00BF5FFC" w:rsidP="00834907"/>
    <w:p w14:paraId="79FB7E14" w14:textId="77777777" w:rsidR="00BF5FFC" w:rsidRDefault="00BF5FFC" w:rsidP="00834907"/>
    <w:p w14:paraId="4E54E07B" w14:textId="2934B3B0" w:rsidR="00234090" w:rsidRDefault="00234090" w:rsidP="00834907"/>
    <w:p w14:paraId="6462FFF0" w14:textId="77777777" w:rsidR="00234090" w:rsidRDefault="00234090" w:rsidP="00834907"/>
    <w:sectPr w:rsidR="00234090" w:rsidSect="00051BD4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6EF1" w14:textId="77777777" w:rsidR="000342F8" w:rsidRDefault="000342F8" w:rsidP="008F7176">
      <w:pPr>
        <w:spacing w:after="0" w:line="240" w:lineRule="auto"/>
      </w:pPr>
      <w:r>
        <w:separator/>
      </w:r>
    </w:p>
  </w:endnote>
  <w:endnote w:type="continuationSeparator" w:id="0">
    <w:p w14:paraId="3537159D" w14:textId="77777777" w:rsidR="000342F8" w:rsidRDefault="000342F8" w:rsidP="008F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342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C979D" w14:textId="46E06510" w:rsidR="00BF5FFC" w:rsidRDefault="00BF5FFC" w:rsidP="00BF5FFC">
        <w:pPr>
          <w:pStyle w:val="Footer"/>
        </w:pPr>
        <w:r w:rsidRPr="009009BB">
          <w:rPr>
            <w:b/>
          </w:rPr>
          <w:fldChar w:fldCharType="begin"/>
        </w:r>
        <w:r w:rsidRPr="009009BB">
          <w:rPr>
            <w:b/>
          </w:rPr>
          <w:instrText xml:space="preserve"> PAGE   \* MERGEFORMAT </w:instrText>
        </w:r>
        <w:r w:rsidRPr="009009BB">
          <w:rPr>
            <w:b/>
          </w:rPr>
          <w:fldChar w:fldCharType="separate"/>
        </w:r>
        <w:r>
          <w:rPr>
            <w:b/>
          </w:rPr>
          <w:t>1</w:t>
        </w:r>
        <w:r w:rsidRPr="009009BB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EE8E" w14:textId="1DB77B8F" w:rsidR="005832B5" w:rsidRDefault="005832B5" w:rsidP="005832B5">
    <w:pPr>
      <w:pStyle w:val="Footer"/>
      <w:jc w:val="left"/>
    </w:pPr>
    <w:r>
      <w:t>Revision Date:  0</w:t>
    </w:r>
    <w:r w:rsidR="00B91DFA">
      <w:t>6</w:t>
    </w:r>
    <w:r>
      <w:t>.</w:t>
    </w:r>
    <w:r w:rsidR="00975457">
      <w:t>23</w:t>
    </w:r>
    <w:r>
      <w:t>.2021</w:t>
    </w:r>
    <w:r w:rsidR="00FB2E58">
      <w:t xml:space="preserve"> | Prepared By: </w:t>
    </w:r>
    <w:r w:rsidR="00975457">
      <w:t xml:space="preserve">Sheena </w:t>
    </w:r>
    <w:proofErr w:type="gramStart"/>
    <w:r w:rsidR="00975457">
      <w:t>Tolentino</w:t>
    </w:r>
    <w:r w:rsidR="00FB2E58">
      <w:t xml:space="preserve">  |</w:t>
    </w:r>
    <w:proofErr w:type="gramEnd"/>
    <w:r w:rsidR="00FB2E58">
      <w:t xml:space="preserve"> Approved By: XXXXXXXXX</w:t>
    </w:r>
    <w:r>
      <w:tab/>
    </w:r>
  </w:p>
  <w:p w14:paraId="31A73ABA" w14:textId="28B9B571" w:rsidR="00B239BD" w:rsidRPr="00EE081E" w:rsidRDefault="00B239BD" w:rsidP="00EE0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4148" w14:textId="77777777" w:rsidR="000342F8" w:rsidRDefault="000342F8" w:rsidP="008F7176">
      <w:pPr>
        <w:spacing w:after="0" w:line="240" w:lineRule="auto"/>
      </w:pPr>
      <w:r>
        <w:separator/>
      </w:r>
    </w:p>
  </w:footnote>
  <w:footnote w:type="continuationSeparator" w:id="0">
    <w:p w14:paraId="7494BB6E" w14:textId="77777777" w:rsidR="000342F8" w:rsidRDefault="000342F8" w:rsidP="008F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6C4E" w14:textId="7271A741" w:rsidR="00200259" w:rsidRDefault="00EC4275" w:rsidP="00200259">
    <w:pPr>
      <w:pStyle w:val="Header"/>
    </w:pPr>
    <w:r>
      <w:rPr>
        <w:noProof/>
      </w:rPr>
      <w:drawing>
        <wp:inline distT="0" distB="0" distL="0" distR="0" wp14:anchorId="28FA0DA5" wp14:editId="3D86AB97">
          <wp:extent cx="1280160" cy="979490"/>
          <wp:effectExtent l="0" t="0" r="0" b="0"/>
          <wp:docPr id="10" name="Picture 10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A5BEE" w14:textId="2D1581EB" w:rsidR="00234090" w:rsidRDefault="00234090" w:rsidP="00200259">
    <w:pPr>
      <w:pStyle w:val="Header"/>
    </w:pPr>
  </w:p>
  <w:p w14:paraId="2D25E0A6" w14:textId="77777777" w:rsidR="00234090" w:rsidRPr="00976EAB" w:rsidRDefault="00234090" w:rsidP="00200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914" w14:textId="0C1D07F7" w:rsidR="00692954" w:rsidRDefault="00EC4275" w:rsidP="00692954">
    <w:pPr>
      <w:pStyle w:val="Header"/>
    </w:pPr>
    <w:r>
      <w:rPr>
        <w:noProof/>
      </w:rPr>
      <w:drawing>
        <wp:inline distT="0" distB="0" distL="0" distR="0" wp14:anchorId="754A14DF" wp14:editId="0A522333">
          <wp:extent cx="1280160" cy="979490"/>
          <wp:effectExtent l="0" t="0" r="0" b="0"/>
          <wp:docPr id="11" name="Picture 1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C73731" w14:textId="059D2FF1" w:rsidR="00234090" w:rsidRDefault="00234090" w:rsidP="00692954">
    <w:pPr>
      <w:pStyle w:val="Header"/>
    </w:pPr>
  </w:p>
  <w:p w14:paraId="7A44DB8E" w14:textId="77777777" w:rsidR="00234090" w:rsidRPr="00976EAB" w:rsidRDefault="00234090" w:rsidP="0069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7CA"/>
    <w:multiLevelType w:val="hybridMultilevel"/>
    <w:tmpl w:val="6018D7A6"/>
    <w:lvl w:ilvl="0" w:tplc="5FB61F20">
      <w:start w:val="1"/>
      <w:numFmt w:val="bullet"/>
      <w:pStyle w:val="ATGBoxBullet1"/>
      <w:lvlText w:val="●"/>
      <w:lvlJc w:val="left"/>
      <w:pPr>
        <w:ind w:left="360" w:hanging="360"/>
      </w:pPr>
      <w:rPr>
        <w:rFonts w:ascii="Arial" w:hAnsi="Arial" w:hint="default"/>
        <w:color w:val="43A7B7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87D8D3F2"/>
    <w:lvl w:ilvl="0" w:tplc="BCF823B6">
      <w:start w:val="1"/>
      <w:numFmt w:val="bullet"/>
      <w:pStyle w:val="ATGBodyBullet1"/>
      <w:lvlText w:val="●"/>
      <w:lvlJc w:val="left"/>
      <w:pPr>
        <w:ind w:left="720" w:hanging="360"/>
      </w:pPr>
      <w:rPr>
        <w:rFonts w:ascii="Arial" w:hAnsi="Arial"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116E"/>
    <w:multiLevelType w:val="hybridMultilevel"/>
    <w:tmpl w:val="AE3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A5F8D"/>
    <w:multiLevelType w:val="hybridMultilevel"/>
    <w:tmpl w:val="557A9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212B6"/>
    <w:multiLevelType w:val="hybridMultilevel"/>
    <w:tmpl w:val="28D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1863"/>
    <w:multiLevelType w:val="hybridMultilevel"/>
    <w:tmpl w:val="883A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3D3D3D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67E7D"/>
    <w:multiLevelType w:val="hybridMultilevel"/>
    <w:tmpl w:val="883A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trackedChanges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6"/>
    <w:rsid w:val="000342F8"/>
    <w:rsid w:val="00051BD4"/>
    <w:rsid w:val="000E3598"/>
    <w:rsid w:val="00131D19"/>
    <w:rsid w:val="001A2BD8"/>
    <w:rsid w:val="001A581E"/>
    <w:rsid w:val="001C1847"/>
    <w:rsid w:val="001C75DE"/>
    <w:rsid w:val="001F2DC6"/>
    <w:rsid w:val="001F563E"/>
    <w:rsid w:val="00200259"/>
    <w:rsid w:val="00234090"/>
    <w:rsid w:val="0023517B"/>
    <w:rsid w:val="00266426"/>
    <w:rsid w:val="002C38AA"/>
    <w:rsid w:val="002D55FD"/>
    <w:rsid w:val="002E3047"/>
    <w:rsid w:val="002F0C4A"/>
    <w:rsid w:val="002F2EBD"/>
    <w:rsid w:val="00324BDB"/>
    <w:rsid w:val="00374B70"/>
    <w:rsid w:val="0038202B"/>
    <w:rsid w:val="0039333C"/>
    <w:rsid w:val="003D110D"/>
    <w:rsid w:val="00414C64"/>
    <w:rsid w:val="00435311"/>
    <w:rsid w:val="00486D6E"/>
    <w:rsid w:val="004E1FE0"/>
    <w:rsid w:val="005178F5"/>
    <w:rsid w:val="00564A3C"/>
    <w:rsid w:val="00575A88"/>
    <w:rsid w:val="005832B5"/>
    <w:rsid w:val="005B68E0"/>
    <w:rsid w:val="0061041E"/>
    <w:rsid w:val="00656672"/>
    <w:rsid w:val="006620C7"/>
    <w:rsid w:val="0066324E"/>
    <w:rsid w:val="00684B26"/>
    <w:rsid w:val="00692954"/>
    <w:rsid w:val="006B10A6"/>
    <w:rsid w:val="006B259E"/>
    <w:rsid w:val="006E4469"/>
    <w:rsid w:val="007B495D"/>
    <w:rsid w:val="007C3F8B"/>
    <w:rsid w:val="007E46FD"/>
    <w:rsid w:val="008323E4"/>
    <w:rsid w:val="00833A2E"/>
    <w:rsid w:val="00834907"/>
    <w:rsid w:val="00865A7A"/>
    <w:rsid w:val="00882AC2"/>
    <w:rsid w:val="0088547E"/>
    <w:rsid w:val="008D17F5"/>
    <w:rsid w:val="008D7EBA"/>
    <w:rsid w:val="008F5FAE"/>
    <w:rsid w:val="008F7176"/>
    <w:rsid w:val="008F78F5"/>
    <w:rsid w:val="00901A59"/>
    <w:rsid w:val="0092229C"/>
    <w:rsid w:val="0097292C"/>
    <w:rsid w:val="00975457"/>
    <w:rsid w:val="00976EAB"/>
    <w:rsid w:val="009F0DAB"/>
    <w:rsid w:val="00A02757"/>
    <w:rsid w:val="00A148CA"/>
    <w:rsid w:val="00A16F2B"/>
    <w:rsid w:val="00A55001"/>
    <w:rsid w:val="00A677BE"/>
    <w:rsid w:val="00A766FE"/>
    <w:rsid w:val="00AC75C9"/>
    <w:rsid w:val="00B042B5"/>
    <w:rsid w:val="00B239BD"/>
    <w:rsid w:val="00B8492A"/>
    <w:rsid w:val="00B91DFA"/>
    <w:rsid w:val="00BF5FFC"/>
    <w:rsid w:val="00C61E9A"/>
    <w:rsid w:val="00C85444"/>
    <w:rsid w:val="00CD5BAC"/>
    <w:rsid w:val="00CF4992"/>
    <w:rsid w:val="00D00340"/>
    <w:rsid w:val="00D848D4"/>
    <w:rsid w:val="00DE58BE"/>
    <w:rsid w:val="00E25502"/>
    <w:rsid w:val="00E3398D"/>
    <w:rsid w:val="00E353DE"/>
    <w:rsid w:val="00EA4F42"/>
    <w:rsid w:val="00EA6976"/>
    <w:rsid w:val="00EC4275"/>
    <w:rsid w:val="00EC6FF7"/>
    <w:rsid w:val="00EE081E"/>
    <w:rsid w:val="00F05573"/>
    <w:rsid w:val="00F5334A"/>
    <w:rsid w:val="00F56D2F"/>
    <w:rsid w:val="00F66F80"/>
    <w:rsid w:val="00F874AD"/>
    <w:rsid w:val="00FB2E58"/>
    <w:rsid w:val="00FC09D8"/>
    <w:rsid w:val="00F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EC250C5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2F2EBD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000000" w:themeColor="accent3"/>
      <w:sz w:val="20"/>
    </w:rPr>
  </w:style>
  <w:style w:type="paragraph" w:customStyle="1" w:styleId="ATGHeading1">
    <w:name w:val="ATG Heading 1"/>
    <w:basedOn w:val="Normal"/>
    <w:qFormat/>
    <w:rsid w:val="00EC4275"/>
    <w:pPr>
      <w:keepNext/>
      <w:shd w:val="clear" w:color="auto" w:fill="1BA6B7"/>
      <w:spacing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qFormat/>
    <w:rsid w:val="00EC4275"/>
    <w:pPr>
      <w:keepNext/>
      <w:pBdr>
        <w:bottom w:val="single" w:sz="4" w:space="1" w:color="000000" w:themeColor="accent3"/>
      </w:pBdr>
      <w:spacing w:before="240" w:after="120" w:line="240" w:lineRule="auto"/>
    </w:pPr>
    <w:rPr>
      <w:rFonts w:asciiTheme="majorHAnsi" w:hAnsiTheme="majorHAnsi"/>
      <w:b/>
      <w:color w:val="1BA6B7"/>
      <w:sz w:val="28"/>
    </w:rPr>
  </w:style>
  <w:style w:type="paragraph" w:customStyle="1" w:styleId="ATGHeading3">
    <w:name w:val="ATG Heading 3"/>
    <w:basedOn w:val="Normal"/>
    <w:qFormat/>
    <w:rsid w:val="00EC4275"/>
    <w:pPr>
      <w:keepNext/>
      <w:spacing w:before="180" w:after="60" w:line="240" w:lineRule="auto"/>
    </w:pPr>
    <w:rPr>
      <w:rFonts w:asciiTheme="majorHAnsi" w:hAnsiTheme="majorHAnsi"/>
      <w:b/>
      <w:color w:val="3D3D3D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3D3D3D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43A7B7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F2EBD"/>
    <w:pPr>
      <w:numPr>
        <w:numId w:val="3"/>
      </w:numPr>
    </w:pPr>
    <w:rPr>
      <w:color w:val="3D3D3D"/>
    </w:r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EC4275"/>
    <w:pPr>
      <w:shd w:val="clear" w:color="auto" w:fill="3D3D3D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3D3D3D" w:themeColor="background2"/>
      </w:pBdr>
      <w:spacing w:after="0" w:line="240" w:lineRule="auto"/>
    </w:pPr>
    <w:rPr>
      <w:rFonts w:asciiTheme="majorHAnsi" w:hAnsiTheme="majorHAnsi"/>
      <w:b/>
      <w:color w:val="43A7B7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character" w:styleId="Hyperlink">
    <w:name w:val="Hyperlink"/>
    <w:basedOn w:val="DefaultParagraphFont"/>
    <w:uiPriority w:val="99"/>
    <w:unhideWhenUsed/>
    <w:rsid w:val="00A55001"/>
    <w:rPr>
      <w:color w:val="43A7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E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339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98D"/>
    <w:rPr>
      <w:rFonts w:eastAsiaTheme="minorEastAsia"/>
    </w:rPr>
  </w:style>
  <w:style w:type="paragraph" w:styleId="ListParagraph">
    <w:name w:val="List Paragraph"/>
    <w:aliases w:val="Bulleted"/>
    <w:basedOn w:val="Normal"/>
    <w:uiPriority w:val="34"/>
    <w:qFormat/>
    <w:rsid w:val="0023517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43A7B7"/>
      </a:dk2>
      <a:lt2>
        <a:srgbClr val="3D3D3D"/>
      </a:lt2>
      <a:accent1>
        <a:srgbClr val="ACA2A5"/>
      </a:accent1>
      <a:accent2>
        <a:srgbClr val="43A7B7"/>
      </a:accent2>
      <a:accent3>
        <a:srgbClr val="000000"/>
      </a:accent3>
      <a:accent4>
        <a:srgbClr val="F9A663"/>
      </a:accent4>
      <a:accent5>
        <a:srgbClr val="E2D9DC"/>
      </a:accent5>
      <a:accent6>
        <a:srgbClr val="75CAE4"/>
      </a:accent6>
      <a:hlink>
        <a:srgbClr val="43A7B7"/>
      </a:hlink>
      <a:folHlink>
        <a:srgbClr val="ACA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Sheena Tolentino</cp:lastModifiedBy>
  <cp:revision>9</cp:revision>
  <cp:lastPrinted>2019-03-19T22:47:00Z</cp:lastPrinted>
  <dcterms:created xsi:type="dcterms:W3CDTF">2021-05-24T02:48:00Z</dcterms:created>
  <dcterms:modified xsi:type="dcterms:W3CDTF">2021-06-24T13:24:00Z</dcterms:modified>
</cp:coreProperties>
</file>