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0BAD" w14:textId="21F74B7A" w:rsidR="00834907" w:rsidRPr="00EC4275" w:rsidRDefault="009D43B9" w:rsidP="00EC4275">
      <w:pPr>
        <w:pStyle w:val="ATGHeading1"/>
      </w:pPr>
      <w:proofErr w:type="gramStart"/>
      <w:r>
        <w:t>Accounting</w:t>
      </w:r>
      <w:r w:rsidR="00826300">
        <w:t xml:space="preserve"> </w:t>
      </w:r>
      <w:r w:rsidR="00FB2E58">
        <w:t>:</w:t>
      </w:r>
      <w:proofErr w:type="gramEnd"/>
      <w:r w:rsidR="00FB2E58">
        <w:t xml:space="preserve"> </w:t>
      </w:r>
      <w:r w:rsidR="00606775">
        <w:t>Payroll Processing</w:t>
      </w:r>
      <w:r w:rsidR="00D3795A">
        <w:t>/Posting</w:t>
      </w:r>
      <w:r>
        <w:t xml:space="preserve"> SOP</w:t>
      </w:r>
    </w:p>
    <w:p w14:paraId="10A5C7FF" w14:textId="45F26266" w:rsidR="0023517B" w:rsidRPr="00842E50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>Objective/Purpose/ Why:</w:t>
      </w:r>
      <w:r w:rsidR="00606775">
        <w:rPr>
          <w:b/>
          <w:bCs/>
          <w:sz w:val="28"/>
        </w:rPr>
        <w:t xml:space="preserve"> </w:t>
      </w:r>
      <w:r w:rsidR="003B09F2">
        <w:rPr>
          <w:i/>
          <w:iCs/>
          <w:sz w:val="28"/>
        </w:rPr>
        <w:t xml:space="preserve">To </w:t>
      </w:r>
      <w:r w:rsidR="00603EF4">
        <w:rPr>
          <w:i/>
          <w:iCs/>
          <w:sz w:val="28"/>
        </w:rPr>
        <w:t>provide a posting process for the bi-weekly payroll and ensure payroll for all employees is recorded correctly in Deltek Vision and reconciles to ADP.</w:t>
      </w:r>
    </w:p>
    <w:p w14:paraId="7DA3285A" w14:textId="77777777" w:rsidR="00842E50" w:rsidRDefault="00842E50" w:rsidP="00661B25">
      <w:pPr>
        <w:rPr>
          <w:b/>
          <w:bCs/>
          <w:sz w:val="28"/>
        </w:rPr>
      </w:pPr>
    </w:p>
    <w:p w14:paraId="4A962106" w14:textId="472B8981" w:rsidR="00661B25" w:rsidRPr="00842E50" w:rsidRDefault="00661B25" w:rsidP="00661B25">
      <w:pPr>
        <w:rPr>
          <w:i/>
          <w:iCs/>
          <w:sz w:val="28"/>
        </w:rPr>
      </w:pPr>
      <w:r>
        <w:rPr>
          <w:b/>
          <w:bCs/>
          <w:sz w:val="28"/>
        </w:rPr>
        <w:t xml:space="preserve">Outcome: </w:t>
      </w:r>
      <w:r w:rsidR="003B09F2">
        <w:rPr>
          <w:i/>
          <w:iCs/>
          <w:sz w:val="28"/>
        </w:rPr>
        <w:t>Bi-weekly p</w:t>
      </w:r>
      <w:r w:rsidR="00842E50" w:rsidRPr="00842E50">
        <w:rPr>
          <w:i/>
          <w:iCs/>
          <w:sz w:val="28"/>
        </w:rPr>
        <w:t xml:space="preserve">ayroll </w:t>
      </w:r>
      <w:r w:rsidR="00842E50">
        <w:rPr>
          <w:i/>
          <w:iCs/>
          <w:sz w:val="28"/>
        </w:rPr>
        <w:t xml:space="preserve">is posted to the General Ledger </w:t>
      </w:r>
      <w:r w:rsidR="003B09F2">
        <w:rPr>
          <w:i/>
          <w:iCs/>
          <w:sz w:val="28"/>
        </w:rPr>
        <w:t xml:space="preserve">in Vision and </w:t>
      </w:r>
      <w:r w:rsidR="00842E50">
        <w:rPr>
          <w:i/>
          <w:iCs/>
          <w:sz w:val="28"/>
        </w:rPr>
        <w:t>reconciles to payroll processed by ADP.</w:t>
      </w:r>
    </w:p>
    <w:p w14:paraId="5435497B" w14:textId="1B50D22C" w:rsidR="005832B5" w:rsidRDefault="005832B5" w:rsidP="0023517B">
      <w:pPr>
        <w:rPr>
          <w:b/>
          <w:bCs/>
          <w:sz w:val="28"/>
        </w:rPr>
      </w:pPr>
    </w:p>
    <w:p w14:paraId="069B9756" w14:textId="376D005A" w:rsidR="005832B5" w:rsidRPr="005832B5" w:rsidRDefault="005832B5" w:rsidP="0023517B">
      <w:pPr>
        <w:rPr>
          <w:i/>
          <w:iCs/>
          <w:sz w:val="28"/>
        </w:rPr>
      </w:pPr>
      <w:r>
        <w:rPr>
          <w:b/>
          <w:bCs/>
          <w:sz w:val="28"/>
        </w:rPr>
        <w:t>Subject Matter Expert:</w:t>
      </w:r>
      <w:r w:rsidR="00842E50">
        <w:rPr>
          <w:i/>
          <w:iCs/>
          <w:sz w:val="28"/>
        </w:rPr>
        <w:t xml:space="preserve"> Controller, Senior Corporate Accountant, Payroll Accountant</w:t>
      </w:r>
    </w:p>
    <w:p w14:paraId="5C53991E" w14:textId="0E26086A" w:rsidR="005832B5" w:rsidRDefault="005832B5" w:rsidP="0023517B">
      <w:pPr>
        <w:rPr>
          <w:b/>
          <w:bCs/>
          <w:sz w:val="28"/>
        </w:rPr>
      </w:pPr>
    </w:p>
    <w:p w14:paraId="5F425BDD" w14:textId="77777777" w:rsidR="00842E50" w:rsidRPr="00661B25" w:rsidRDefault="00842E50" w:rsidP="00842E50">
      <w:pPr>
        <w:rPr>
          <w:b/>
          <w:bCs/>
        </w:rPr>
      </w:pPr>
      <w:proofErr w:type="gramStart"/>
      <w:r>
        <w:rPr>
          <w:b/>
          <w:bCs/>
          <w:sz w:val="28"/>
        </w:rPr>
        <w:t>Process:</w:t>
      </w:r>
      <w:r>
        <w:rPr>
          <w:rFonts w:ascii="Arial" w:hAnsi="Arial" w:cs="Arial"/>
          <w:color w:val="222222"/>
          <w:spacing w:val="3"/>
          <w:sz w:val="26"/>
          <w:szCs w:val="26"/>
          <w:shd w:val="clear" w:color="auto" w:fill="FFFFFF"/>
        </w:rPr>
        <w:t>.</w:t>
      </w:r>
      <w:proofErr w:type="gramEnd"/>
      <w:r w:rsidRPr="00661B25">
        <w:rPr>
          <w:b/>
          <w:bCs/>
        </w:rPr>
        <w:t xml:space="preserve"> </w:t>
      </w:r>
    </w:p>
    <w:p w14:paraId="15A77501" w14:textId="4D5F0157" w:rsidR="00F05573" w:rsidRDefault="00BC08CE" w:rsidP="00834907">
      <w:r>
        <w:t>The following provides step-by-step procedures for posting the bi-weekly payroll batch in Vision:</w:t>
      </w:r>
    </w:p>
    <w:p w14:paraId="51ACA378" w14:textId="77777777" w:rsidR="00606775" w:rsidRDefault="00606775" w:rsidP="00834907">
      <w:r>
        <w:t xml:space="preserve">1. In Vision – Human Resources – Payroll – Payroll Processing </w:t>
      </w:r>
    </w:p>
    <w:p w14:paraId="7BE9A450" w14:textId="67081546" w:rsidR="00F05573" w:rsidRDefault="00606775" w:rsidP="00834907">
      <w:r>
        <w:t>2. Select Posting Run Box will appear – select/highlight payroll batch/seq to be posted</w:t>
      </w:r>
    </w:p>
    <w:p w14:paraId="6528FD7F" w14:textId="77777777" w:rsidR="00BC08CE" w:rsidRDefault="00606775" w:rsidP="00834907">
      <w:r>
        <w:t>3. Select Open</w:t>
      </w:r>
    </w:p>
    <w:p w14:paraId="3C2500BC" w14:textId="3FC434C3" w:rsidR="00606775" w:rsidRDefault="00BC08CE" w:rsidP="00834907">
      <w:r w:rsidRPr="00606775">
        <w:rPr>
          <w:noProof/>
        </w:rPr>
        <w:lastRenderedPageBreak/>
        <w:drawing>
          <wp:inline distT="0" distB="0" distL="0" distR="0" wp14:anchorId="110C8909" wp14:editId="5327FA8F">
            <wp:extent cx="5943600" cy="351599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A931" w14:textId="01516653" w:rsidR="00234090" w:rsidRDefault="00234090" w:rsidP="00834907"/>
    <w:p w14:paraId="3C97C3C3" w14:textId="0028B678" w:rsidR="00606775" w:rsidRDefault="00606775" w:rsidP="00834907">
      <w:r>
        <w:t>4. Payroll Processing screen will appear</w:t>
      </w:r>
    </w:p>
    <w:p w14:paraId="34ECBF22" w14:textId="77777777" w:rsidR="00606775" w:rsidRDefault="00606775" w:rsidP="00834907"/>
    <w:p w14:paraId="7DA95C5A" w14:textId="68592E47" w:rsidR="00234090" w:rsidRDefault="00606775" w:rsidP="00834907">
      <w:r w:rsidRPr="00606775">
        <w:rPr>
          <w:noProof/>
        </w:rPr>
        <w:drawing>
          <wp:inline distT="0" distB="0" distL="0" distR="0" wp14:anchorId="40514A69" wp14:editId="22A56422">
            <wp:extent cx="5943600" cy="1701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119" w14:textId="5FE5A159" w:rsidR="00234090" w:rsidRDefault="00234090" w:rsidP="00834907"/>
    <w:p w14:paraId="076BC84D" w14:textId="4CEFD3D7" w:rsidR="00234090" w:rsidRDefault="00234090" w:rsidP="00834907"/>
    <w:p w14:paraId="2850E991" w14:textId="77777777" w:rsidR="00606775" w:rsidRDefault="00606775" w:rsidP="00606775">
      <w:pPr>
        <w:pStyle w:val="ListParagraph"/>
        <w:spacing w:after="0" w:line="259" w:lineRule="auto"/>
        <w:ind w:left="360"/>
      </w:pPr>
      <w:r>
        <w:t>5. Select Process – Payroll Payments from drop down on the menu bar at top of screen</w:t>
      </w:r>
    </w:p>
    <w:p w14:paraId="279EBCD8" w14:textId="05458CCC" w:rsidR="00234090" w:rsidRDefault="00606775" w:rsidP="00834907">
      <w:r w:rsidRPr="00606775">
        <w:rPr>
          <w:noProof/>
        </w:rPr>
        <w:lastRenderedPageBreak/>
        <w:drawing>
          <wp:inline distT="0" distB="0" distL="0" distR="0" wp14:anchorId="21E1F1FE" wp14:editId="7B0824C4">
            <wp:extent cx="5943600" cy="324167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E7C7" w14:textId="41313434" w:rsidR="00606775" w:rsidRDefault="00606775" w:rsidP="00606775">
      <w:pPr>
        <w:pStyle w:val="ListParagraph"/>
        <w:spacing w:after="0" w:line="259" w:lineRule="auto"/>
        <w:ind w:left="360"/>
        <w:rPr>
          <w:noProof/>
        </w:rPr>
      </w:pPr>
      <w:r>
        <w:t>6. Deltek Vision warning box will appear. Select “Yes” to proceed with processing. Make sure all has been reviewed and verified before posting.</w:t>
      </w:r>
      <w:r w:rsidRPr="00606775">
        <w:rPr>
          <w:noProof/>
        </w:rPr>
        <w:t xml:space="preserve"> </w:t>
      </w:r>
    </w:p>
    <w:p w14:paraId="3204AF81" w14:textId="77777777" w:rsidR="00606775" w:rsidRDefault="00606775" w:rsidP="00606775">
      <w:pPr>
        <w:pStyle w:val="ListParagraph"/>
        <w:spacing w:after="0" w:line="259" w:lineRule="auto"/>
        <w:ind w:left="360"/>
      </w:pPr>
    </w:p>
    <w:p w14:paraId="719FEC19" w14:textId="0BA613E7" w:rsidR="00606775" w:rsidRDefault="00606775" w:rsidP="00606775">
      <w:pPr>
        <w:spacing w:after="0"/>
      </w:pPr>
      <w:r>
        <w:t>7.</w:t>
      </w:r>
      <w:r w:rsidRPr="00606775">
        <w:t xml:space="preserve"> </w:t>
      </w:r>
      <w:r>
        <w:t>Payroll Payment Processing Run screen will appear with list of employees for payment.</w:t>
      </w:r>
      <w:r w:rsidR="00B40530" w:rsidRPr="00B40530">
        <w:t xml:space="preserve"> </w:t>
      </w:r>
      <w:r w:rsidR="00B40530" w:rsidRPr="00606775">
        <w:rPr>
          <w:noProof/>
        </w:rPr>
        <w:drawing>
          <wp:inline distT="0" distB="0" distL="0" distR="0" wp14:anchorId="17BABEB1" wp14:editId="72323848">
            <wp:extent cx="943107" cy="228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840D" w14:textId="1F315E24" w:rsidR="00606775" w:rsidRDefault="00606775" w:rsidP="00606775">
      <w:pPr>
        <w:pStyle w:val="ListParagraph"/>
        <w:spacing w:after="0" w:line="259" w:lineRule="auto"/>
        <w:ind w:left="360"/>
      </w:pPr>
    </w:p>
    <w:p w14:paraId="2F1E058C" w14:textId="32694688" w:rsidR="00B40530" w:rsidRDefault="00B40530" w:rsidP="00B40530">
      <w:pPr>
        <w:pStyle w:val="ListParagraph"/>
        <w:spacing w:after="0" w:line="259" w:lineRule="auto"/>
        <w:ind w:left="360"/>
      </w:pPr>
      <w:r>
        <w:t>8.</w:t>
      </w:r>
      <w:r w:rsidRPr="00B40530">
        <w:t xml:space="preserve"> </w:t>
      </w:r>
      <w:r>
        <w:t xml:space="preserve">Select Assign Numbers (check numbers) (if greyed out, select preview </w:t>
      </w:r>
      <w:proofErr w:type="gramStart"/>
      <w:r>
        <w:t>payments</w:t>
      </w:r>
      <w:proofErr w:type="gramEnd"/>
      <w:r>
        <w:t xml:space="preserve"> and then assign numbers will appear)</w:t>
      </w:r>
      <w:r w:rsidRPr="00B40530">
        <w:t xml:space="preserve"> </w:t>
      </w:r>
      <w:r w:rsidRPr="00B40530">
        <w:rPr>
          <w:noProof/>
        </w:rPr>
        <w:drawing>
          <wp:inline distT="0" distB="0" distL="0" distR="0" wp14:anchorId="7C3C5F26" wp14:editId="7E3760AA">
            <wp:extent cx="1190625" cy="565914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4127" cy="5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1B5D" w14:textId="2DC79C69" w:rsidR="00606775" w:rsidRDefault="00606775" w:rsidP="00834907"/>
    <w:p w14:paraId="1BA561D1" w14:textId="47190ACC" w:rsidR="00B40530" w:rsidRDefault="00B40530" w:rsidP="00834907"/>
    <w:p w14:paraId="5E91A521" w14:textId="55E4C997" w:rsidR="00B40530" w:rsidRDefault="00B40530" w:rsidP="00B40530">
      <w:pPr>
        <w:spacing w:after="0"/>
      </w:pPr>
      <w:r>
        <w:t>9. Enter required information and select Assign:</w:t>
      </w:r>
    </w:p>
    <w:p w14:paraId="1478CD77" w14:textId="77777777" w:rsidR="00B40530" w:rsidRDefault="00B40530" w:rsidP="00B40530">
      <w:pPr>
        <w:pStyle w:val="ListParagraph"/>
        <w:numPr>
          <w:ilvl w:val="1"/>
          <w:numId w:val="12"/>
        </w:numPr>
        <w:spacing w:after="0" w:line="259" w:lineRule="auto"/>
      </w:pPr>
      <w:r>
        <w:t xml:space="preserve">Enter the beginning check number using the Pay Date and Sequential Number. For example, 4271801 or 5111801. </w:t>
      </w:r>
    </w:p>
    <w:p w14:paraId="796F05F9" w14:textId="77777777" w:rsidR="00B40530" w:rsidRDefault="00B40530" w:rsidP="00B40530">
      <w:pPr>
        <w:pStyle w:val="ListParagraph"/>
        <w:numPr>
          <w:ilvl w:val="1"/>
          <w:numId w:val="12"/>
        </w:numPr>
        <w:spacing w:after="0" w:line="259" w:lineRule="auto"/>
      </w:pPr>
      <w:r>
        <w:t>Assign to: Remaining Payments</w:t>
      </w:r>
    </w:p>
    <w:p w14:paraId="3345270E" w14:textId="77777777" w:rsidR="00B40530" w:rsidRDefault="00B40530" w:rsidP="00B40530">
      <w:pPr>
        <w:pStyle w:val="ListParagraph"/>
        <w:numPr>
          <w:ilvl w:val="1"/>
          <w:numId w:val="12"/>
        </w:numPr>
        <w:spacing w:after="0" w:line="259" w:lineRule="auto"/>
      </w:pPr>
      <w:r>
        <w:t>Assignment Order: Ascending</w:t>
      </w:r>
    </w:p>
    <w:p w14:paraId="7EF818D4" w14:textId="61A210E7" w:rsidR="00B40530" w:rsidRDefault="00B40530" w:rsidP="00B40530">
      <w:pPr>
        <w:pStyle w:val="ListParagraph"/>
        <w:numPr>
          <w:ilvl w:val="0"/>
          <w:numId w:val="13"/>
        </w:numPr>
        <w:spacing w:after="0"/>
      </w:pPr>
      <w:r>
        <w:t xml:space="preserve">Message box – Is </w:t>
      </w:r>
      <w:proofErr w:type="gramStart"/>
      <w:r>
        <w:t>this</w:t>
      </w:r>
      <w:proofErr w:type="gramEnd"/>
      <w:r>
        <w:t xml:space="preserve"> OK? Select “Yes”</w:t>
      </w:r>
    </w:p>
    <w:p w14:paraId="0EDD6791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>Screen will be populated with Payment Numbers</w:t>
      </w:r>
    </w:p>
    <w:p w14:paraId="5EDAE48A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>Select Print File Copy</w:t>
      </w:r>
    </w:p>
    <w:p w14:paraId="0E7E6B30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lastRenderedPageBreak/>
        <w:t>Deltek Two Part Payroll Check screen will appear.</w:t>
      </w:r>
    </w:p>
    <w:p w14:paraId="22E2B6E1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Select Download Report – Adobe PDF - Open</w:t>
      </w:r>
    </w:p>
    <w:p w14:paraId="6E8E902E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Pdf copy of checks will appear.</w:t>
      </w:r>
    </w:p>
    <w:p w14:paraId="6E3E289F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File Save As from Pdf copy</w:t>
      </w:r>
    </w:p>
    <w:p w14:paraId="61A95BF6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Select location – X HR Confidential Drive\Payroll Journals; select the appropriate folder for the current year (for example, PJ-2018)</w:t>
      </w:r>
    </w:p>
    <w:p w14:paraId="3939E47A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File name – Checks Pay Date. For example, CHECKS 5-11-18</w:t>
      </w:r>
    </w:p>
    <w:p w14:paraId="7CFEFCAD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Save</w:t>
      </w:r>
    </w:p>
    <w:p w14:paraId="5D306950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>Select Post from menu bar at top of screen</w:t>
      </w:r>
    </w:p>
    <w:p w14:paraId="254514A1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>Message box – Are you sure you want to proceed? Select “Yes”</w:t>
      </w:r>
    </w:p>
    <w:p w14:paraId="663533E9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>Message box – Would you like to print posting log? Select “Yes”</w:t>
      </w:r>
    </w:p>
    <w:p w14:paraId="2215602A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>Posting Log box will appear. Select print.</w:t>
      </w:r>
    </w:p>
    <w:p w14:paraId="29170207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Pdf of Payroll Posting Log will appear on screen. </w:t>
      </w:r>
    </w:p>
    <w:p w14:paraId="72B5870E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File Save As from Pdf copy</w:t>
      </w:r>
    </w:p>
    <w:p w14:paraId="390B0CFC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Select location – X HR Confidential Drive\Payroll Journals; select the appropriate folder for the current year (for example, PJ-2018)</w:t>
      </w:r>
    </w:p>
    <w:p w14:paraId="77FE04C6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File name – Payroll Posting Log Pay Date. For example, Payroll Posting Log_5-11-18</w:t>
      </w:r>
    </w:p>
    <w:p w14:paraId="670A08FA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Save</w:t>
      </w:r>
    </w:p>
    <w:p w14:paraId="07075224" w14:textId="77777777" w:rsidR="00B40530" w:rsidRDefault="00B40530" w:rsidP="00B40530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Pdf of Payroll Journal will also appear on screen. </w:t>
      </w:r>
    </w:p>
    <w:p w14:paraId="3EE6D119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File Save As from Pdf copy</w:t>
      </w:r>
    </w:p>
    <w:p w14:paraId="37F07164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Select location – X HR Confidential Drive\Payroll Journals; select the appropriate folder for the current year (for example, PJ-2018)</w:t>
      </w:r>
    </w:p>
    <w:p w14:paraId="1E3AE3D8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File name – Payroll Journal Pay Date. For example, Payroll Journal_5-11-18</w:t>
      </w:r>
    </w:p>
    <w:p w14:paraId="54439921" w14:textId="77777777" w:rsidR="00B40530" w:rsidRDefault="00B40530" w:rsidP="00B40530">
      <w:pPr>
        <w:pStyle w:val="ListParagraph"/>
        <w:numPr>
          <w:ilvl w:val="1"/>
          <w:numId w:val="13"/>
        </w:numPr>
        <w:spacing w:after="0" w:line="259" w:lineRule="auto"/>
      </w:pPr>
      <w:r>
        <w:t>Save</w:t>
      </w:r>
    </w:p>
    <w:p w14:paraId="3CD9EF32" w14:textId="0FBA32E0" w:rsidR="00234090" w:rsidRDefault="00234090" w:rsidP="00834907"/>
    <w:p w14:paraId="780AFACB" w14:textId="24936370" w:rsidR="00BC08CE" w:rsidRDefault="00BC08CE" w:rsidP="00BC08CE">
      <w:pPr>
        <w:rPr>
          <w:i/>
          <w:iCs/>
          <w:sz w:val="28"/>
        </w:rPr>
      </w:pPr>
      <w:r>
        <w:rPr>
          <w:b/>
          <w:bCs/>
          <w:sz w:val="28"/>
        </w:rPr>
        <w:t xml:space="preserve">Resources: </w:t>
      </w:r>
      <w:r w:rsidR="001B5DAA">
        <w:rPr>
          <w:i/>
          <w:iCs/>
          <w:sz w:val="28"/>
        </w:rPr>
        <w:t xml:space="preserve">Deltek Vision and </w:t>
      </w:r>
      <w:r w:rsidR="004F6BE8">
        <w:rPr>
          <w:i/>
          <w:iCs/>
          <w:sz w:val="28"/>
        </w:rPr>
        <w:t>ADP</w:t>
      </w:r>
    </w:p>
    <w:p w14:paraId="58443914" w14:textId="77777777" w:rsidR="00BC08CE" w:rsidRDefault="00BC08CE" w:rsidP="00BC08CE">
      <w:pPr>
        <w:rPr>
          <w:i/>
          <w:iCs/>
          <w:sz w:val="28"/>
        </w:rPr>
      </w:pPr>
    </w:p>
    <w:p w14:paraId="4C4E8D81" w14:textId="01ECB6F4" w:rsidR="00BC08CE" w:rsidRDefault="00BC08CE" w:rsidP="00BC08CE">
      <w:pPr>
        <w:rPr>
          <w:i/>
          <w:iCs/>
          <w:sz w:val="28"/>
        </w:rPr>
      </w:pPr>
      <w:r w:rsidRPr="002F0C4A">
        <w:rPr>
          <w:b/>
          <w:bCs/>
          <w:sz w:val="28"/>
        </w:rPr>
        <w:t>Definitions:</w:t>
      </w:r>
      <w:r>
        <w:rPr>
          <w:b/>
          <w:bCs/>
          <w:sz w:val="28"/>
        </w:rPr>
        <w:t xml:space="preserve"> </w:t>
      </w:r>
    </w:p>
    <w:p w14:paraId="713352E7" w14:textId="0D385B97" w:rsidR="003B09F2" w:rsidRDefault="003B09F2" w:rsidP="00BC08CE">
      <w:pPr>
        <w:rPr>
          <w:i/>
          <w:iCs/>
          <w:sz w:val="28"/>
        </w:rPr>
      </w:pPr>
      <w:r>
        <w:rPr>
          <w:i/>
          <w:iCs/>
          <w:sz w:val="28"/>
        </w:rPr>
        <w:t xml:space="preserve">Payroll Journal – Provides an </w:t>
      </w:r>
      <w:r w:rsidRPr="003B09F2">
        <w:rPr>
          <w:i/>
          <w:iCs/>
          <w:sz w:val="28"/>
        </w:rPr>
        <w:t>audit trail of all information processed while posting payroll. The primary purpose of this journal is to provide employee-level detail of the payroll postings and certain W-2 quarter-to-date and year-to-date figures.</w:t>
      </w:r>
    </w:p>
    <w:p w14:paraId="461E571E" w14:textId="4EA7480B" w:rsidR="001B5DAA" w:rsidRDefault="001B5DAA" w:rsidP="00BC08CE">
      <w:pPr>
        <w:rPr>
          <w:b/>
          <w:bCs/>
          <w:sz w:val="28"/>
        </w:rPr>
      </w:pPr>
      <w:r>
        <w:rPr>
          <w:i/>
          <w:iCs/>
          <w:sz w:val="28"/>
        </w:rPr>
        <w:t>Payroll Posting Log – Lists the general ledger accounts that were affected by the posting and shows the total amounts debited and credited to each account.</w:t>
      </w:r>
    </w:p>
    <w:p w14:paraId="753E6974" w14:textId="76607C2D" w:rsidR="00234090" w:rsidRDefault="00234090" w:rsidP="00834907"/>
    <w:p w14:paraId="6E88C00F" w14:textId="0F3CE714" w:rsidR="00234090" w:rsidRDefault="00234090" w:rsidP="00834907"/>
    <w:p w14:paraId="2E79A5D6" w14:textId="0BDBC5BB" w:rsidR="00234090" w:rsidRDefault="00234090" w:rsidP="00834907"/>
    <w:p w14:paraId="093D5940" w14:textId="11959637" w:rsidR="00234090" w:rsidRDefault="00234090" w:rsidP="00834907"/>
    <w:p w14:paraId="32B064AB" w14:textId="735CBF5B" w:rsidR="00234090" w:rsidRDefault="00234090" w:rsidP="00834907"/>
    <w:p w14:paraId="4825E91D" w14:textId="716CDC77" w:rsidR="00BF5FFC" w:rsidRDefault="00BF5FFC" w:rsidP="00834907"/>
    <w:p w14:paraId="7852C6C0" w14:textId="1A9FA7F7" w:rsidR="00BF5FFC" w:rsidRDefault="00BF5FFC" w:rsidP="00834907"/>
    <w:p w14:paraId="79FB7E14" w14:textId="77777777" w:rsidR="00BF5FFC" w:rsidRDefault="00BF5FFC" w:rsidP="00834907"/>
    <w:p w14:paraId="4E54E07B" w14:textId="2934B3B0" w:rsidR="00234090" w:rsidRDefault="00234090" w:rsidP="00834907"/>
    <w:p w14:paraId="6462FFF0" w14:textId="77777777" w:rsidR="00234090" w:rsidRDefault="00234090" w:rsidP="00834907"/>
    <w:sectPr w:rsidR="00234090" w:rsidSect="00051BD4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852F" w14:textId="77777777" w:rsidR="002F0A60" w:rsidRDefault="002F0A60" w:rsidP="008F7176">
      <w:pPr>
        <w:spacing w:after="0" w:line="240" w:lineRule="auto"/>
      </w:pPr>
      <w:r>
        <w:separator/>
      </w:r>
    </w:p>
  </w:endnote>
  <w:endnote w:type="continuationSeparator" w:id="0">
    <w:p w14:paraId="3D2B8420" w14:textId="77777777" w:rsidR="002F0A60" w:rsidRDefault="002F0A60" w:rsidP="008F7176">
      <w:pPr>
        <w:spacing w:after="0" w:line="240" w:lineRule="auto"/>
      </w:pPr>
      <w:r>
        <w:continuationSeparator/>
      </w:r>
    </w:p>
  </w:endnote>
  <w:endnote w:type="continuationNotice" w:id="1">
    <w:p w14:paraId="315C8AA6" w14:textId="77777777" w:rsidR="002F0A60" w:rsidRDefault="002F0A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34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C979D" w14:textId="46E06510" w:rsidR="00BF5FFC" w:rsidRDefault="00BF5FFC" w:rsidP="00BF5FFC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>
          <w:rPr>
            <w:b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E8E" w14:textId="5B5A58B8" w:rsidR="005832B5" w:rsidRDefault="005832B5" w:rsidP="005832B5">
    <w:pPr>
      <w:pStyle w:val="Footer"/>
      <w:jc w:val="left"/>
    </w:pPr>
    <w:r>
      <w:t>Revision Date:  01.01.2021</w:t>
    </w:r>
    <w:r w:rsidR="00FB2E58">
      <w:t xml:space="preserve"> | Prepared By: </w:t>
    </w:r>
    <w:proofErr w:type="gramStart"/>
    <w:r w:rsidR="00FB2E58">
      <w:t>XXXXXXX  |</w:t>
    </w:r>
    <w:proofErr w:type="gramEnd"/>
    <w:r w:rsidR="00FB2E58">
      <w:t xml:space="preserve"> Approved By: XXXXXXXXX</w:t>
    </w:r>
    <w:r>
      <w:tab/>
    </w:r>
  </w:p>
  <w:p w14:paraId="31A73ABA" w14:textId="28B9B571" w:rsidR="00B239BD" w:rsidRPr="00EE081E" w:rsidRDefault="00B239BD" w:rsidP="00EE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D4A1" w14:textId="77777777" w:rsidR="002F0A60" w:rsidRDefault="002F0A60" w:rsidP="008F7176">
      <w:pPr>
        <w:spacing w:after="0" w:line="240" w:lineRule="auto"/>
      </w:pPr>
      <w:r>
        <w:separator/>
      </w:r>
    </w:p>
  </w:footnote>
  <w:footnote w:type="continuationSeparator" w:id="0">
    <w:p w14:paraId="6C707414" w14:textId="77777777" w:rsidR="002F0A60" w:rsidRDefault="002F0A60" w:rsidP="008F7176">
      <w:pPr>
        <w:spacing w:after="0" w:line="240" w:lineRule="auto"/>
      </w:pPr>
      <w:r>
        <w:continuationSeparator/>
      </w:r>
    </w:p>
  </w:footnote>
  <w:footnote w:type="continuationNotice" w:id="1">
    <w:p w14:paraId="02A107D6" w14:textId="77777777" w:rsidR="002F0A60" w:rsidRDefault="002F0A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6C4E" w14:textId="7271A741" w:rsidR="00200259" w:rsidRDefault="00EC4275" w:rsidP="00200259">
    <w:pPr>
      <w:pStyle w:val="Header"/>
    </w:pPr>
    <w:r>
      <w:rPr>
        <w:noProof/>
      </w:rPr>
      <w:drawing>
        <wp:inline distT="0" distB="0" distL="0" distR="0" wp14:anchorId="28FA0DA5" wp14:editId="3D86AB97">
          <wp:extent cx="1280160" cy="979490"/>
          <wp:effectExtent l="0" t="0" r="0" b="0"/>
          <wp:docPr id="10" name="Picture 10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A5BEE" w14:textId="2D1581EB" w:rsidR="00234090" w:rsidRDefault="00234090" w:rsidP="00200259">
    <w:pPr>
      <w:pStyle w:val="Header"/>
    </w:pPr>
  </w:p>
  <w:p w14:paraId="2D25E0A6" w14:textId="77777777" w:rsidR="00234090" w:rsidRPr="00976EAB" w:rsidRDefault="00234090" w:rsidP="0020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914" w14:textId="0C1D07F7" w:rsidR="00692954" w:rsidRDefault="00EC4275" w:rsidP="00692954">
    <w:pPr>
      <w:pStyle w:val="Header"/>
    </w:pPr>
    <w:r>
      <w:rPr>
        <w:noProof/>
      </w:rPr>
      <w:drawing>
        <wp:inline distT="0" distB="0" distL="0" distR="0" wp14:anchorId="754A14DF" wp14:editId="0A522333">
          <wp:extent cx="1280160" cy="979490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C73731" w14:textId="059D2FF1" w:rsidR="00234090" w:rsidRDefault="00234090" w:rsidP="00692954">
    <w:pPr>
      <w:pStyle w:val="Header"/>
    </w:pPr>
  </w:p>
  <w:p w14:paraId="7A44DB8E" w14:textId="77777777" w:rsidR="00234090" w:rsidRPr="00976EAB" w:rsidRDefault="00234090" w:rsidP="0069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7CA"/>
    <w:multiLevelType w:val="hybridMultilevel"/>
    <w:tmpl w:val="6018D7A6"/>
    <w:lvl w:ilvl="0" w:tplc="5FB61F20">
      <w:start w:val="1"/>
      <w:numFmt w:val="bullet"/>
      <w:pStyle w:val="ATGBoxBullet1"/>
      <w:lvlText w:val="●"/>
      <w:lvlJc w:val="left"/>
      <w:pPr>
        <w:ind w:left="360" w:hanging="360"/>
      </w:pPr>
      <w:rPr>
        <w:rFonts w:ascii="Arial" w:hAnsi="Arial" w:hint="default"/>
        <w:color w:val="43A7B7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87D8D3F2"/>
    <w:lvl w:ilvl="0" w:tplc="BCF823B6">
      <w:start w:val="1"/>
      <w:numFmt w:val="bullet"/>
      <w:pStyle w:val="ATGBodyBullet1"/>
      <w:lvlText w:val="●"/>
      <w:lvlJc w:val="left"/>
      <w:pPr>
        <w:ind w:left="720" w:hanging="360"/>
      </w:pPr>
      <w:rPr>
        <w:rFonts w:ascii="Arial" w:hAnsi="Arial"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4750"/>
    <w:multiLevelType w:val="hybridMultilevel"/>
    <w:tmpl w:val="8FA06FA8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16E"/>
    <w:multiLevelType w:val="hybridMultilevel"/>
    <w:tmpl w:val="AE3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A5F8D"/>
    <w:multiLevelType w:val="hybridMultilevel"/>
    <w:tmpl w:val="557A9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B50A3"/>
    <w:multiLevelType w:val="hybridMultilevel"/>
    <w:tmpl w:val="8DC8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12B6"/>
    <w:multiLevelType w:val="hybridMultilevel"/>
    <w:tmpl w:val="28D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A0159"/>
    <w:multiLevelType w:val="hybridMultilevel"/>
    <w:tmpl w:val="BE50A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3D3D3D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trackedChange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342F8"/>
    <w:rsid w:val="00051BD4"/>
    <w:rsid w:val="00131D19"/>
    <w:rsid w:val="001A581E"/>
    <w:rsid w:val="001B5DAA"/>
    <w:rsid w:val="001C1847"/>
    <w:rsid w:val="001C75DE"/>
    <w:rsid w:val="001F2DC6"/>
    <w:rsid w:val="001F563E"/>
    <w:rsid w:val="00200259"/>
    <w:rsid w:val="00213A27"/>
    <w:rsid w:val="00222235"/>
    <w:rsid w:val="00234090"/>
    <w:rsid w:val="0023517B"/>
    <w:rsid w:val="00266426"/>
    <w:rsid w:val="002B3998"/>
    <w:rsid w:val="002C38AA"/>
    <w:rsid w:val="002D55FD"/>
    <w:rsid w:val="002E3047"/>
    <w:rsid w:val="002F0A60"/>
    <w:rsid w:val="002F0C4A"/>
    <w:rsid w:val="002F2EBD"/>
    <w:rsid w:val="00324BDB"/>
    <w:rsid w:val="00374B70"/>
    <w:rsid w:val="00377CE8"/>
    <w:rsid w:val="0038202B"/>
    <w:rsid w:val="0039333C"/>
    <w:rsid w:val="003B09F2"/>
    <w:rsid w:val="003D110D"/>
    <w:rsid w:val="00414C64"/>
    <w:rsid w:val="00435311"/>
    <w:rsid w:val="00486D6E"/>
    <w:rsid w:val="004E1FE0"/>
    <w:rsid w:val="004F6BE8"/>
    <w:rsid w:val="005178F5"/>
    <w:rsid w:val="00563AB3"/>
    <w:rsid w:val="00564A3C"/>
    <w:rsid w:val="00575A88"/>
    <w:rsid w:val="005832B5"/>
    <w:rsid w:val="005B68E0"/>
    <w:rsid w:val="00603EF4"/>
    <w:rsid w:val="00606775"/>
    <w:rsid w:val="0061041E"/>
    <w:rsid w:val="00656672"/>
    <w:rsid w:val="00661B25"/>
    <w:rsid w:val="006620C7"/>
    <w:rsid w:val="00684B26"/>
    <w:rsid w:val="00692954"/>
    <w:rsid w:val="006B259E"/>
    <w:rsid w:val="006E4469"/>
    <w:rsid w:val="007B495D"/>
    <w:rsid w:val="007C3F8B"/>
    <w:rsid w:val="007E46FD"/>
    <w:rsid w:val="00826300"/>
    <w:rsid w:val="008323E4"/>
    <w:rsid w:val="00833A2E"/>
    <w:rsid w:val="00834907"/>
    <w:rsid w:val="00842E50"/>
    <w:rsid w:val="00865A7A"/>
    <w:rsid w:val="008D17F5"/>
    <w:rsid w:val="008D7EBA"/>
    <w:rsid w:val="008F5FAE"/>
    <w:rsid w:val="008F7176"/>
    <w:rsid w:val="008F78F5"/>
    <w:rsid w:val="00901A59"/>
    <w:rsid w:val="0092229C"/>
    <w:rsid w:val="0097292C"/>
    <w:rsid w:val="00976EAB"/>
    <w:rsid w:val="009D43B9"/>
    <w:rsid w:val="00A02757"/>
    <w:rsid w:val="00A138F6"/>
    <w:rsid w:val="00A148CA"/>
    <w:rsid w:val="00A16F2B"/>
    <w:rsid w:val="00A55001"/>
    <w:rsid w:val="00A766FE"/>
    <w:rsid w:val="00AC75C9"/>
    <w:rsid w:val="00B239BD"/>
    <w:rsid w:val="00B40530"/>
    <w:rsid w:val="00B8492A"/>
    <w:rsid w:val="00BC08CE"/>
    <w:rsid w:val="00BF5FFC"/>
    <w:rsid w:val="00C85444"/>
    <w:rsid w:val="00CF4992"/>
    <w:rsid w:val="00D00340"/>
    <w:rsid w:val="00D3795A"/>
    <w:rsid w:val="00DE58BE"/>
    <w:rsid w:val="00E25502"/>
    <w:rsid w:val="00E3398D"/>
    <w:rsid w:val="00E353DE"/>
    <w:rsid w:val="00EA4F42"/>
    <w:rsid w:val="00EC302D"/>
    <w:rsid w:val="00EC4275"/>
    <w:rsid w:val="00EC6FF7"/>
    <w:rsid w:val="00EE081E"/>
    <w:rsid w:val="00F05573"/>
    <w:rsid w:val="00F5334A"/>
    <w:rsid w:val="00F66F80"/>
    <w:rsid w:val="00F874AD"/>
    <w:rsid w:val="00FB2E58"/>
    <w:rsid w:val="00FC09D8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C250C5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2F2EBD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EC4275"/>
    <w:pPr>
      <w:keepNext/>
      <w:shd w:val="clear" w:color="auto" w:fill="1BA6B7"/>
      <w:spacing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qFormat/>
    <w:rsid w:val="00EC4275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1BA6B7"/>
      <w:sz w:val="28"/>
    </w:rPr>
  </w:style>
  <w:style w:type="paragraph" w:customStyle="1" w:styleId="ATGHeading3">
    <w:name w:val="ATG Heading 3"/>
    <w:basedOn w:val="Normal"/>
    <w:qFormat/>
    <w:rsid w:val="00EC4275"/>
    <w:pPr>
      <w:keepNext/>
      <w:spacing w:before="180" w:after="60" w:line="240" w:lineRule="auto"/>
    </w:pPr>
    <w:rPr>
      <w:rFonts w:asciiTheme="majorHAnsi" w:hAnsiTheme="majorHAnsi"/>
      <w:b/>
      <w:color w:val="3D3D3D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3D3D3D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43A7B7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F2EBD"/>
    <w:pPr>
      <w:numPr>
        <w:numId w:val="3"/>
      </w:numPr>
    </w:pPr>
    <w:rPr>
      <w:color w:val="3D3D3D"/>
    </w:r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EC4275"/>
    <w:pPr>
      <w:shd w:val="clear" w:color="auto" w:fill="3D3D3D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3D3D3D" w:themeColor="background2"/>
      </w:pBdr>
      <w:spacing w:after="0" w:line="240" w:lineRule="auto"/>
    </w:pPr>
    <w:rPr>
      <w:rFonts w:asciiTheme="majorHAnsi" w:hAnsiTheme="majorHAnsi"/>
      <w:b/>
      <w:color w:val="43A7B7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55001"/>
    <w:rPr>
      <w:color w:val="43A7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E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339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98D"/>
    <w:rPr>
      <w:rFonts w:eastAsiaTheme="minorEastAsia"/>
    </w:rPr>
  </w:style>
  <w:style w:type="paragraph" w:styleId="ListParagraph">
    <w:name w:val="List Paragraph"/>
    <w:aliases w:val="Bulleted"/>
    <w:basedOn w:val="Normal"/>
    <w:uiPriority w:val="34"/>
    <w:qFormat/>
    <w:rsid w:val="0023517B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05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5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5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5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5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ACA2A5"/>
      </a:accent1>
      <a:accent2>
        <a:srgbClr val="43A7B7"/>
      </a:accent2>
      <a:accent3>
        <a:srgbClr val="000000"/>
      </a:accent3>
      <a:accent4>
        <a:srgbClr val="F9A663"/>
      </a:accent4>
      <a:accent5>
        <a:srgbClr val="E2D9DC"/>
      </a:accent5>
      <a:accent6>
        <a:srgbClr val="75CAE4"/>
      </a:accent6>
      <a:hlink>
        <a:srgbClr val="43A7B7"/>
      </a:hlink>
      <a:folHlink>
        <a:srgbClr val="ACA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4DD37579A5D4D9C7ADC1394F5150B" ma:contentTypeVersion="6" ma:contentTypeDescription="Create a new document." ma:contentTypeScope="" ma:versionID="38a6b59beb45569c8ffe6769c5102f5f">
  <xsd:schema xmlns:xsd="http://www.w3.org/2001/XMLSchema" xmlns:xs="http://www.w3.org/2001/XMLSchema" xmlns:p="http://schemas.microsoft.com/office/2006/metadata/properties" xmlns:ns2="39cba505-956e-4c02-aeda-0bc52db65f4a" xmlns:ns3="3762715f-52d0-4251-8bca-f537485b877a" targetNamespace="http://schemas.microsoft.com/office/2006/metadata/properties" ma:root="true" ma:fieldsID="daf7ec00bea14252e168199a0a872a9e" ns2:_="" ns3:_="">
    <xsd:import namespace="39cba505-956e-4c02-aeda-0bc52db65f4a"/>
    <xsd:import namespace="3762715f-52d0-4251-8bca-f537485b8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ba505-956e-4c02-aeda-0bc52db65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2715f-52d0-4251-8bca-f537485b8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659D2-CF72-4A73-B4BF-E7FD39E8E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F010B-9015-4D07-A1AC-BBE06D83B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ba505-956e-4c02-aeda-0bc52db65f4a"/>
    <ds:schemaRef ds:uri="3762715f-52d0-4251-8bca-f537485b8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94FDC7-FF76-4C63-9EF0-07BD2BD01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Kimberlee McDonald</cp:lastModifiedBy>
  <cp:revision>10</cp:revision>
  <cp:lastPrinted>2019-03-19T22:47:00Z</cp:lastPrinted>
  <dcterms:created xsi:type="dcterms:W3CDTF">2021-08-05T22:09:00Z</dcterms:created>
  <dcterms:modified xsi:type="dcterms:W3CDTF">2021-09-10T22:17:00Z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0x0101008044DD37579A5D4D9C7ADC1394F5150B</vt:lpwstr>
  </property>
</Properties>
</file>