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C7FF" w14:textId="28300DFC" w:rsidR="0023517B" w:rsidRDefault="00FB2E58" w:rsidP="045A38F0">
      <w:pPr>
        <w:pStyle w:val="ATGHeading1"/>
        <w:rPr>
          <w:bCs/>
          <w:sz w:val="28"/>
          <w:szCs w:val="28"/>
        </w:rPr>
      </w:pPr>
      <w:r>
        <w:t xml:space="preserve"> </w:t>
      </w:r>
      <w:r w:rsidR="00641D77">
        <w:rPr>
          <w:bCs/>
          <w:sz w:val="28"/>
          <w:szCs w:val="28"/>
        </w:rPr>
        <w:t>Planning</w:t>
      </w:r>
      <w:r w:rsidR="55AC67F4" w:rsidRPr="4D5D8E10">
        <w:rPr>
          <w:bCs/>
          <w:sz w:val="28"/>
          <w:szCs w:val="28"/>
        </w:rPr>
        <w:t xml:space="preserve">: </w:t>
      </w:r>
      <w:r w:rsidR="00641D77">
        <w:rPr>
          <w:bCs/>
          <w:sz w:val="28"/>
          <w:szCs w:val="28"/>
        </w:rPr>
        <w:t>TDM Support of TP&amp;P</w:t>
      </w:r>
    </w:p>
    <w:p w14:paraId="5435497B" w14:textId="6371F0D8" w:rsidR="005832B5" w:rsidRDefault="55AC67F4" w:rsidP="4D5D8E10">
      <w:pPr>
        <w:rPr>
          <w:b/>
          <w:bCs/>
          <w:sz w:val="28"/>
          <w:szCs w:val="28"/>
        </w:rPr>
      </w:pPr>
      <w:r w:rsidRPr="4D5D8E10">
        <w:rPr>
          <w:b/>
          <w:bCs/>
          <w:sz w:val="28"/>
          <w:szCs w:val="28"/>
        </w:rPr>
        <w:t>Objective/Purpose/ Why:</w:t>
      </w:r>
    </w:p>
    <w:p w14:paraId="4AEDA108" w14:textId="67F5EE32" w:rsidR="00832222" w:rsidRDefault="00832222" w:rsidP="78FC7B12">
      <w:pPr>
        <w:rPr>
          <w:sz w:val="28"/>
          <w:szCs w:val="28"/>
        </w:rPr>
      </w:pPr>
      <w:r w:rsidRPr="75D9BAA5">
        <w:rPr>
          <w:sz w:val="28"/>
          <w:szCs w:val="28"/>
        </w:rPr>
        <w:t xml:space="preserve">Corridor forecasting involves </w:t>
      </w:r>
      <w:r w:rsidR="005D7DE3" w:rsidRPr="75D9BAA5">
        <w:rPr>
          <w:sz w:val="28"/>
          <w:szCs w:val="28"/>
        </w:rPr>
        <w:t xml:space="preserve">assessing traffic on an existing </w:t>
      </w:r>
      <w:r w:rsidR="000A4C84" w:rsidRPr="75D9BAA5">
        <w:rPr>
          <w:sz w:val="28"/>
          <w:szCs w:val="28"/>
        </w:rPr>
        <w:t xml:space="preserve">or future </w:t>
      </w:r>
      <w:r w:rsidR="005D7DE3" w:rsidRPr="75D9BAA5">
        <w:rPr>
          <w:sz w:val="28"/>
          <w:szCs w:val="28"/>
        </w:rPr>
        <w:t>roadway</w:t>
      </w:r>
      <w:r w:rsidR="000A4C84" w:rsidRPr="75D9BAA5">
        <w:rPr>
          <w:sz w:val="28"/>
          <w:szCs w:val="28"/>
        </w:rPr>
        <w:t>. This involves anal</w:t>
      </w:r>
      <w:r w:rsidR="00D42CBD" w:rsidRPr="75D9BAA5">
        <w:rPr>
          <w:sz w:val="28"/>
          <w:szCs w:val="28"/>
        </w:rPr>
        <w:t>yzing the traffic growth along the study corridor</w:t>
      </w:r>
      <w:r w:rsidR="00AE2ADC" w:rsidRPr="75D9BAA5">
        <w:rPr>
          <w:sz w:val="28"/>
          <w:szCs w:val="28"/>
        </w:rPr>
        <w:t xml:space="preserve"> and determining </w:t>
      </w:r>
      <w:r w:rsidR="00AA6EEB" w:rsidRPr="75D9BAA5">
        <w:rPr>
          <w:sz w:val="28"/>
          <w:szCs w:val="28"/>
        </w:rPr>
        <w:t>how t</w:t>
      </w:r>
      <w:r w:rsidR="56F82302" w:rsidRPr="75D9BAA5">
        <w:rPr>
          <w:sz w:val="28"/>
          <w:szCs w:val="28"/>
        </w:rPr>
        <w:t>raffic flows</w:t>
      </w:r>
      <w:r w:rsidR="003C2E1F" w:rsidRPr="75D9BAA5">
        <w:rPr>
          <w:sz w:val="28"/>
          <w:szCs w:val="28"/>
        </w:rPr>
        <w:t xml:space="preserve"> would </w:t>
      </w:r>
      <w:r w:rsidR="0FD8192E" w:rsidRPr="75D9BAA5">
        <w:rPr>
          <w:sz w:val="28"/>
          <w:szCs w:val="28"/>
        </w:rPr>
        <w:t>change as a result of</w:t>
      </w:r>
      <w:r w:rsidR="003C2E1F" w:rsidRPr="75D9BAA5">
        <w:rPr>
          <w:sz w:val="28"/>
          <w:szCs w:val="28"/>
        </w:rPr>
        <w:t xml:space="preserve"> new improvements</w:t>
      </w:r>
      <w:r w:rsidR="7842CD2B" w:rsidRPr="75D9BAA5">
        <w:rPr>
          <w:sz w:val="28"/>
          <w:szCs w:val="28"/>
        </w:rPr>
        <w:t xml:space="preserve"> or modifications</w:t>
      </w:r>
      <w:r w:rsidR="003C2E1F" w:rsidRPr="75D9BAA5">
        <w:rPr>
          <w:sz w:val="28"/>
          <w:szCs w:val="28"/>
        </w:rPr>
        <w:t xml:space="preserve"> to the </w:t>
      </w:r>
      <w:r w:rsidR="376BFB56" w:rsidRPr="75D9BAA5">
        <w:rPr>
          <w:sz w:val="28"/>
          <w:szCs w:val="28"/>
        </w:rPr>
        <w:t xml:space="preserve">transportation </w:t>
      </w:r>
      <w:r w:rsidR="003C2E1F" w:rsidRPr="75D9BAA5">
        <w:rPr>
          <w:sz w:val="28"/>
          <w:szCs w:val="28"/>
        </w:rPr>
        <w:t>system.</w:t>
      </w:r>
      <w:r w:rsidR="00D42CBD" w:rsidRPr="75D9BAA5">
        <w:rPr>
          <w:sz w:val="28"/>
          <w:szCs w:val="28"/>
        </w:rPr>
        <w:t xml:space="preserve"> Travel Demand Model</w:t>
      </w:r>
      <w:r w:rsidR="37706F1B" w:rsidRPr="75D9BAA5">
        <w:rPr>
          <w:sz w:val="28"/>
          <w:szCs w:val="28"/>
        </w:rPr>
        <w:t>s</w:t>
      </w:r>
      <w:r w:rsidR="00D42CBD" w:rsidRPr="75D9BAA5">
        <w:rPr>
          <w:sz w:val="28"/>
          <w:szCs w:val="28"/>
        </w:rPr>
        <w:t xml:space="preserve"> (TDM) </w:t>
      </w:r>
      <w:r w:rsidR="00AF549C" w:rsidRPr="75D9BAA5">
        <w:rPr>
          <w:sz w:val="28"/>
          <w:szCs w:val="28"/>
        </w:rPr>
        <w:t xml:space="preserve">provide insight on </w:t>
      </w:r>
      <w:r w:rsidR="0EDD902F" w:rsidRPr="75D9BAA5">
        <w:rPr>
          <w:sz w:val="28"/>
          <w:szCs w:val="28"/>
        </w:rPr>
        <w:t xml:space="preserve">the </w:t>
      </w:r>
      <w:r w:rsidR="00F2593F" w:rsidRPr="75D9BAA5">
        <w:rPr>
          <w:sz w:val="28"/>
          <w:szCs w:val="28"/>
        </w:rPr>
        <w:t>demographic and traffic growth</w:t>
      </w:r>
      <w:r w:rsidR="21180356" w:rsidRPr="75D9BAA5">
        <w:rPr>
          <w:sz w:val="28"/>
          <w:szCs w:val="28"/>
        </w:rPr>
        <w:t xml:space="preserve"> of a given area</w:t>
      </w:r>
      <w:r w:rsidR="00F2593F" w:rsidRPr="75D9BAA5">
        <w:rPr>
          <w:sz w:val="28"/>
          <w:szCs w:val="28"/>
        </w:rPr>
        <w:t xml:space="preserve"> </w:t>
      </w:r>
      <w:r w:rsidR="50315B51" w:rsidRPr="75D9BAA5">
        <w:rPr>
          <w:sz w:val="28"/>
          <w:szCs w:val="28"/>
        </w:rPr>
        <w:t>and can be used to evaluate</w:t>
      </w:r>
      <w:r w:rsidR="00ED56B8" w:rsidRPr="75D9BAA5">
        <w:rPr>
          <w:sz w:val="28"/>
          <w:szCs w:val="28"/>
        </w:rPr>
        <w:t xml:space="preserve"> the change </w:t>
      </w:r>
      <w:r w:rsidR="7FF0EEB4" w:rsidRPr="75D9BAA5">
        <w:rPr>
          <w:sz w:val="28"/>
          <w:szCs w:val="28"/>
        </w:rPr>
        <w:t>to</w:t>
      </w:r>
      <w:r w:rsidR="00ED56B8" w:rsidRPr="75D9BAA5">
        <w:rPr>
          <w:sz w:val="28"/>
          <w:szCs w:val="28"/>
        </w:rPr>
        <w:t xml:space="preserve"> </w:t>
      </w:r>
      <w:r w:rsidR="006C3985" w:rsidRPr="75D9BAA5">
        <w:rPr>
          <w:sz w:val="28"/>
          <w:szCs w:val="28"/>
        </w:rPr>
        <w:t xml:space="preserve">traffic </w:t>
      </w:r>
      <w:r w:rsidR="005778C6" w:rsidRPr="75D9BAA5">
        <w:rPr>
          <w:sz w:val="28"/>
          <w:szCs w:val="28"/>
        </w:rPr>
        <w:t>flow</w:t>
      </w:r>
      <w:r w:rsidR="7BF7B88E" w:rsidRPr="75D9BAA5">
        <w:rPr>
          <w:sz w:val="28"/>
          <w:szCs w:val="28"/>
        </w:rPr>
        <w:t>s</w:t>
      </w:r>
      <w:r w:rsidR="005778C6" w:rsidRPr="75D9BAA5">
        <w:rPr>
          <w:sz w:val="28"/>
          <w:szCs w:val="28"/>
        </w:rPr>
        <w:t xml:space="preserve"> </w:t>
      </w:r>
      <w:r w:rsidR="00AE2ADC" w:rsidRPr="75D9BAA5">
        <w:rPr>
          <w:sz w:val="28"/>
          <w:szCs w:val="28"/>
        </w:rPr>
        <w:t xml:space="preserve">in the study area </w:t>
      </w:r>
      <w:r w:rsidR="3E7D0CD8" w:rsidRPr="75D9BAA5">
        <w:rPr>
          <w:sz w:val="28"/>
          <w:szCs w:val="28"/>
        </w:rPr>
        <w:t>resulting from the transportation improvements or modifications.</w:t>
      </w:r>
    </w:p>
    <w:p w14:paraId="525CEF1C" w14:textId="77777777" w:rsidR="00047477" w:rsidRPr="00047477" w:rsidRDefault="00047477" w:rsidP="78FC7B12">
      <w:pPr>
        <w:rPr>
          <w:color w:val="3D3D3D" w:themeColor="text1"/>
          <w:sz w:val="28"/>
          <w:szCs w:val="28"/>
        </w:rPr>
      </w:pPr>
    </w:p>
    <w:p w14:paraId="6A452FA7" w14:textId="0D8E5B69" w:rsidR="6DF288AD" w:rsidRPr="00047477" w:rsidRDefault="6DF288AD" w:rsidP="75D9BAA5">
      <w:pPr>
        <w:rPr>
          <w:b/>
          <w:bCs/>
          <w:color w:val="3D3D3D" w:themeColor="text1"/>
          <w:sz w:val="28"/>
          <w:szCs w:val="28"/>
        </w:rPr>
      </w:pPr>
      <w:r w:rsidRPr="00047477">
        <w:rPr>
          <w:b/>
          <w:bCs/>
          <w:color w:val="3D3D3D" w:themeColor="text1"/>
          <w:sz w:val="28"/>
          <w:szCs w:val="28"/>
        </w:rPr>
        <w:t>The TxDOT-TPP SOP for corridor analysis can be referenced for the standard process to be followed when forecasting traffic for TPP projects</w:t>
      </w:r>
      <w:r w:rsidR="00047477" w:rsidRPr="00047477">
        <w:rPr>
          <w:b/>
          <w:bCs/>
          <w:color w:val="3D3D3D" w:themeColor="text1"/>
          <w:sz w:val="28"/>
          <w:szCs w:val="28"/>
        </w:rPr>
        <w:t>:</w:t>
      </w:r>
    </w:p>
    <w:p w14:paraId="6DF96ABD" w14:textId="0C519CF1" w:rsidR="00846AF3" w:rsidRDefault="00A2727E" w:rsidP="75D9BAA5">
      <w:pPr>
        <w:rPr>
          <w:b/>
          <w:bCs/>
          <w:color w:val="FF0000"/>
          <w:sz w:val="28"/>
          <w:szCs w:val="28"/>
        </w:rPr>
      </w:pPr>
      <w:hyperlink r:id="rId10" w:history="1">
        <w:r w:rsidR="00A763C3" w:rsidRPr="00802BBA">
          <w:rPr>
            <w:rStyle w:val="Hyperlink"/>
            <w:b/>
            <w:bCs/>
            <w:sz w:val="28"/>
            <w:szCs w:val="28"/>
          </w:rPr>
          <w:t>https://teams.microsoft.com/l/file/5CE7522B-218E-4D0A-B9EA-F212DA214B35?tenantId=31b2883e-6cb9-4fb8-9190-c37247992f9e&amp;fileType=pdf&amp;objectUrl=https%3A%2F%2Femailatg2.sharepoint.com%2Fsites%2FCorridorForecasting%2FShared%20Documents%2FGeneral%2FTXDOT%20TPP%20SOP%2FTPP_TAB_SOP_Oct2019.pdf&amp;baseUrl=https%3A%2F%2Femailatg2.sharepoint.com%2Fsites%2FCorridorForecasting&amp;serviceName=teams&amp;threadId=19:505d242cb6284059961fa7f370fb9f92@thread.skype&amp;groupId=c61f5289-2b1b-4cfe-af5d-8bc906954107</w:t>
        </w:r>
      </w:hyperlink>
      <w:r w:rsidR="00A763C3">
        <w:rPr>
          <w:b/>
          <w:bCs/>
          <w:color w:val="FF0000"/>
          <w:sz w:val="28"/>
          <w:szCs w:val="28"/>
        </w:rPr>
        <w:t xml:space="preserve"> </w:t>
      </w:r>
    </w:p>
    <w:p w14:paraId="0FA5B3ED" w14:textId="3D8EF7B9" w:rsidR="0063679E" w:rsidRDefault="005832B5" w:rsidP="0023517B">
      <w:pPr>
        <w:rPr>
          <w:b/>
          <w:bCs/>
          <w:sz w:val="28"/>
        </w:rPr>
      </w:pPr>
      <w:r>
        <w:rPr>
          <w:b/>
          <w:bCs/>
          <w:sz w:val="28"/>
        </w:rPr>
        <w:t xml:space="preserve">Subject Matter Expert: </w:t>
      </w:r>
    </w:p>
    <w:p w14:paraId="5C53991E" w14:textId="36E9D97A" w:rsidR="005832B5" w:rsidRPr="0014336C" w:rsidRDefault="00381450" w:rsidP="00DB40BF">
      <w:pPr>
        <w:spacing w:after="0"/>
        <w:rPr>
          <w:sz w:val="28"/>
          <w:szCs w:val="28"/>
        </w:rPr>
      </w:pPr>
      <w:r w:rsidRPr="0014336C">
        <w:rPr>
          <w:sz w:val="28"/>
          <w:szCs w:val="28"/>
        </w:rPr>
        <w:t>Mike Chaney</w:t>
      </w:r>
    </w:p>
    <w:p w14:paraId="4448F7C2" w14:textId="1115AE77" w:rsidR="00381450" w:rsidRPr="0014336C" w:rsidRDefault="009C165B" w:rsidP="00DB40BF">
      <w:pPr>
        <w:spacing w:after="0"/>
        <w:rPr>
          <w:sz w:val="28"/>
          <w:szCs w:val="28"/>
        </w:rPr>
      </w:pPr>
      <w:r w:rsidRPr="0014336C">
        <w:rPr>
          <w:sz w:val="28"/>
          <w:szCs w:val="28"/>
        </w:rPr>
        <w:t xml:space="preserve">Email: </w:t>
      </w:r>
      <w:hyperlink r:id="rId11" w:history="1">
        <w:r w:rsidRPr="0014336C">
          <w:rPr>
            <w:sz w:val="28"/>
            <w:szCs w:val="28"/>
          </w:rPr>
          <w:t>MChaney@emailatg.com</w:t>
        </w:r>
      </w:hyperlink>
    </w:p>
    <w:p w14:paraId="51AC60B7" w14:textId="12052A77" w:rsidR="009C165B" w:rsidRPr="0014336C" w:rsidRDefault="00921F83" w:rsidP="00DB40BF">
      <w:pPr>
        <w:spacing w:after="0"/>
        <w:rPr>
          <w:sz w:val="28"/>
          <w:szCs w:val="28"/>
        </w:rPr>
      </w:pPr>
      <w:r w:rsidRPr="0014336C">
        <w:rPr>
          <w:sz w:val="28"/>
          <w:szCs w:val="28"/>
        </w:rPr>
        <w:t>Phone: 512.821.2081</w:t>
      </w:r>
    </w:p>
    <w:p w14:paraId="55C3C981" w14:textId="6EA020B4" w:rsidR="00DB40BF" w:rsidRDefault="00DB40BF" w:rsidP="0023517B">
      <w:pPr>
        <w:rPr>
          <w:b/>
          <w:bCs/>
          <w:sz w:val="28"/>
        </w:rPr>
      </w:pPr>
    </w:p>
    <w:p w14:paraId="7D952CC5" w14:textId="77777777" w:rsidR="00395A79" w:rsidRDefault="00395A79" w:rsidP="00344545">
      <w:pPr>
        <w:spacing w:after="0"/>
        <w:rPr>
          <w:sz w:val="28"/>
          <w:szCs w:val="28"/>
        </w:rPr>
      </w:pPr>
      <w:r>
        <w:rPr>
          <w:sz w:val="28"/>
          <w:szCs w:val="28"/>
        </w:rPr>
        <w:t>Michael Wagoner</w:t>
      </w:r>
    </w:p>
    <w:p w14:paraId="1013910E" w14:textId="29FC75C9" w:rsidR="0014336C" w:rsidRPr="00344545" w:rsidRDefault="00395A79" w:rsidP="003445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344545" w:rsidRPr="00344545">
        <w:rPr>
          <w:sz w:val="28"/>
          <w:szCs w:val="28"/>
        </w:rPr>
        <w:t>MWagoner@emailatg.com</w:t>
      </w:r>
    </w:p>
    <w:p w14:paraId="3B02EB2F" w14:textId="7CF48177" w:rsidR="00344545" w:rsidRDefault="00395A79" w:rsidP="75D9BAA5">
      <w:pPr>
        <w:rPr>
          <w:b/>
          <w:bCs/>
          <w:sz w:val="28"/>
          <w:szCs w:val="28"/>
        </w:rPr>
      </w:pPr>
      <w:r w:rsidRPr="75D9BAA5">
        <w:rPr>
          <w:sz w:val="28"/>
          <w:szCs w:val="28"/>
        </w:rPr>
        <w:t>Phone: 512.821.2081</w:t>
      </w:r>
    </w:p>
    <w:p w14:paraId="0EB500CA" w14:textId="16B75A14" w:rsidR="75D9BAA5" w:rsidRDefault="75D9BAA5" w:rsidP="75D9BAA5">
      <w:pPr>
        <w:rPr>
          <w:sz w:val="28"/>
          <w:szCs w:val="28"/>
        </w:rPr>
      </w:pPr>
    </w:p>
    <w:p w14:paraId="641D8F4A" w14:textId="75A574A1" w:rsidR="005832B5" w:rsidRPr="005832B5" w:rsidRDefault="005832B5" w:rsidP="78FC7B12">
      <w:pPr>
        <w:rPr>
          <w:b/>
          <w:bCs/>
          <w:sz w:val="28"/>
          <w:szCs w:val="28"/>
        </w:rPr>
      </w:pPr>
      <w:r w:rsidRPr="78FC7B12">
        <w:rPr>
          <w:b/>
          <w:bCs/>
          <w:sz w:val="28"/>
          <w:szCs w:val="28"/>
        </w:rPr>
        <w:t>Process</w:t>
      </w:r>
      <w:r w:rsidR="38947842" w:rsidRPr="78FC7B12">
        <w:rPr>
          <w:b/>
          <w:bCs/>
          <w:sz w:val="28"/>
          <w:szCs w:val="28"/>
        </w:rPr>
        <w:t xml:space="preserve"> for </w:t>
      </w:r>
      <w:r w:rsidR="1A7DBB9A" w:rsidRPr="78FC7B12">
        <w:rPr>
          <w:b/>
          <w:bCs/>
          <w:sz w:val="28"/>
          <w:szCs w:val="28"/>
        </w:rPr>
        <w:t>O</w:t>
      </w:r>
      <w:r w:rsidR="38947842" w:rsidRPr="78FC7B12">
        <w:rPr>
          <w:b/>
          <w:bCs/>
          <w:sz w:val="28"/>
          <w:szCs w:val="28"/>
        </w:rPr>
        <w:t>btaining TDMs</w:t>
      </w:r>
    </w:p>
    <w:p w14:paraId="4D14016D" w14:textId="59543A43" w:rsidR="005832B5" w:rsidRPr="000C6432" w:rsidRDefault="25B3D8DD" w:rsidP="005832B5">
      <w:pPr>
        <w:pStyle w:val="ATGBodyBullet1"/>
        <w:rPr>
          <w:sz w:val="28"/>
          <w:szCs w:val="28"/>
        </w:rPr>
      </w:pPr>
      <w:r w:rsidRPr="75D9BAA5">
        <w:rPr>
          <w:sz w:val="28"/>
          <w:szCs w:val="28"/>
        </w:rPr>
        <w:t>Execute a license agreement and r</w:t>
      </w:r>
      <w:r w:rsidR="00395A79" w:rsidRPr="75D9BAA5">
        <w:rPr>
          <w:sz w:val="28"/>
          <w:szCs w:val="28"/>
        </w:rPr>
        <w:t xml:space="preserve">equest </w:t>
      </w:r>
      <w:r w:rsidR="138879F5" w:rsidRPr="75D9BAA5">
        <w:rPr>
          <w:sz w:val="28"/>
          <w:szCs w:val="28"/>
        </w:rPr>
        <w:t xml:space="preserve">delivery of the </w:t>
      </w:r>
      <w:r w:rsidR="5B392533" w:rsidRPr="75D9BAA5">
        <w:rPr>
          <w:sz w:val="28"/>
          <w:szCs w:val="28"/>
        </w:rPr>
        <w:t xml:space="preserve">regional/statewide </w:t>
      </w:r>
      <w:r w:rsidR="00395A79" w:rsidRPr="75D9BAA5">
        <w:rPr>
          <w:sz w:val="28"/>
          <w:szCs w:val="28"/>
        </w:rPr>
        <w:t>TDM</w:t>
      </w:r>
      <w:r w:rsidR="64EBC71E" w:rsidRPr="75D9BAA5">
        <w:rPr>
          <w:sz w:val="28"/>
          <w:szCs w:val="28"/>
        </w:rPr>
        <w:t xml:space="preserve"> </w:t>
      </w:r>
      <w:r w:rsidR="5B09D2C2" w:rsidRPr="75D9BAA5">
        <w:rPr>
          <w:sz w:val="28"/>
          <w:szCs w:val="28"/>
        </w:rPr>
        <w:t>from appropriate parties:</w:t>
      </w:r>
    </w:p>
    <w:p w14:paraId="35E9FA27" w14:textId="4A40559A" w:rsidR="5B09D2C2" w:rsidRDefault="5B09D2C2" w:rsidP="78FC7B12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8FC7B12">
        <w:rPr>
          <w:sz w:val="28"/>
          <w:szCs w:val="28"/>
        </w:rPr>
        <w:t>Texas regional models:</w:t>
      </w:r>
    </w:p>
    <w:p w14:paraId="1DED9556" w14:textId="7878ED79" w:rsidR="5B09D2C2" w:rsidRDefault="5B09D2C2" w:rsidP="78FC7B12">
      <w:pPr>
        <w:pStyle w:val="ATGBodyBullet1"/>
        <w:numPr>
          <w:ilvl w:val="2"/>
          <w:numId w:val="2"/>
        </w:numPr>
        <w:rPr>
          <w:sz w:val="28"/>
          <w:szCs w:val="28"/>
        </w:rPr>
      </w:pPr>
      <w:r w:rsidRPr="78FC7B12">
        <w:rPr>
          <w:sz w:val="28"/>
          <w:szCs w:val="28"/>
        </w:rPr>
        <w:t>Greg Goldman – Planner, TxDOT-TPP</w:t>
      </w:r>
    </w:p>
    <w:p w14:paraId="293F51A1" w14:textId="50A41D33" w:rsidR="5B09D2C2" w:rsidRDefault="5B09D2C2" w:rsidP="78FC7B12">
      <w:pPr>
        <w:pStyle w:val="ATGBodyBullet1"/>
        <w:numPr>
          <w:ilvl w:val="2"/>
          <w:numId w:val="2"/>
        </w:numPr>
        <w:rPr>
          <w:rFonts w:eastAsiaTheme="minorEastAsia"/>
          <w:sz w:val="28"/>
          <w:szCs w:val="28"/>
        </w:rPr>
      </w:pPr>
      <w:r w:rsidRPr="78FC7B12">
        <w:rPr>
          <w:sz w:val="28"/>
          <w:szCs w:val="28"/>
        </w:rPr>
        <w:t>greg.goldman@txdot.gov</w:t>
      </w:r>
    </w:p>
    <w:p w14:paraId="50FB4857" w14:textId="6C60BBD1" w:rsidR="5B09D2C2" w:rsidRDefault="5B09D2C2" w:rsidP="78FC7B12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8FC7B12">
        <w:rPr>
          <w:sz w:val="28"/>
          <w:szCs w:val="28"/>
        </w:rPr>
        <w:t>Texas Statewide Analysis Model V4 (SAMV4)</w:t>
      </w:r>
    </w:p>
    <w:p w14:paraId="453C6B06" w14:textId="1B47D438" w:rsidR="5B09D2C2" w:rsidRDefault="5B09D2C2" w:rsidP="78FC7B12">
      <w:pPr>
        <w:pStyle w:val="ATGBodyBullet1"/>
        <w:numPr>
          <w:ilvl w:val="2"/>
          <w:numId w:val="2"/>
        </w:numPr>
        <w:rPr>
          <w:sz w:val="28"/>
          <w:szCs w:val="28"/>
        </w:rPr>
      </w:pPr>
      <w:r w:rsidRPr="78FC7B12">
        <w:rPr>
          <w:sz w:val="28"/>
          <w:szCs w:val="28"/>
        </w:rPr>
        <w:t>Geena Maskey – Planner, TxDOT-TPP</w:t>
      </w:r>
    </w:p>
    <w:p w14:paraId="02A0E389" w14:textId="3C020C53" w:rsidR="5B09D2C2" w:rsidRDefault="00A2727E" w:rsidP="78FC7B12">
      <w:pPr>
        <w:pStyle w:val="ATGBodyBullet1"/>
        <w:numPr>
          <w:ilvl w:val="2"/>
          <w:numId w:val="2"/>
        </w:numPr>
        <w:rPr>
          <w:rFonts w:eastAsiaTheme="minorEastAsia"/>
          <w:sz w:val="28"/>
          <w:szCs w:val="28"/>
        </w:rPr>
      </w:pPr>
      <w:hyperlink r:id="rId12">
        <w:r w:rsidR="5B09D2C2" w:rsidRPr="78FC7B12">
          <w:rPr>
            <w:rStyle w:val="Hyperlink"/>
            <w:sz w:val="28"/>
            <w:szCs w:val="28"/>
          </w:rPr>
          <w:t>geena.maskey@txdot.gov</w:t>
        </w:r>
      </w:hyperlink>
    </w:p>
    <w:p w14:paraId="487642AB" w14:textId="43923542" w:rsidR="5B09D2C2" w:rsidRDefault="5B09D2C2" w:rsidP="78FC7B12">
      <w:pPr>
        <w:pStyle w:val="ATGBodyBullet1"/>
      </w:pPr>
      <w:r w:rsidRPr="75D9BAA5">
        <w:rPr>
          <w:sz w:val="28"/>
          <w:szCs w:val="28"/>
        </w:rPr>
        <w:t>Requests should include the following information:</w:t>
      </w:r>
    </w:p>
    <w:p w14:paraId="3A0A6034" w14:textId="73C6E7A1" w:rsidR="5B09D2C2" w:rsidRDefault="5B09D2C2" w:rsidP="78FC7B12">
      <w:pPr>
        <w:pStyle w:val="ATGBodyBullet1"/>
        <w:numPr>
          <w:ilvl w:val="1"/>
          <w:numId w:val="2"/>
        </w:numPr>
      </w:pPr>
      <w:r w:rsidRPr="78FC7B12">
        <w:rPr>
          <w:sz w:val="28"/>
          <w:szCs w:val="28"/>
        </w:rPr>
        <w:t>MPO contact</w:t>
      </w:r>
    </w:p>
    <w:p w14:paraId="371A44F2" w14:textId="5E4277C5" w:rsidR="5B09D2C2" w:rsidRDefault="5B09D2C2" w:rsidP="78FC7B12">
      <w:pPr>
        <w:pStyle w:val="ATGBodyBullet1"/>
        <w:numPr>
          <w:ilvl w:val="1"/>
          <w:numId w:val="2"/>
        </w:numPr>
      </w:pPr>
      <w:r w:rsidRPr="78FC7B12">
        <w:rPr>
          <w:sz w:val="28"/>
          <w:szCs w:val="28"/>
        </w:rPr>
        <w:t>Company name/business mailing address of Prime consultant (ONLY PRIMES CAN EXECUTE AGREEMENTS)</w:t>
      </w:r>
    </w:p>
    <w:p w14:paraId="4DA892F0" w14:textId="321F1DB8" w:rsidR="5B09D2C2" w:rsidRDefault="5B09D2C2" w:rsidP="78FC7B12">
      <w:pPr>
        <w:pStyle w:val="ATGBodyBullet1"/>
        <w:numPr>
          <w:ilvl w:val="1"/>
          <w:numId w:val="2"/>
        </w:numPr>
      </w:pPr>
      <w:r w:rsidRPr="78FC7B12">
        <w:rPr>
          <w:sz w:val="28"/>
          <w:szCs w:val="28"/>
        </w:rPr>
        <w:t>Name, title, and email of signature authority for person signing agreement</w:t>
      </w:r>
    </w:p>
    <w:p w14:paraId="681871DF" w14:textId="02BF3C85" w:rsidR="5B09D2C2" w:rsidRDefault="5B09D2C2" w:rsidP="78FC7B12">
      <w:pPr>
        <w:pStyle w:val="ATGBodyBullet1"/>
        <w:numPr>
          <w:ilvl w:val="1"/>
          <w:numId w:val="2"/>
        </w:numPr>
      </w:pPr>
      <w:r w:rsidRPr="2DE9CCBD">
        <w:rPr>
          <w:sz w:val="28"/>
          <w:szCs w:val="28"/>
        </w:rPr>
        <w:t>Purpose of what the model will be used for (must support MPO, TxDOT projects, or university research)</w:t>
      </w:r>
    </w:p>
    <w:p w14:paraId="05153829" w14:textId="63368676" w:rsidR="49352633" w:rsidRDefault="49352633" w:rsidP="2DE9CCBD">
      <w:pPr>
        <w:pStyle w:val="ATGBodyBullet1"/>
        <w:numPr>
          <w:ilvl w:val="1"/>
          <w:numId w:val="2"/>
        </w:numPr>
      </w:pPr>
      <w:r w:rsidRPr="2DE9CCBD">
        <w:rPr>
          <w:sz w:val="28"/>
          <w:szCs w:val="28"/>
        </w:rPr>
        <w:t xml:space="preserve">Signatory should be ATG leadership with </w:t>
      </w:r>
      <w:r w:rsidR="002D098B" w:rsidRPr="2DE9CCBD">
        <w:rPr>
          <w:sz w:val="28"/>
          <w:szCs w:val="28"/>
        </w:rPr>
        <w:t>signature</w:t>
      </w:r>
      <w:r w:rsidRPr="2DE9CCBD">
        <w:rPr>
          <w:sz w:val="28"/>
          <w:szCs w:val="28"/>
        </w:rPr>
        <w:t xml:space="preserve"> authority</w:t>
      </w:r>
      <w:r w:rsidR="002D098B">
        <w:rPr>
          <w:sz w:val="28"/>
          <w:szCs w:val="28"/>
        </w:rPr>
        <w:t xml:space="preserve"> </w:t>
      </w:r>
      <w:r w:rsidRPr="2DE9CCBD">
        <w:rPr>
          <w:sz w:val="28"/>
          <w:szCs w:val="28"/>
        </w:rPr>
        <w:t xml:space="preserve">  </w:t>
      </w:r>
    </w:p>
    <w:p w14:paraId="1F9FBE8A" w14:textId="70EBE159" w:rsidR="00395A79" w:rsidRPr="000C6432" w:rsidRDefault="1F171A40" w:rsidP="78FC7B12">
      <w:pPr>
        <w:pStyle w:val="ATGBodyBullet1"/>
        <w:numPr>
          <w:ilvl w:val="0"/>
          <w:numId w:val="0"/>
        </w:numPr>
        <w:rPr>
          <w:b/>
          <w:bCs/>
          <w:sz w:val="28"/>
          <w:szCs w:val="28"/>
        </w:rPr>
      </w:pPr>
      <w:r w:rsidRPr="78FC7B12">
        <w:rPr>
          <w:b/>
          <w:bCs/>
          <w:sz w:val="28"/>
          <w:szCs w:val="28"/>
        </w:rPr>
        <w:t>Process for using TDMs in Support of TPP</w:t>
      </w:r>
    </w:p>
    <w:p w14:paraId="5D50A74A" w14:textId="2BC2D77C" w:rsidR="00395A79" w:rsidRPr="000C6432" w:rsidRDefault="1BDC0B87" w:rsidP="78FC7B12">
      <w:pPr>
        <w:pStyle w:val="ATGBodyBullet1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5D9BAA5">
        <w:rPr>
          <w:sz w:val="28"/>
          <w:szCs w:val="28"/>
        </w:rPr>
        <w:t xml:space="preserve">Test the model provided by TxDOT-TPP and verify correct TransCAD version </w:t>
      </w:r>
      <w:r w:rsidR="00232F9E">
        <w:rPr>
          <w:sz w:val="28"/>
          <w:szCs w:val="28"/>
        </w:rPr>
        <w:t>is</w:t>
      </w:r>
      <w:r w:rsidRPr="75D9BAA5">
        <w:rPr>
          <w:sz w:val="28"/>
          <w:szCs w:val="28"/>
        </w:rPr>
        <w:t xml:space="preserve"> being used</w:t>
      </w:r>
      <w:r w:rsidR="00232F9E">
        <w:rPr>
          <w:sz w:val="28"/>
          <w:szCs w:val="28"/>
        </w:rPr>
        <w:t xml:space="preserve"> and that </w:t>
      </w:r>
      <w:r w:rsidR="00D46180">
        <w:rPr>
          <w:sz w:val="28"/>
          <w:szCs w:val="28"/>
        </w:rPr>
        <w:t>documented results can be replicated</w:t>
      </w:r>
      <w:r w:rsidRPr="75D9BAA5">
        <w:rPr>
          <w:sz w:val="28"/>
          <w:szCs w:val="28"/>
        </w:rPr>
        <w:t xml:space="preserve">. </w:t>
      </w:r>
    </w:p>
    <w:p w14:paraId="30818E07" w14:textId="10D04FF4" w:rsidR="00395A79" w:rsidRPr="000C6432" w:rsidRDefault="4BE1F9EE" w:rsidP="75D9BAA5">
      <w:pPr>
        <w:pStyle w:val="ATGBodyBullet1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5D9BAA5">
        <w:rPr>
          <w:sz w:val="28"/>
          <w:szCs w:val="28"/>
        </w:rPr>
        <w:t xml:space="preserve">Identify logical study area around the project corridor (selection of TAZs) </w:t>
      </w:r>
    </w:p>
    <w:p w14:paraId="34E3838E" w14:textId="0EE1B87B" w:rsidR="00395A79" w:rsidRPr="000C6432" w:rsidRDefault="001B18EB" w:rsidP="75D9BAA5">
      <w:pPr>
        <w:pStyle w:val="ATGBodyBullet1"/>
        <w:numPr>
          <w:ilvl w:val="0"/>
          <w:numId w:val="1"/>
        </w:numPr>
        <w:rPr>
          <w:sz w:val="28"/>
          <w:szCs w:val="28"/>
        </w:rPr>
      </w:pPr>
      <w:r w:rsidRPr="75D9BAA5">
        <w:rPr>
          <w:sz w:val="28"/>
          <w:szCs w:val="28"/>
        </w:rPr>
        <w:t>Review TDM</w:t>
      </w:r>
      <w:r w:rsidR="574688F9" w:rsidRPr="75D9BAA5">
        <w:rPr>
          <w:sz w:val="28"/>
          <w:szCs w:val="28"/>
        </w:rPr>
        <w:t xml:space="preserve"> base year</w:t>
      </w:r>
      <w:r w:rsidRPr="75D9BAA5">
        <w:rPr>
          <w:sz w:val="28"/>
          <w:szCs w:val="28"/>
        </w:rPr>
        <w:t>:</w:t>
      </w:r>
    </w:p>
    <w:p w14:paraId="2E89A9FE" w14:textId="17287C1B" w:rsidR="001B18EB" w:rsidRPr="000C6432" w:rsidRDefault="001B18EB" w:rsidP="001B18EB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 xml:space="preserve">Review </w:t>
      </w:r>
      <w:r w:rsidR="7B9D46C9" w:rsidRPr="75D9BAA5">
        <w:rPr>
          <w:sz w:val="28"/>
          <w:szCs w:val="28"/>
        </w:rPr>
        <w:t>validation of the base year for the region relevant to the project</w:t>
      </w:r>
    </w:p>
    <w:p w14:paraId="0FC5FF3D" w14:textId="565D912E" w:rsidR="001B18EB" w:rsidRPr="000C6432" w:rsidRDefault="7B9D46C9" w:rsidP="75D9BAA5">
      <w:pPr>
        <w:pStyle w:val="ATGBodyBullet1"/>
        <w:numPr>
          <w:ilvl w:val="2"/>
          <w:numId w:val="2"/>
        </w:numPr>
        <w:rPr>
          <w:rFonts w:eastAsiaTheme="minorEastAsia"/>
          <w:sz w:val="28"/>
          <w:szCs w:val="28"/>
        </w:rPr>
      </w:pPr>
      <w:r w:rsidRPr="75D9BAA5">
        <w:rPr>
          <w:sz w:val="28"/>
          <w:szCs w:val="28"/>
        </w:rPr>
        <w:lastRenderedPageBreak/>
        <w:t xml:space="preserve">Review </w:t>
      </w:r>
      <w:r w:rsidR="001B18EB" w:rsidRPr="75D9BAA5">
        <w:rPr>
          <w:sz w:val="28"/>
          <w:szCs w:val="28"/>
        </w:rPr>
        <w:t>demographic</w:t>
      </w:r>
      <w:r w:rsidR="6E6D4EE2" w:rsidRPr="75D9BAA5">
        <w:rPr>
          <w:sz w:val="28"/>
          <w:szCs w:val="28"/>
        </w:rPr>
        <w:t>s for reasonableness</w:t>
      </w:r>
    </w:p>
    <w:p w14:paraId="113323DD" w14:textId="7037E718" w:rsidR="001B18EB" w:rsidRPr="000C6432" w:rsidRDefault="001B18EB" w:rsidP="75D9BAA5">
      <w:pPr>
        <w:pStyle w:val="ATGBodyBullet1"/>
        <w:numPr>
          <w:ilvl w:val="2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 xml:space="preserve">Review </w:t>
      </w:r>
      <w:r w:rsidR="00686DBA" w:rsidRPr="75D9BAA5">
        <w:rPr>
          <w:sz w:val="28"/>
          <w:szCs w:val="28"/>
        </w:rPr>
        <w:t>traffic validation</w:t>
      </w:r>
      <w:r w:rsidR="5752FF5B" w:rsidRPr="75D9BAA5">
        <w:rPr>
          <w:sz w:val="28"/>
          <w:szCs w:val="28"/>
        </w:rPr>
        <w:t xml:space="preserve"> (volumes compared to counts)</w:t>
      </w:r>
      <w:r w:rsidR="00686DBA" w:rsidRPr="75D9BAA5">
        <w:rPr>
          <w:sz w:val="28"/>
          <w:szCs w:val="28"/>
        </w:rPr>
        <w:t xml:space="preserve"> </w:t>
      </w:r>
    </w:p>
    <w:p w14:paraId="78BECDAB" w14:textId="6EC81780" w:rsidR="69F61A03" w:rsidRDefault="69F61A03" w:rsidP="75D9BAA5">
      <w:pPr>
        <w:pStyle w:val="ATGBodyBullet1"/>
        <w:numPr>
          <w:ilvl w:val="2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Evaluate if modifications need to be made</w:t>
      </w:r>
    </w:p>
    <w:p w14:paraId="3807E6CC" w14:textId="35CC7BF9" w:rsidR="69F61A03" w:rsidRDefault="69F61A03" w:rsidP="75D9BAA5">
      <w:pPr>
        <w:pStyle w:val="ATGBodyBullet1"/>
        <w:numPr>
          <w:ilvl w:val="3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Split TAZs</w:t>
      </w:r>
    </w:p>
    <w:p w14:paraId="5A054988" w14:textId="4A8E25CB" w:rsidR="69F61A03" w:rsidRDefault="69F61A03" w:rsidP="75D9BAA5">
      <w:pPr>
        <w:pStyle w:val="ATGBodyBullet1"/>
        <w:numPr>
          <w:ilvl w:val="3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Add roadways</w:t>
      </w:r>
    </w:p>
    <w:p w14:paraId="79E7CF34" w14:textId="2AB5B4E0" w:rsidR="69F61A03" w:rsidRDefault="69F61A03" w:rsidP="75D9BAA5">
      <w:pPr>
        <w:pStyle w:val="ATGBodyBullet1"/>
        <w:numPr>
          <w:ilvl w:val="3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Move centroid connectors</w:t>
      </w:r>
    </w:p>
    <w:p w14:paraId="1C8FAB48" w14:textId="531EB18B" w:rsidR="69F61A03" w:rsidRDefault="69F61A03" w:rsidP="75D9BAA5">
      <w:pPr>
        <w:pStyle w:val="ATGBodyBullet1"/>
        <w:numPr>
          <w:ilvl w:val="3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Modify roadway characteristics (lanes, facility type, functional class, speed, capacity, area type, etc.)</w:t>
      </w:r>
    </w:p>
    <w:p w14:paraId="59A365E0" w14:textId="30B002BB" w:rsidR="00686DBA" w:rsidRPr="000C6432" w:rsidRDefault="485591D0" w:rsidP="75D9BAA5">
      <w:pPr>
        <w:pStyle w:val="ATGBodyBullet1"/>
        <w:rPr>
          <w:sz w:val="28"/>
          <w:szCs w:val="28"/>
        </w:rPr>
      </w:pPr>
      <w:r w:rsidRPr="75D9BAA5">
        <w:rPr>
          <w:sz w:val="28"/>
          <w:szCs w:val="28"/>
        </w:rPr>
        <w:t>Review</w:t>
      </w:r>
      <w:r w:rsidR="6E0EAA00" w:rsidRPr="75D9BAA5">
        <w:rPr>
          <w:sz w:val="28"/>
          <w:szCs w:val="28"/>
        </w:rPr>
        <w:t xml:space="preserve"> TDM forecast year:</w:t>
      </w:r>
    </w:p>
    <w:p w14:paraId="20509807" w14:textId="1CF9C130" w:rsidR="00686DBA" w:rsidRPr="000C6432" w:rsidRDefault="3D7534E7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Review demographic estimates for the region to determine if reasonable</w:t>
      </w:r>
    </w:p>
    <w:p w14:paraId="0B1BA996" w14:textId="5F50E5B1" w:rsidR="00686DBA" w:rsidRPr="000C6432" w:rsidRDefault="008A2078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Identify projects t</w:t>
      </w:r>
      <w:r w:rsidR="68E7ABD9" w:rsidRPr="75D9BAA5">
        <w:rPr>
          <w:sz w:val="28"/>
          <w:szCs w:val="28"/>
        </w:rPr>
        <w:t xml:space="preserve">hat are included in the model and evaluate </w:t>
      </w:r>
      <w:r w:rsidR="57CABB1B" w:rsidRPr="75D9BAA5">
        <w:rPr>
          <w:sz w:val="28"/>
          <w:szCs w:val="28"/>
        </w:rPr>
        <w:t>whether any need to</w:t>
      </w:r>
      <w:r w:rsidR="68E7ABD9" w:rsidRPr="75D9BAA5">
        <w:rPr>
          <w:sz w:val="28"/>
          <w:szCs w:val="28"/>
        </w:rPr>
        <w:t xml:space="preserve"> </w:t>
      </w:r>
      <w:r w:rsidR="57CABB1B" w:rsidRPr="75D9BAA5">
        <w:rPr>
          <w:sz w:val="28"/>
          <w:szCs w:val="28"/>
        </w:rPr>
        <w:t xml:space="preserve">be added or removed to accurately depict the “background” or </w:t>
      </w:r>
      <w:r w:rsidR="71DFE92C" w:rsidRPr="75D9BAA5">
        <w:rPr>
          <w:sz w:val="28"/>
          <w:szCs w:val="28"/>
        </w:rPr>
        <w:t>“</w:t>
      </w:r>
      <w:r w:rsidR="57CABB1B" w:rsidRPr="75D9BAA5">
        <w:rPr>
          <w:sz w:val="28"/>
          <w:szCs w:val="28"/>
        </w:rPr>
        <w:t>nobuild</w:t>
      </w:r>
      <w:r w:rsidR="032ADF32" w:rsidRPr="75D9BAA5">
        <w:rPr>
          <w:sz w:val="28"/>
          <w:szCs w:val="28"/>
        </w:rPr>
        <w:t>”</w:t>
      </w:r>
      <w:r w:rsidR="57CABB1B" w:rsidRPr="75D9BAA5">
        <w:rPr>
          <w:sz w:val="28"/>
          <w:szCs w:val="28"/>
        </w:rPr>
        <w:t xml:space="preserve"> conditions for the project/study</w:t>
      </w:r>
    </w:p>
    <w:p w14:paraId="752797ED" w14:textId="677B3A8A" w:rsidR="00686DBA" w:rsidRPr="000C6432" w:rsidRDefault="00686DBA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 xml:space="preserve">Review if all </w:t>
      </w:r>
      <w:r w:rsidR="008A2078" w:rsidRPr="75D9BAA5">
        <w:rPr>
          <w:sz w:val="28"/>
          <w:szCs w:val="28"/>
        </w:rPr>
        <w:t>projects are coded correctly</w:t>
      </w:r>
    </w:p>
    <w:p w14:paraId="529963EE" w14:textId="58366830" w:rsidR="4DD07E95" w:rsidRDefault="4DD07E95" w:rsidP="75D9BAA5">
      <w:pPr>
        <w:pStyle w:val="ATGBodyBullet1"/>
        <w:numPr>
          <w:ilvl w:val="2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All work must be QC’ed</w:t>
      </w:r>
    </w:p>
    <w:p w14:paraId="1E1EC246" w14:textId="6A6E10E8" w:rsidR="2A04FBA3" w:rsidRDefault="2A04FBA3" w:rsidP="75D9BAA5">
      <w:pPr>
        <w:pStyle w:val="ATGBodyBullet1"/>
        <w:rPr>
          <w:rFonts w:eastAsiaTheme="minorEastAsia"/>
          <w:sz w:val="28"/>
          <w:szCs w:val="28"/>
        </w:rPr>
      </w:pPr>
      <w:r w:rsidRPr="75D9BAA5">
        <w:rPr>
          <w:sz w:val="28"/>
          <w:szCs w:val="28"/>
        </w:rPr>
        <w:t>Run scenarios for revised (if modifications were made) base and forecast year scenarios (typically “nobuild” scenario)</w:t>
      </w:r>
    </w:p>
    <w:p w14:paraId="1FE7494F" w14:textId="04C4773E" w:rsidR="00E83BB8" w:rsidRDefault="00873D4C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model scenario check list that denotes all assumption and inputs to </w:t>
      </w:r>
      <w:r w:rsidR="00E83BB8">
        <w:rPr>
          <w:sz w:val="28"/>
          <w:szCs w:val="28"/>
        </w:rPr>
        <w:t>scenarios to be run. (</w:t>
      </w:r>
      <w:r w:rsidR="00D701F6">
        <w:rPr>
          <w:sz w:val="28"/>
          <w:szCs w:val="28"/>
        </w:rPr>
        <w:t>Regional</w:t>
      </w:r>
      <w:r w:rsidR="00E83BB8">
        <w:rPr>
          <w:sz w:val="28"/>
          <w:szCs w:val="28"/>
        </w:rPr>
        <w:t xml:space="preserve"> projects to be in place, version of TransCAD, </w:t>
      </w:r>
      <w:r w:rsidR="00FB0F4C">
        <w:rPr>
          <w:sz w:val="28"/>
          <w:szCs w:val="28"/>
        </w:rPr>
        <w:t>full run vs. assignment only, QC checks to be done, etc)</w:t>
      </w:r>
    </w:p>
    <w:p w14:paraId="020FE6FC" w14:textId="3DCDEC19" w:rsidR="6A64D3D2" w:rsidRDefault="6A64D3D2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QC model results of these scenarios compared to the default set to evaluate if the results are reasonable</w:t>
      </w:r>
    </w:p>
    <w:p w14:paraId="4634675E" w14:textId="48454679" w:rsidR="2A04FBA3" w:rsidRDefault="2A04FBA3" w:rsidP="75D9BAA5">
      <w:pPr>
        <w:pStyle w:val="ATGBodyBullet1"/>
        <w:rPr>
          <w:sz w:val="28"/>
          <w:szCs w:val="28"/>
        </w:rPr>
      </w:pPr>
      <w:r w:rsidRPr="75D9BAA5">
        <w:rPr>
          <w:sz w:val="28"/>
          <w:szCs w:val="28"/>
        </w:rPr>
        <w:t>Use of TDM for Typical Forecasting Report/Memo</w:t>
      </w:r>
    </w:p>
    <w:p w14:paraId="7F081B3E" w14:textId="12639D93" w:rsidR="00C068D0" w:rsidRPr="000C6432" w:rsidRDefault="00AC710F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Calculate</w:t>
      </w:r>
      <w:r w:rsidR="001F7170" w:rsidRPr="75D9BAA5">
        <w:rPr>
          <w:sz w:val="28"/>
          <w:szCs w:val="28"/>
        </w:rPr>
        <w:t xml:space="preserve"> population and employment </w:t>
      </w:r>
      <w:r w:rsidR="00B2728A" w:rsidRPr="75D9BAA5">
        <w:rPr>
          <w:sz w:val="28"/>
          <w:szCs w:val="28"/>
        </w:rPr>
        <w:t xml:space="preserve">average annual </w:t>
      </w:r>
      <w:r w:rsidR="001F7170" w:rsidRPr="75D9BAA5">
        <w:rPr>
          <w:sz w:val="28"/>
          <w:szCs w:val="28"/>
        </w:rPr>
        <w:t>growth rates</w:t>
      </w:r>
      <w:r w:rsidR="00B2728A" w:rsidRPr="75D9BAA5">
        <w:rPr>
          <w:sz w:val="28"/>
          <w:szCs w:val="28"/>
        </w:rPr>
        <w:t xml:space="preserve"> from base to horizon year</w:t>
      </w:r>
      <w:r w:rsidR="005832B5" w:rsidRPr="75D9BAA5">
        <w:rPr>
          <w:sz w:val="28"/>
          <w:szCs w:val="28"/>
        </w:rPr>
        <w:t xml:space="preserve"> </w:t>
      </w:r>
    </w:p>
    <w:p w14:paraId="5AC6E1A0" w14:textId="06054EA4" w:rsidR="005832B5" w:rsidRPr="000C6432" w:rsidRDefault="00AC710F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Calculate</w:t>
      </w:r>
      <w:r w:rsidR="00E22554" w:rsidRPr="75D9BAA5">
        <w:rPr>
          <w:sz w:val="28"/>
          <w:szCs w:val="28"/>
        </w:rPr>
        <w:t xml:space="preserve"> average annual traffic growth rate </w:t>
      </w:r>
      <w:r w:rsidR="00883E3E" w:rsidRPr="75D9BAA5">
        <w:rPr>
          <w:sz w:val="28"/>
          <w:szCs w:val="28"/>
        </w:rPr>
        <w:t xml:space="preserve">from base to horizon year </w:t>
      </w:r>
      <w:r w:rsidR="00E22554" w:rsidRPr="75D9BAA5">
        <w:rPr>
          <w:sz w:val="28"/>
          <w:szCs w:val="28"/>
        </w:rPr>
        <w:t xml:space="preserve">at select locations </w:t>
      </w:r>
      <w:r w:rsidR="00883E3E" w:rsidRPr="75D9BAA5">
        <w:rPr>
          <w:sz w:val="28"/>
          <w:szCs w:val="28"/>
        </w:rPr>
        <w:t>on and around the study corridor</w:t>
      </w:r>
    </w:p>
    <w:p w14:paraId="4FAA7F0A" w14:textId="16026E7A" w:rsidR="005832B5" w:rsidRDefault="4AAB804E" w:rsidP="75D9BAA5">
      <w:pPr>
        <w:pStyle w:val="ATGBodyBullet1"/>
        <w:numPr>
          <w:ilvl w:val="2"/>
          <w:numId w:val="2"/>
        </w:numPr>
        <w:rPr>
          <w:rFonts w:eastAsiaTheme="minorEastAsia"/>
          <w:sz w:val="28"/>
          <w:szCs w:val="28"/>
        </w:rPr>
      </w:pPr>
      <w:r w:rsidRPr="75D9BAA5">
        <w:rPr>
          <w:sz w:val="28"/>
          <w:szCs w:val="28"/>
        </w:rPr>
        <w:t>All work must be QC’ed</w:t>
      </w:r>
    </w:p>
    <w:p w14:paraId="5F183348" w14:textId="3D69A327" w:rsidR="005832B5" w:rsidRDefault="39F3D5FD" w:rsidP="75D9BAA5">
      <w:pPr>
        <w:pStyle w:val="ATGBodyBullet1"/>
        <w:rPr>
          <w:sz w:val="28"/>
          <w:szCs w:val="28"/>
        </w:rPr>
      </w:pPr>
      <w:r w:rsidRPr="75D9BAA5">
        <w:rPr>
          <w:sz w:val="28"/>
          <w:szCs w:val="28"/>
        </w:rPr>
        <w:t>Use TDM for foreca</w:t>
      </w:r>
      <w:r w:rsidR="1E999251" w:rsidRPr="75D9BAA5">
        <w:rPr>
          <w:sz w:val="28"/>
          <w:szCs w:val="28"/>
        </w:rPr>
        <w:t>st travel in response to various build alternatives</w:t>
      </w:r>
      <w:r w:rsidR="15922FC8" w:rsidRPr="75D9BAA5">
        <w:rPr>
          <w:sz w:val="28"/>
          <w:szCs w:val="28"/>
        </w:rPr>
        <w:t xml:space="preserve">. </w:t>
      </w:r>
      <w:r w:rsidR="1E999251" w:rsidRPr="75D9BAA5">
        <w:rPr>
          <w:sz w:val="28"/>
          <w:szCs w:val="28"/>
        </w:rPr>
        <w:t xml:space="preserve">TDM can estimate potential impacts to the transportation system for a given region based on the additions, removals, or modifications </w:t>
      </w:r>
      <w:r w:rsidR="71B873BB" w:rsidRPr="75D9BAA5">
        <w:rPr>
          <w:sz w:val="28"/>
          <w:szCs w:val="28"/>
        </w:rPr>
        <w:t>of a build alternative(s)</w:t>
      </w:r>
    </w:p>
    <w:p w14:paraId="2D0A7D60" w14:textId="6340C7AB" w:rsidR="005832B5" w:rsidRDefault="105AEEE0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Verify the details of the</w:t>
      </w:r>
      <w:r w:rsidR="7B4B38C4" w:rsidRPr="75D9BAA5">
        <w:rPr>
          <w:sz w:val="28"/>
          <w:szCs w:val="28"/>
        </w:rPr>
        <w:t xml:space="preserve"> build alternatives prior to preparing the scenarios</w:t>
      </w:r>
      <w:r w:rsidR="00F97C2A">
        <w:rPr>
          <w:sz w:val="28"/>
          <w:szCs w:val="28"/>
        </w:rPr>
        <w:t xml:space="preserve"> with scenario check list</w:t>
      </w:r>
    </w:p>
    <w:p w14:paraId="637FC85C" w14:textId="74641D2C" w:rsidR="005832B5" w:rsidRDefault="71B873BB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 xml:space="preserve">Create a separate scenario </w:t>
      </w:r>
      <w:r w:rsidR="2F36FBCA" w:rsidRPr="75D9BAA5">
        <w:rPr>
          <w:sz w:val="28"/>
          <w:szCs w:val="28"/>
        </w:rPr>
        <w:t xml:space="preserve">from </w:t>
      </w:r>
      <w:r w:rsidRPr="75D9BAA5">
        <w:rPr>
          <w:sz w:val="28"/>
          <w:szCs w:val="28"/>
        </w:rPr>
        <w:t>the nobuild scenario to be used for each build alternative scenario</w:t>
      </w:r>
    </w:p>
    <w:p w14:paraId="286396E2" w14:textId="554F8D05" w:rsidR="005832B5" w:rsidRDefault="7DD9ACD3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Modify the appropriate files (typically the roadway network) to reflect the expected conditions of each build alternative</w:t>
      </w:r>
    </w:p>
    <w:p w14:paraId="2F720800" w14:textId="47B41292" w:rsidR="005832B5" w:rsidRDefault="27E5703B" w:rsidP="75D9BAA5">
      <w:pPr>
        <w:pStyle w:val="ATGBodyBullet1"/>
        <w:numPr>
          <w:ilvl w:val="2"/>
          <w:numId w:val="2"/>
        </w:numPr>
        <w:rPr>
          <w:rFonts w:eastAsiaTheme="minorEastAsia"/>
          <w:sz w:val="28"/>
          <w:szCs w:val="28"/>
        </w:rPr>
      </w:pPr>
      <w:r w:rsidRPr="75D9BAA5">
        <w:rPr>
          <w:sz w:val="28"/>
          <w:szCs w:val="28"/>
        </w:rPr>
        <w:t>All work must be QC’ed</w:t>
      </w:r>
    </w:p>
    <w:p w14:paraId="712EA28D" w14:textId="4C51388E" w:rsidR="005832B5" w:rsidRDefault="27E5703B" w:rsidP="75D9BAA5">
      <w:pPr>
        <w:pStyle w:val="ATGBodyBullet1"/>
        <w:numPr>
          <w:ilvl w:val="1"/>
          <w:numId w:val="2"/>
        </w:numPr>
        <w:rPr>
          <w:rFonts w:eastAsiaTheme="minorEastAsia"/>
          <w:sz w:val="28"/>
          <w:szCs w:val="28"/>
        </w:rPr>
      </w:pPr>
      <w:r w:rsidRPr="75D9BAA5">
        <w:rPr>
          <w:sz w:val="28"/>
          <w:szCs w:val="28"/>
        </w:rPr>
        <w:t>Run scenarios for the build alternatives for the appropriate years</w:t>
      </w:r>
    </w:p>
    <w:p w14:paraId="4716EC67" w14:textId="566BA73B" w:rsidR="27E5703B" w:rsidRDefault="27E5703B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Review model outputs (typically traffic volumes) to verify changes are logical and explainable in response to the modifications made as part of the build alternatives</w:t>
      </w:r>
    </w:p>
    <w:p w14:paraId="2BA6019E" w14:textId="5705E861" w:rsidR="27E5703B" w:rsidRDefault="27E5703B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>The model outputs from the build alternative scenario(s) can be compared to that of the no build scenario to evaluate the impacts to the transportation system based on the improvements/modifications</w:t>
      </w:r>
    </w:p>
    <w:p w14:paraId="4150DF08" w14:textId="6811D0B6" w:rsidR="27E5703B" w:rsidRDefault="27E5703B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 w:rsidRPr="75D9BAA5">
        <w:rPr>
          <w:sz w:val="28"/>
          <w:szCs w:val="28"/>
        </w:rPr>
        <w:t xml:space="preserve">The observed trip patterns can be used to assist in determining </w:t>
      </w:r>
      <w:r w:rsidR="3CB12FF1" w:rsidRPr="75D9BAA5">
        <w:rPr>
          <w:sz w:val="28"/>
          <w:szCs w:val="28"/>
        </w:rPr>
        <w:t>how travel patterns and/or traffic volumes could be expected to shift as a result of the build alternatives</w:t>
      </w:r>
    </w:p>
    <w:p w14:paraId="6A642675" w14:textId="6238D4C3" w:rsidR="00F97C2A" w:rsidRDefault="00F97C2A" w:rsidP="75D9BAA5">
      <w:pPr>
        <w:pStyle w:val="ATGBodyBullet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  <w:r w:rsidR="00707F84">
        <w:rPr>
          <w:sz w:val="28"/>
          <w:szCs w:val="28"/>
        </w:rPr>
        <w:t xml:space="preserve">scenario on model server under project folder </w:t>
      </w:r>
    </w:p>
    <w:p w14:paraId="5375767D" w14:textId="344A0343" w:rsidR="75D9BAA5" w:rsidRDefault="75D9BAA5" w:rsidP="75D9BAA5">
      <w:pPr>
        <w:pStyle w:val="ATGBodyBullet1"/>
        <w:numPr>
          <w:ilvl w:val="0"/>
          <w:numId w:val="0"/>
        </w:numPr>
      </w:pPr>
    </w:p>
    <w:p w14:paraId="049BEA2D" w14:textId="0F7858A7" w:rsidR="75D9BAA5" w:rsidRDefault="75D9BAA5" w:rsidP="75D9BAA5">
      <w:pPr>
        <w:pStyle w:val="ATGBodyBullet1"/>
        <w:numPr>
          <w:ilvl w:val="0"/>
          <w:numId w:val="0"/>
        </w:numPr>
      </w:pPr>
    </w:p>
    <w:p w14:paraId="52AA9823" w14:textId="1B610416" w:rsidR="005832B5" w:rsidRDefault="005832B5" w:rsidP="75D9BAA5">
      <w:pPr>
        <w:rPr>
          <w:i/>
          <w:iCs/>
          <w:sz w:val="28"/>
          <w:szCs w:val="28"/>
        </w:rPr>
      </w:pPr>
      <w:r w:rsidRPr="75D9BAA5">
        <w:rPr>
          <w:b/>
          <w:bCs/>
          <w:sz w:val="28"/>
          <w:szCs w:val="28"/>
        </w:rPr>
        <w:lastRenderedPageBreak/>
        <w:t xml:space="preserve">Outcome: </w:t>
      </w:r>
      <w:r w:rsidR="63A6A1DF" w:rsidRPr="75D9BAA5">
        <w:rPr>
          <w:i/>
          <w:iCs/>
          <w:sz w:val="28"/>
          <w:szCs w:val="28"/>
        </w:rPr>
        <w:t xml:space="preserve">TDM is used to assist in developing the TPP Forecasting Report/Memo for a given study. A review of demographics, traffic volumes, and growth patterns are expected to be included. This information is documented and used to </w:t>
      </w:r>
      <w:r w:rsidR="5B8B09C4" w:rsidRPr="75D9BAA5">
        <w:rPr>
          <w:i/>
          <w:iCs/>
          <w:sz w:val="28"/>
          <w:szCs w:val="28"/>
        </w:rPr>
        <w:t>determine an appropriate growth rate for forecasting traffic (growth rate typically gets applied to collected/existing conditions traffic counts that are independent of the TDMs).</w:t>
      </w:r>
    </w:p>
    <w:p w14:paraId="5F095C6F" w14:textId="04D90031" w:rsidR="239E653F" w:rsidRDefault="239E653F" w:rsidP="75D9BAA5">
      <w:pPr>
        <w:rPr>
          <w:i/>
          <w:iCs/>
          <w:sz w:val="28"/>
          <w:szCs w:val="28"/>
        </w:rPr>
      </w:pPr>
      <w:r w:rsidRPr="75D9BAA5">
        <w:rPr>
          <w:i/>
          <w:iCs/>
          <w:sz w:val="28"/>
          <w:szCs w:val="28"/>
        </w:rPr>
        <w:t xml:space="preserve">TDM is also used to help </w:t>
      </w:r>
      <w:r w:rsidR="3559DE81" w:rsidRPr="75D9BAA5">
        <w:rPr>
          <w:i/>
          <w:iCs/>
          <w:sz w:val="28"/>
          <w:szCs w:val="28"/>
        </w:rPr>
        <w:t xml:space="preserve">guide </w:t>
      </w:r>
      <w:r w:rsidRPr="75D9BAA5">
        <w:rPr>
          <w:i/>
          <w:iCs/>
          <w:sz w:val="28"/>
          <w:szCs w:val="28"/>
        </w:rPr>
        <w:t xml:space="preserve">how traffic will change </w:t>
      </w:r>
      <w:r w:rsidR="7B674833" w:rsidRPr="75D9BAA5">
        <w:rPr>
          <w:i/>
          <w:iCs/>
          <w:sz w:val="28"/>
          <w:szCs w:val="28"/>
        </w:rPr>
        <w:t xml:space="preserve">in response to </w:t>
      </w:r>
      <w:r w:rsidRPr="75D9BAA5">
        <w:rPr>
          <w:i/>
          <w:iCs/>
          <w:sz w:val="28"/>
          <w:szCs w:val="28"/>
        </w:rPr>
        <w:t>improvements or modifications to the transportation system. The TDM</w:t>
      </w:r>
      <w:r w:rsidR="560C5C86" w:rsidRPr="75D9BAA5">
        <w:rPr>
          <w:i/>
          <w:iCs/>
          <w:sz w:val="28"/>
          <w:szCs w:val="28"/>
        </w:rPr>
        <w:t xml:space="preserve"> volumes should not necessarily be used directly, but they can be used as a guide to assess what logical shifts/adjustments in traffic would be for the build alternatives.</w:t>
      </w:r>
      <w:r w:rsidRPr="75D9BAA5">
        <w:rPr>
          <w:i/>
          <w:iCs/>
          <w:sz w:val="28"/>
          <w:szCs w:val="28"/>
        </w:rPr>
        <w:t xml:space="preserve"> </w:t>
      </w:r>
    </w:p>
    <w:p w14:paraId="63ECDBF3" w14:textId="10BEDDAF" w:rsidR="005832B5" w:rsidRDefault="005832B5" w:rsidP="0023517B">
      <w:pPr>
        <w:rPr>
          <w:b/>
          <w:bCs/>
          <w:sz w:val="28"/>
        </w:rPr>
      </w:pPr>
    </w:p>
    <w:p w14:paraId="5BF9EEE9" w14:textId="3B7BCF07" w:rsidR="005832B5" w:rsidRPr="00714B29" w:rsidRDefault="005832B5" w:rsidP="75D9BAA5">
      <w:pPr>
        <w:rPr>
          <w:b/>
          <w:bCs/>
          <w:color w:val="3D3D3D" w:themeColor="text1"/>
          <w:sz w:val="28"/>
          <w:szCs w:val="28"/>
        </w:rPr>
      </w:pPr>
      <w:r w:rsidRPr="75D9BAA5">
        <w:rPr>
          <w:b/>
          <w:bCs/>
          <w:sz w:val="28"/>
          <w:szCs w:val="28"/>
        </w:rPr>
        <w:t>Resources</w:t>
      </w:r>
      <w:r w:rsidRPr="00714B29">
        <w:rPr>
          <w:b/>
          <w:bCs/>
          <w:color w:val="3D3D3D" w:themeColor="text1"/>
          <w:sz w:val="28"/>
          <w:szCs w:val="28"/>
        </w:rPr>
        <w:t xml:space="preserve">: </w:t>
      </w:r>
      <w:r w:rsidR="626068D2" w:rsidRPr="00714B29">
        <w:rPr>
          <w:b/>
          <w:bCs/>
          <w:color w:val="3D3D3D" w:themeColor="text1"/>
          <w:sz w:val="28"/>
          <w:szCs w:val="28"/>
        </w:rPr>
        <w:t>The TxDOT-TPP SOP for corridor analysis can be referenced for the standard process to be followed when forecasting traffic for TPP projects.</w:t>
      </w:r>
    </w:p>
    <w:p w14:paraId="556AEEA5" w14:textId="07C2F6A4" w:rsidR="005832B5" w:rsidRPr="00714B29" w:rsidRDefault="626068D2" w:rsidP="75D9BAA5">
      <w:pPr>
        <w:rPr>
          <w:b/>
          <w:bCs/>
          <w:color w:val="3D3D3D" w:themeColor="text1"/>
          <w:sz w:val="28"/>
          <w:szCs w:val="28"/>
        </w:rPr>
      </w:pPr>
      <w:r w:rsidRPr="00714B29">
        <w:rPr>
          <w:b/>
          <w:bCs/>
          <w:color w:val="3D3D3D" w:themeColor="text1"/>
          <w:sz w:val="28"/>
          <w:szCs w:val="28"/>
        </w:rPr>
        <w:t>https://www.txdot.gov/content/txdot/en/inside-txdot/division/transportation-planning.html/</w:t>
      </w:r>
    </w:p>
    <w:p w14:paraId="75EA2180" w14:textId="77777777" w:rsidR="002F0C4A" w:rsidRDefault="002F0C4A" w:rsidP="0023517B">
      <w:pPr>
        <w:rPr>
          <w:i/>
          <w:iCs/>
          <w:sz w:val="28"/>
        </w:rPr>
      </w:pPr>
    </w:p>
    <w:p w14:paraId="4E54E07B" w14:textId="3F89A9CA" w:rsidR="00234090" w:rsidRPr="001C376E" w:rsidRDefault="002F0C4A" w:rsidP="00834907">
      <w:pPr>
        <w:rPr>
          <w:b/>
          <w:bCs/>
          <w:sz w:val="28"/>
          <w:szCs w:val="28"/>
        </w:rPr>
      </w:pPr>
      <w:r w:rsidRPr="75D9BAA5">
        <w:rPr>
          <w:b/>
          <w:bCs/>
          <w:sz w:val="28"/>
          <w:szCs w:val="28"/>
        </w:rPr>
        <w:t xml:space="preserve">Definitions: </w:t>
      </w:r>
      <w:r w:rsidR="7B0A2099" w:rsidRPr="75D9BAA5">
        <w:rPr>
          <w:b/>
          <w:bCs/>
          <w:sz w:val="28"/>
          <w:szCs w:val="28"/>
        </w:rPr>
        <w:t>Travel Demand Model (TDM), forecasting, corridor study, traffic analysis</w:t>
      </w:r>
    </w:p>
    <w:p w14:paraId="6462FFF0" w14:textId="77777777" w:rsidR="00234090" w:rsidRDefault="00234090" w:rsidP="00834907"/>
    <w:sectPr w:rsidR="00234090" w:rsidSect="00051BD4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6C48" w14:textId="77777777" w:rsidR="001E4C8E" w:rsidRDefault="001E4C8E" w:rsidP="008F7176">
      <w:pPr>
        <w:spacing w:after="0" w:line="240" w:lineRule="auto"/>
      </w:pPr>
      <w:r>
        <w:separator/>
      </w:r>
    </w:p>
  </w:endnote>
  <w:endnote w:type="continuationSeparator" w:id="0">
    <w:p w14:paraId="3CD34DD3" w14:textId="77777777" w:rsidR="001E4C8E" w:rsidRDefault="001E4C8E" w:rsidP="008F7176">
      <w:pPr>
        <w:spacing w:after="0" w:line="240" w:lineRule="auto"/>
      </w:pPr>
      <w:r>
        <w:continuationSeparator/>
      </w:r>
    </w:p>
  </w:endnote>
  <w:endnote w:type="continuationNotice" w:id="1">
    <w:p w14:paraId="490E5DFD" w14:textId="77777777" w:rsidR="00FB0F4C" w:rsidRDefault="00FB0F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342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1C979D" w14:textId="46E06510" w:rsidR="00BF5FFC" w:rsidRDefault="00BF5FFC" w:rsidP="00BF5FFC">
        <w:pPr>
          <w:pStyle w:val="Footer"/>
        </w:pPr>
        <w:r w:rsidRPr="009009BB">
          <w:rPr>
            <w:b/>
          </w:rPr>
          <w:fldChar w:fldCharType="begin"/>
        </w:r>
        <w:r w:rsidRPr="009009BB">
          <w:rPr>
            <w:b/>
          </w:rPr>
          <w:instrText xml:space="preserve"> PAGE   \* MERGEFORMAT </w:instrText>
        </w:r>
        <w:r w:rsidRPr="009009BB">
          <w:rPr>
            <w:b/>
          </w:rPr>
          <w:fldChar w:fldCharType="separate"/>
        </w:r>
        <w:r>
          <w:rPr>
            <w:b/>
          </w:rPr>
          <w:t>1</w:t>
        </w:r>
        <w:r w:rsidRPr="009009BB">
          <w:rPr>
            <w:b/>
            <w:noProof/>
          </w:rPr>
          <w:fldChar w:fldCharType="end"/>
        </w:r>
        <w:r>
          <w:t xml:space="preserve"> </w:t>
        </w:r>
        <w:r w:rsidRPr="008D17F5">
          <w:rPr>
            <w:color w:val="000000" w:themeColor="accent3"/>
          </w:rPr>
          <w:t>|</w:t>
        </w:r>
        <w:r>
          <w:t xml:space="preserve"> </w:t>
        </w:r>
        <w:r w:rsidRPr="008D17F5">
          <w:rPr>
            <w:spacing w:val="4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EE8E" w14:textId="5B5A58B8" w:rsidR="005832B5" w:rsidRDefault="005832B5" w:rsidP="005832B5">
    <w:pPr>
      <w:pStyle w:val="Footer"/>
      <w:jc w:val="left"/>
    </w:pPr>
    <w:r>
      <w:t>Revision Date:  01.01.2021</w:t>
    </w:r>
    <w:r w:rsidR="00FB2E58">
      <w:t xml:space="preserve"> | Prepared By: XXXXXXX  | Approved By: XXXXXXXXX</w:t>
    </w:r>
    <w:r>
      <w:tab/>
    </w:r>
  </w:p>
  <w:p w14:paraId="31A73ABA" w14:textId="28B9B571" w:rsidR="00B239BD" w:rsidRPr="00EE081E" w:rsidRDefault="00B239BD" w:rsidP="00EE0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6DD2F" w14:textId="77777777" w:rsidR="001E4C8E" w:rsidRDefault="001E4C8E" w:rsidP="008F7176">
      <w:pPr>
        <w:spacing w:after="0" w:line="240" w:lineRule="auto"/>
      </w:pPr>
      <w:r>
        <w:separator/>
      </w:r>
    </w:p>
  </w:footnote>
  <w:footnote w:type="continuationSeparator" w:id="0">
    <w:p w14:paraId="2EA296D7" w14:textId="77777777" w:rsidR="001E4C8E" w:rsidRDefault="001E4C8E" w:rsidP="008F7176">
      <w:pPr>
        <w:spacing w:after="0" w:line="240" w:lineRule="auto"/>
      </w:pPr>
      <w:r>
        <w:continuationSeparator/>
      </w:r>
    </w:p>
  </w:footnote>
  <w:footnote w:type="continuationNotice" w:id="1">
    <w:p w14:paraId="38E12697" w14:textId="77777777" w:rsidR="00FB0F4C" w:rsidRDefault="00FB0F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46C4E" w14:textId="7271A741" w:rsidR="00200259" w:rsidRDefault="2DE9CCBD" w:rsidP="00200259">
    <w:pPr>
      <w:pStyle w:val="Header"/>
    </w:pPr>
    <w:r>
      <w:rPr>
        <w:noProof/>
      </w:rPr>
      <w:drawing>
        <wp:inline distT="0" distB="0" distL="0" distR="0" wp14:anchorId="28FA0DA5" wp14:editId="05399557">
          <wp:extent cx="1280160" cy="979490"/>
          <wp:effectExtent l="0" t="0" r="0" b="0"/>
          <wp:docPr id="10" name="Picture 10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A5BEE" w14:textId="2D1581EB" w:rsidR="00234090" w:rsidRDefault="00234090" w:rsidP="00200259">
    <w:pPr>
      <w:pStyle w:val="Header"/>
    </w:pPr>
  </w:p>
  <w:p w14:paraId="2D25E0A6" w14:textId="77777777" w:rsidR="00234090" w:rsidRPr="00976EAB" w:rsidRDefault="00234090" w:rsidP="00200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914" w14:textId="0C1D07F7" w:rsidR="00692954" w:rsidRDefault="2DE9CCBD" w:rsidP="00692954">
    <w:pPr>
      <w:pStyle w:val="Header"/>
    </w:pPr>
    <w:r>
      <w:rPr>
        <w:noProof/>
      </w:rPr>
      <w:drawing>
        <wp:inline distT="0" distB="0" distL="0" distR="0" wp14:anchorId="754A14DF" wp14:editId="2537C097">
          <wp:extent cx="1280160" cy="979490"/>
          <wp:effectExtent l="0" t="0" r="0" b="0"/>
          <wp:docPr id="11" name="Picture 1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979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C73731" w14:textId="059D2FF1" w:rsidR="00234090" w:rsidRDefault="00234090" w:rsidP="00692954">
    <w:pPr>
      <w:pStyle w:val="Header"/>
    </w:pPr>
  </w:p>
  <w:p w14:paraId="7A44DB8E" w14:textId="77777777" w:rsidR="00234090" w:rsidRPr="00976EAB" w:rsidRDefault="00234090" w:rsidP="00692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7CA"/>
    <w:multiLevelType w:val="hybridMultilevel"/>
    <w:tmpl w:val="6018D7A6"/>
    <w:lvl w:ilvl="0" w:tplc="5FB61F20">
      <w:start w:val="1"/>
      <w:numFmt w:val="bullet"/>
      <w:pStyle w:val="ATGBoxBullet1"/>
      <w:lvlText w:val="●"/>
      <w:lvlJc w:val="left"/>
      <w:pPr>
        <w:ind w:left="360" w:hanging="360"/>
      </w:pPr>
      <w:rPr>
        <w:rFonts w:ascii="Arial" w:hAnsi="Arial" w:hint="default"/>
        <w:color w:val="43A7B7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2C7"/>
    <w:multiLevelType w:val="hybridMultilevel"/>
    <w:tmpl w:val="87D8D3F2"/>
    <w:lvl w:ilvl="0" w:tplc="BCF823B6">
      <w:start w:val="1"/>
      <w:numFmt w:val="bullet"/>
      <w:pStyle w:val="ATGBodyBullet1"/>
      <w:lvlText w:val="●"/>
      <w:lvlJc w:val="left"/>
      <w:pPr>
        <w:ind w:left="720" w:hanging="360"/>
      </w:pPr>
      <w:rPr>
        <w:rFonts w:ascii="Arial" w:hAnsi="Arial" w:hint="default"/>
        <w:color w:val="43A7B7" w:themeColor="text2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116E"/>
    <w:multiLevelType w:val="hybridMultilevel"/>
    <w:tmpl w:val="AE3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A5F8D"/>
    <w:multiLevelType w:val="hybridMultilevel"/>
    <w:tmpl w:val="557A9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5C2A28"/>
    <w:multiLevelType w:val="hybridMultilevel"/>
    <w:tmpl w:val="B226FD0A"/>
    <w:lvl w:ilvl="0" w:tplc="005E8B40">
      <w:start w:val="1"/>
      <w:numFmt w:val="bullet"/>
      <w:pStyle w:val="ATGBodyBullet2"/>
      <w:lvlText w:val="–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71BA2"/>
    <w:multiLevelType w:val="hybridMultilevel"/>
    <w:tmpl w:val="B6CEA968"/>
    <w:lvl w:ilvl="0" w:tplc="A37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423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103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6D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2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8D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A8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8E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89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212B6"/>
    <w:multiLevelType w:val="hybridMultilevel"/>
    <w:tmpl w:val="28D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81843"/>
    <w:multiLevelType w:val="hybridMultilevel"/>
    <w:tmpl w:val="D7C88AD0"/>
    <w:lvl w:ilvl="0" w:tplc="539887AE">
      <w:start w:val="1"/>
      <w:numFmt w:val="bullet"/>
      <w:pStyle w:val="ATGBox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3384E"/>
    <w:multiLevelType w:val="hybridMultilevel"/>
    <w:tmpl w:val="A6E64DCC"/>
    <w:lvl w:ilvl="0" w:tplc="F8FA11E4">
      <w:start w:val="1"/>
      <w:numFmt w:val="bullet"/>
      <w:pStyle w:val="ATGBoxChe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1099F"/>
    <w:multiLevelType w:val="hybridMultilevel"/>
    <w:tmpl w:val="0A8CFCFA"/>
    <w:lvl w:ilvl="0" w:tplc="C0F028C4">
      <w:start w:val="1"/>
      <w:numFmt w:val="bullet"/>
      <w:pStyle w:val="ATGTableBullet"/>
      <w:lvlText w:val="►"/>
      <w:lvlJc w:val="left"/>
      <w:pPr>
        <w:ind w:left="720" w:hanging="360"/>
      </w:pPr>
      <w:rPr>
        <w:rFonts w:ascii="Arial" w:hAnsi="Arial" w:hint="default"/>
        <w:color w:val="3D3D3D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trackedChange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26"/>
    <w:rsid w:val="00007EBF"/>
    <w:rsid w:val="000342F8"/>
    <w:rsid w:val="00047477"/>
    <w:rsid w:val="00051BD4"/>
    <w:rsid w:val="000A4C84"/>
    <w:rsid w:val="000C6432"/>
    <w:rsid w:val="00131D19"/>
    <w:rsid w:val="0014336C"/>
    <w:rsid w:val="001A581E"/>
    <w:rsid w:val="001B0E83"/>
    <w:rsid w:val="001B18EB"/>
    <w:rsid w:val="001C1847"/>
    <w:rsid w:val="001C376E"/>
    <w:rsid w:val="001C75DE"/>
    <w:rsid w:val="001E3F77"/>
    <w:rsid w:val="001E4C8E"/>
    <w:rsid w:val="001F2DC6"/>
    <w:rsid w:val="001F563E"/>
    <w:rsid w:val="001F7170"/>
    <w:rsid w:val="00200259"/>
    <w:rsid w:val="00232F9E"/>
    <w:rsid w:val="00234090"/>
    <w:rsid w:val="0023517B"/>
    <w:rsid w:val="0024669A"/>
    <w:rsid w:val="00266426"/>
    <w:rsid w:val="002B3EA9"/>
    <w:rsid w:val="002C38AA"/>
    <w:rsid w:val="002D098B"/>
    <w:rsid w:val="002D55FD"/>
    <w:rsid w:val="002E3047"/>
    <w:rsid w:val="002F0C4A"/>
    <w:rsid w:val="002F2EBD"/>
    <w:rsid w:val="00324BDB"/>
    <w:rsid w:val="00344545"/>
    <w:rsid w:val="00374B70"/>
    <w:rsid w:val="00381450"/>
    <w:rsid w:val="0038202B"/>
    <w:rsid w:val="0039333C"/>
    <w:rsid w:val="00395A79"/>
    <w:rsid w:val="003C2865"/>
    <w:rsid w:val="003C2E1F"/>
    <w:rsid w:val="003D110D"/>
    <w:rsid w:val="00414C64"/>
    <w:rsid w:val="00435311"/>
    <w:rsid w:val="00486D6E"/>
    <w:rsid w:val="004A7242"/>
    <w:rsid w:val="004D0016"/>
    <w:rsid w:val="004E1FE0"/>
    <w:rsid w:val="0050096F"/>
    <w:rsid w:val="005178F5"/>
    <w:rsid w:val="00564A3C"/>
    <w:rsid w:val="00575A88"/>
    <w:rsid w:val="005778C6"/>
    <w:rsid w:val="005832B5"/>
    <w:rsid w:val="005B68E0"/>
    <w:rsid w:val="005D7DE3"/>
    <w:rsid w:val="0061041E"/>
    <w:rsid w:val="0063679E"/>
    <w:rsid w:val="00641D77"/>
    <w:rsid w:val="0064502E"/>
    <w:rsid w:val="00656672"/>
    <w:rsid w:val="006620C7"/>
    <w:rsid w:val="00684B26"/>
    <w:rsid w:val="00686DBA"/>
    <w:rsid w:val="00692954"/>
    <w:rsid w:val="006B259E"/>
    <w:rsid w:val="006C3985"/>
    <w:rsid w:val="006E4469"/>
    <w:rsid w:val="00707F84"/>
    <w:rsid w:val="00714B29"/>
    <w:rsid w:val="007B495D"/>
    <w:rsid w:val="007C3F8B"/>
    <w:rsid w:val="007D23B0"/>
    <w:rsid w:val="007E46FD"/>
    <w:rsid w:val="007F0A06"/>
    <w:rsid w:val="00832222"/>
    <w:rsid w:val="008323E4"/>
    <w:rsid w:val="00833325"/>
    <w:rsid w:val="00833A2E"/>
    <w:rsid w:val="00834907"/>
    <w:rsid w:val="00846AF3"/>
    <w:rsid w:val="00865A7A"/>
    <w:rsid w:val="00873D4C"/>
    <w:rsid w:val="00883E3E"/>
    <w:rsid w:val="008A2078"/>
    <w:rsid w:val="008D17F5"/>
    <w:rsid w:val="008D7EBA"/>
    <w:rsid w:val="008F5FAE"/>
    <w:rsid w:val="008F7176"/>
    <w:rsid w:val="008F78F5"/>
    <w:rsid w:val="00901A59"/>
    <w:rsid w:val="00921F83"/>
    <w:rsid w:val="0092229C"/>
    <w:rsid w:val="0097292C"/>
    <w:rsid w:val="00976EAB"/>
    <w:rsid w:val="009C165B"/>
    <w:rsid w:val="009F6D9E"/>
    <w:rsid w:val="00A02757"/>
    <w:rsid w:val="00A148CA"/>
    <w:rsid w:val="00A16F2B"/>
    <w:rsid w:val="00A2727E"/>
    <w:rsid w:val="00A32163"/>
    <w:rsid w:val="00A55001"/>
    <w:rsid w:val="00A763C3"/>
    <w:rsid w:val="00A766FE"/>
    <w:rsid w:val="00A857F0"/>
    <w:rsid w:val="00AA6EEB"/>
    <w:rsid w:val="00AC710F"/>
    <w:rsid w:val="00AC75C9"/>
    <w:rsid w:val="00AE2ADC"/>
    <w:rsid w:val="00AF549C"/>
    <w:rsid w:val="00B239BD"/>
    <w:rsid w:val="00B2728A"/>
    <w:rsid w:val="00B61152"/>
    <w:rsid w:val="00B8492A"/>
    <w:rsid w:val="00BF5FFC"/>
    <w:rsid w:val="00C068D0"/>
    <w:rsid w:val="00C85444"/>
    <w:rsid w:val="00CF4992"/>
    <w:rsid w:val="00D00340"/>
    <w:rsid w:val="00D42CBD"/>
    <w:rsid w:val="00D46180"/>
    <w:rsid w:val="00D701F6"/>
    <w:rsid w:val="00DB40BF"/>
    <w:rsid w:val="00DE58BE"/>
    <w:rsid w:val="00E22554"/>
    <w:rsid w:val="00E25502"/>
    <w:rsid w:val="00E3398D"/>
    <w:rsid w:val="00E353DE"/>
    <w:rsid w:val="00E83BB8"/>
    <w:rsid w:val="00EA4F42"/>
    <w:rsid w:val="00EC048E"/>
    <w:rsid w:val="00EC4275"/>
    <w:rsid w:val="00EC6FF7"/>
    <w:rsid w:val="00ED56B8"/>
    <w:rsid w:val="00EE081E"/>
    <w:rsid w:val="00F05573"/>
    <w:rsid w:val="00F2593F"/>
    <w:rsid w:val="00F5334A"/>
    <w:rsid w:val="00F66F80"/>
    <w:rsid w:val="00F874AD"/>
    <w:rsid w:val="00F897F7"/>
    <w:rsid w:val="00F97C2A"/>
    <w:rsid w:val="00FB0F4C"/>
    <w:rsid w:val="00FB2E58"/>
    <w:rsid w:val="00FC09D8"/>
    <w:rsid w:val="00FD542A"/>
    <w:rsid w:val="0144DB27"/>
    <w:rsid w:val="0230EB19"/>
    <w:rsid w:val="032ADF32"/>
    <w:rsid w:val="045A38F0"/>
    <w:rsid w:val="08582A1C"/>
    <w:rsid w:val="086ECE65"/>
    <w:rsid w:val="08B29664"/>
    <w:rsid w:val="0997D0FB"/>
    <w:rsid w:val="0C1B955E"/>
    <w:rsid w:val="0D7FEBFC"/>
    <w:rsid w:val="0E71DCF4"/>
    <w:rsid w:val="0EDD902F"/>
    <w:rsid w:val="0F5F0511"/>
    <w:rsid w:val="0FD8192E"/>
    <w:rsid w:val="105AEEE0"/>
    <w:rsid w:val="1061441A"/>
    <w:rsid w:val="10BDA849"/>
    <w:rsid w:val="123A34C2"/>
    <w:rsid w:val="138879F5"/>
    <w:rsid w:val="15922FC8"/>
    <w:rsid w:val="180A5182"/>
    <w:rsid w:val="1A7DBB9A"/>
    <w:rsid w:val="1AAA1209"/>
    <w:rsid w:val="1BDC0B87"/>
    <w:rsid w:val="1BE11708"/>
    <w:rsid w:val="1E999251"/>
    <w:rsid w:val="1F171A40"/>
    <w:rsid w:val="1FBB15F7"/>
    <w:rsid w:val="21180356"/>
    <w:rsid w:val="22FBB845"/>
    <w:rsid w:val="23362003"/>
    <w:rsid w:val="239E653F"/>
    <w:rsid w:val="25A4E319"/>
    <w:rsid w:val="25B3D8DD"/>
    <w:rsid w:val="260271E8"/>
    <w:rsid w:val="27E5703B"/>
    <w:rsid w:val="28C78796"/>
    <w:rsid w:val="2A04FBA3"/>
    <w:rsid w:val="2A504B25"/>
    <w:rsid w:val="2DE9CCBD"/>
    <w:rsid w:val="2F36FBCA"/>
    <w:rsid w:val="3115E22F"/>
    <w:rsid w:val="3559DE81"/>
    <w:rsid w:val="363CDD35"/>
    <w:rsid w:val="3728B2A2"/>
    <w:rsid w:val="376BFB56"/>
    <w:rsid w:val="37706F1B"/>
    <w:rsid w:val="383BB97D"/>
    <w:rsid w:val="38947842"/>
    <w:rsid w:val="39F3D5FD"/>
    <w:rsid w:val="3BB7223E"/>
    <w:rsid w:val="3CB12FF1"/>
    <w:rsid w:val="3D088FCA"/>
    <w:rsid w:val="3D7534E7"/>
    <w:rsid w:val="3E7D0CD8"/>
    <w:rsid w:val="3E91D2A4"/>
    <w:rsid w:val="3F770D3B"/>
    <w:rsid w:val="405BC023"/>
    <w:rsid w:val="40D70323"/>
    <w:rsid w:val="40DD9DF9"/>
    <w:rsid w:val="41DC00ED"/>
    <w:rsid w:val="4281BF8C"/>
    <w:rsid w:val="43A40049"/>
    <w:rsid w:val="4489C2E2"/>
    <w:rsid w:val="453B2934"/>
    <w:rsid w:val="485591D0"/>
    <w:rsid w:val="49352633"/>
    <w:rsid w:val="4A1231BF"/>
    <w:rsid w:val="4AAB804E"/>
    <w:rsid w:val="4B6A3A21"/>
    <w:rsid w:val="4BAD82D5"/>
    <w:rsid w:val="4BE1F9EE"/>
    <w:rsid w:val="4D5D8E10"/>
    <w:rsid w:val="4DD07E95"/>
    <w:rsid w:val="4E9D7A2D"/>
    <w:rsid w:val="50315B51"/>
    <w:rsid w:val="51E784B6"/>
    <w:rsid w:val="550CBBB1"/>
    <w:rsid w:val="55AC67F4"/>
    <w:rsid w:val="560C5C86"/>
    <w:rsid w:val="56A1CD7C"/>
    <w:rsid w:val="56F82302"/>
    <w:rsid w:val="574688F9"/>
    <w:rsid w:val="5752FF5B"/>
    <w:rsid w:val="57CABB1B"/>
    <w:rsid w:val="58E5AB4B"/>
    <w:rsid w:val="5B09D2C2"/>
    <w:rsid w:val="5B392533"/>
    <w:rsid w:val="5B8B09C4"/>
    <w:rsid w:val="5DFCE46D"/>
    <w:rsid w:val="5FF5A52A"/>
    <w:rsid w:val="60005FCF"/>
    <w:rsid w:val="626068D2"/>
    <w:rsid w:val="63A6A1DF"/>
    <w:rsid w:val="63C3CF5E"/>
    <w:rsid w:val="64EBC71E"/>
    <w:rsid w:val="67FE9BBD"/>
    <w:rsid w:val="68B0B203"/>
    <w:rsid w:val="68E7ABD9"/>
    <w:rsid w:val="69F61A03"/>
    <w:rsid w:val="6A64D3D2"/>
    <w:rsid w:val="6DF288AD"/>
    <w:rsid w:val="6E0EAA00"/>
    <w:rsid w:val="6E6D4EE2"/>
    <w:rsid w:val="71B873BB"/>
    <w:rsid w:val="71DFE92C"/>
    <w:rsid w:val="7237D116"/>
    <w:rsid w:val="75D9BAA5"/>
    <w:rsid w:val="75FA757E"/>
    <w:rsid w:val="77A2941B"/>
    <w:rsid w:val="7842CD2B"/>
    <w:rsid w:val="78FC7B12"/>
    <w:rsid w:val="7A2A39E9"/>
    <w:rsid w:val="7B0A2099"/>
    <w:rsid w:val="7B4B38C4"/>
    <w:rsid w:val="7B674833"/>
    <w:rsid w:val="7B9D46C9"/>
    <w:rsid w:val="7BF7B88E"/>
    <w:rsid w:val="7DCCD418"/>
    <w:rsid w:val="7DD9ACD3"/>
    <w:rsid w:val="7FF0E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C250C5"/>
  <w15:chartTrackingRefBased/>
  <w15:docId w15:val="{107E9846-C82E-4F13-BA6A-7ECCBB7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GBodyText">
    <w:name w:val="ATG Body Text"/>
    <w:basedOn w:val="Normal"/>
    <w:qFormat/>
    <w:rsid w:val="00EC6FF7"/>
    <w:pPr>
      <w:spacing w:after="120" w:line="240" w:lineRule="auto"/>
    </w:pPr>
  </w:style>
  <w:style w:type="paragraph" w:customStyle="1" w:styleId="ATGBodyBullet1">
    <w:name w:val="ATG Body Bullet 1"/>
    <w:basedOn w:val="ATGBodyText"/>
    <w:qFormat/>
    <w:rsid w:val="002F2EBD"/>
    <w:pPr>
      <w:numPr>
        <w:numId w:val="2"/>
      </w:numPr>
    </w:pPr>
  </w:style>
  <w:style w:type="paragraph" w:customStyle="1" w:styleId="ATGBodyBullet2">
    <w:name w:val="ATG Body Bullet 2"/>
    <w:basedOn w:val="ATGBodyText"/>
    <w:qFormat/>
    <w:rsid w:val="008F7176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575A88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A88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75A88"/>
    <w:pPr>
      <w:pBdr>
        <w:top w:val="single" w:sz="4" w:space="1" w:color="43A7B7" w:themeColor="accent2"/>
      </w:pBdr>
      <w:tabs>
        <w:tab w:val="center" w:pos="4680"/>
        <w:tab w:val="right" w:pos="9360"/>
      </w:tabs>
      <w:spacing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75A88"/>
    <w:rPr>
      <w:sz w:val="20"/>
    </w:rPr>
  </w:style>
  <w:style w:type="paragraph" w:customStyle="1" w:styleId="ATGCaption">
    <w:name w:val="ATG Caption"/>
    <w:qFormat/>
    <w:rsid w:val="00976EAB"/>
    <w:pPr>
      <w:spacing w:after="0" w:line="240" w:lineRule="auto"/>
    </w:pPr>
    <w:rPr>
      <w:i/>
      <w:color w:val="000000" w:themeColor="accent3"/>
      <w:sz w:val="20"/>
    </w:rPr>
  </w:style>
  <w:style w:type="paragraph" w:customStyle="1" w:styleId="ATGHeading1">
    <w:name w:val="ATG Heading 1"/>
    <w:basedOn w:val="Normal"/>
    <w:qFormat/>
    <w:rsid w:val="00EC4275"/>
    <w:pPr>
      <w:keepNext/>
      <w:shd w:val="clear" w:color="auto" w:fill="1BA6B7"/>
      <w:spacing w:after="12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customStyle="1" w:styleId="ATGHeading2">
    <w:name w:val="ATG Heading 2"/>
    <w:basedOn w:val="Normal"/>
    <w:qFormat/>
    <w:rsid w:val="00EC4275"/>
    <w:pPr>
      <w:keepNext/>
      <w:pBdr>
        <w:bottom w:val="single" w:sz="4" w:space="1" w:color="000000" w:themeColor="accent3"/>
      </w:pBdr>
      <w:spacing w:before="240" w:after="120" w:line="240" w:lineRule="auto"/>
    </w:pPr>
    <w:rPr>
      <w:rFonts w:asciiTheme="majorHAnsi" w:hAnsiTheme="majorHAnsi"/>
      <w:b/>
      <w:color w:val="1BA6B7"/>
      <w:sz w:val="28"/>
    </w:rPr>
  </w:style>
  <w:style w:type="paragraph" w:customStyle="1" w:styleId="ATGHeading3">
    <w:name w:val="ATG Heading 3"/>
    <w:basedOn w:val="Normal"/>
    <w:qFormat/>
    <w:rsid w:val="00EC4275"/>
    <w:pPr>
      <w:keepNext/>
      <w:spacing w:before="180" w:after="60" w:line="240" w:lineRule="auto"/>
    </w:pPr>
    <w:rPr>
      <w:rFonts w:asciiTheme="majorHAnsi" w:hAnsiTheme="majorHAnsi"/>
      <w:b/>
      <w:color w:val="3D3D3D"/>
      <w:sz w:val="26"/>
    </w:rPr>
  </w:style>
  <w:style w:type="paragraph" w:customStyle="1" w:styleId="ATGHeading4">
    <w:name w:val="ATG Heading 4"/>
    <w:basedOn w:val="Normal"/>
    <w:qFormat/>
    <w:rsid w:val="008D17F5"/>
    <w:pPr>
      <w:keepNext/>
      <w:spacing w:before="120" w:after="60" w:line="240" w:lineRule="auto"/>
    </w:pPr>
    <w:rPr>
      <w:rFonts w:asciiTheme="majorHAnsi" w:hAnsiTheme="majorHAnsi"/>
      <w:b/>
      <w:i/>
      <w:color w:val="3D3D3D" w:themeColor="background2"/>
      <w:sz w:val="24"/>
    </w:rPr>
  </w:style>
  <w:style w:type="paragraph" w:customStyle="1" w:styleId="ATGHeading5">
    <w:name w:val="ATG Heading 5"/>
    <w:basedOn w:val="Normal"/>
    <w:qFormat/>
    <w:rsid w:val="002E3047"/>
    <w:pPr>
      <w:keepNext/>
      <w:pBdr>
        <w:bottom w:val="single" w:sz="4" w:space="1" w:color="43A7B7" w:themeColor="accent2"/>
      </w:pBdr>
      <w:spacing w:before="120" w:after="60" w:line="240" w:lineRule="auto"/>
    </w:pPr>
    <w:rPr>
      <w:rFonts w:asciiTheme="majorHAnsi" w:hAnsiTheme="majorHAnsi"/>
      <w:color w:val="43A7B7" w:themeColor="text2"/>
    </w:rPr>
  </w:style>
  <w:style w:type="table" w:styleId="TableGrid">
    <w:name w:val="Table Grid"/>
    <w:basedOn w:val="TableNormal"/>
    <w:uiPriority w:val="39"/>
    <w:rsid w:val="002E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BoxText">
    <w:name w:val="ATG Box Text"/>
    <w:basedOn w:val="Normal"/>
    <w:qFormat/>
    <w:rsid w:val="002E3047"/>
    <w:pPr>
      <w:spacing w:after="60" w:line="240" w:lineRule="auto"/>
    </w:pPr>
    <w:rPr>
      <w:sz w:val="20"/>
    </w:rPr>
  </w:style>
  <w:style w:type="paragraph" w:customStyle="1" w:styleId="ATGBoxBullet1">
    <w:name w:val="ATG Box Bullet 1"/>
    <w:basedOn w:val="ATGBoxText"/>
    <w:qFormat/>
    <w:rsid w:val="002F2EBD"/>
    <w:pPr>
      <w:numPr>
        <w:numId w:val="4"/>
      </w:numPr>
    </w:pPr>
    <w:rPr>
      <w:color w:val="3D3D3D"/>
    </w:rPr>
  </w:style>
  <w:style w:type="paragraph" w:customStyle="1" w:styleId="ATGBoxBullet2">
    <w:name w:val="ATG Box Bullet 2"/>
    <w:basedOn w:val="ATGBoxText"/>
    <w:qFormat/>
    <w:rsid w:val="002E3047"/>
    <w:pPr>
      <w:numPr>
        <w:numId w:val="5"/>
      </w:numPr>
      <w:ind w:left="576" w:hanging="288"/>
    </w:pPr>
  </w:style>
  <w:style w:type="paragraph" w:customStyle="1" w:styleId="ATGBoxCheck">
    <w:name w:val="ATG Box Check"/>
    <w:basedOn w:val="ATGBoxText"/>
    <w:qFormat/>
    <w:rsid w:val="002E3047"/>
    <w:pPr>
      <w:numPr>
        <w:numId w:val="6"/>
      </w:numPr>
      <w:ind w:left="288" w:hanging="288"/>
    </w:pPr>
  </w:style>
  <w:style w:type="paragraph" w:customStyle="1" w:styleId="ATGBoxTitle">
    <w:name w:val="ATG Box Title"/>
    <w:basedOn w:val="Normal"/>
    <w:qFormat/>
    <w:rsid w:val="00EC4275"/>
    <w:pPr>
      <w:shd w:val="clear" w:color="auto" w:fill="3D3D3D"/>
      <w:spacing w:after="6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ATGBoxHeading">
    <w:name w:val="ATG Box Heading"/>
    <w:basedOn w:val="Normal"/>
    <w:qFormat/>
    <w:rsid w:val="00575A88"/>
    <w:pPr>
      <w:pBdr>
        <w:bottom w:val="single" w:sz="4" w:space="1" w:color="3D3D3D" w:themeColor="background2"/>
      </w:pBdr>
      <w:spacing w:after="0" w:line="240" w:lineRule="auto"/>
    </w:pPr>
    <w:rPr>
      <w:rFonts w:asciiTheme="majorHAnsi" w:hAnsiTheme="majorHAnsi"/>
      <w:b/>
      <w:color w:val="43A7B7" w:themeColor="text2"/>
      <w:sz w:val="20"/>
    </w:rPr>
  </w:style>
  <w:style w:type="paragraph" w:customStyle="1" w:styleId="ATGTableText">
    <w:name w:val="ATG Table Text"/>
    <w:basedOn w:val="ATGBodyText"/>
    <w:qFormat/>
    <w:rsid w:val="00575A88"/>
    <w:pPr>
      <w:spacing w:after="0"/>
    </w:pPr>
    <w:rPr>
      <w:sz w:val="20"/>
    </w:rPr>
  </w:style>
  <w:style w:type="paragraph" w:customStyle="1" w:styleId="ATGTableHeading">
    <w:name w:val="ATG Table Heading"/>
    <w:basedOn w:val="ATGBodyText"/>
    <w:qFormat/>
    <w:rsid w:val="00575A88"/>
    <w:pPr>
      <w:spacing w:after="0"/>
      <w:jc w:val="center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ATGTableBullet">
    <w:name w:val="ATG Table Bullet"/>
    <w:basedOn w:val="ATGTableText"/>
    <w:qFormat/>
    <w:rsid w:val="00575A88"/>
    <w:pPr>
      <w:numPr>
        <w:numId w:val="7"/>
      </w:numPr>
      <w:ind w:left="288" w:hanging="288"/>
    </w:pPr>
  </w:style>
  <w:style w:type="character" w:styleId="Hyperlink">
    <w:name w:val="Hyperlink"/>
    <w:basedOn w:val="DefaultParagraphFont"/>
    <w:uiPriority w:val="99"/>
    <w:unhideWhenUsed/>
    <w:rsid w:val="00A55001"/>
    <w:rPr>
      <w:color w:val="43A7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E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339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98D"/>
    <w:rPr>
      <w:rFonts w:eastAsiaTheme="minorEastAsia"/>
    </w:rPr>
  </w:style>
  <w:style w:type="paragraph" w:styleId="ListParagraph">
    <w:name w:val="List Paragraph"/>
    <w:aliases w:val="Bulleted"/>
    <w:basedOn w:val="Normal"/>
    <w:uiPriority w:val="34"/>
    <w:qFormat/>
    <w:rsid w:val="0023517B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165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7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1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eena.maskey@txdot.gov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Chaney@emailatg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teams.microsoft.com/l/file/5CE7522B-218E-4D0A-B9EA-F212DA214B35?tenantId=31b2883e-6cb9-4fb8-9190-c37247992f9e&amp;fileType=pdf&amp;objectUrl=https%3A%2F%2Femailatg2.sharepoint.com%2Fsites%2FCorridorForecasting%2FShared%20Documents%2FGeneral%2FTXDOT%20TPP%20SOP%2FTPP_TAB_SOP_Oct2019.pdf&amp;baseUrl=https%3A%2F%2Femailatg2.sharepoint.com%2Fsites%2FCorridorForecasting&amp;serviceName=teams&amp;threadId=19:505d242cb6284059961fa7f370fb9f92@thread.skype&amp;groupId=c61f5289-2b1b-4cfe-af5d-8bc90695410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43A7B7"/>
      </a:dk2>
      <a:lt2>
        <a:srgbClr val="3D3D3D"/>
      </a:lt2>
      <a:accent1>
        <a:srgbClr val="ACA2A5"/>
      </a:accent1>
      <a:accent2>
        <a:srgbClr val="43A7B7"/>
      </a:accent2>
      <a:accent3>
        <a:srgbClr val="000000"/>
      </a:accent3>
      <a:accent4>
        <a:srgbClr val="F9A663"/>
      </a:accent4>
      <a:accent5>
        <a:srgbClr val="E2D9DC"/>
      </a:accent5>
      <a:accent6>
        <a:srgbClr val="75CAE4"/>
      </a:accent6>
      <a:hlink>
        <a:srgbClr val="43A7B7"/>
      </a:hlink>
      <a:folHlink>
        <a:srgbClr val="ACA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4DD37579A5D4D9C7ADC1394F5150B" ma:contentTypeVersion="6" ma:contentTypeDescription="Create a new document." ma:contentTypeScope="" ma:versionID="38a6b59beb45569c8ffe6769c5102f5f">
  <xsd:schema xmlns:xsd="http://www.w3.org/2001/XMLSchema" xmlns:xs="http://www.w3.org/2001/XMLSchema" xmlns:p="http://schemas.microsoft.com/office/2006/metadata/properties" xmlns:ns2="39cba505-956e-4c02-aeda-0bc52db65f4a" xmlns:ns3="3762715f-52d0-4251-8bca-f537485b877a" targetNamespace="http://schemas.microsoft.com/office/2006/metadata/properties" ma:root="true" ma:fieldsID="daf7ec00bea14252e168199a0a872a9e" ns2:_="" ns3:_="">
    <xsd:import namespace="39cba505-956e-4c02-aeda-0bc52db65f4a"/>
    <xsd:import namespace="3762715f-52d0-4251-8bca-f537485b8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ba505-956e-4c02-aeda-0bc52db65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2715f-52d0-4251-8bca-f537485b8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EAFE06-346C-47C7-8D3E-41C0962E9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ba505-956e-4c02-aeda-0bc52db65f4a"/>
    <ds:schemaRef ds:uri="3762715f-52d0-4251-8bca-f537485b8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1DAC1-D9B7-4D15-8CB6-12210BB9B947}">
  <ds:schemaRefs>
    <ds:schemaRef ds:uri="http://www.w3.org/XML/1998/namespace"/>
    <ds:schemaRef ds:uri="39cba505-956e-4c02-aeda-0bc52db65f4a"/>
    <ds:schemaRef ds:uri="http://schemas.microsoft.com/office/2006/documentManagement/types"/>
    <ds:schemaRef ds:uri="http://schemas.microsoft.com/office/2006/metadata/properties"/>
    <ds:schemaRef ds:uri="http://purl.org/dc/terms/"/>
    <ds:schemaRef ds:uri="3762715f-52d0-4251-8bca-f537485b877a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6BB107B-1683-456D-A433-3148334FD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Links>
    <vt:vector size="18" baseType="variant">
      <vt:variant>
        <vt:i4>7077919</vt:i4>
      </vt:variant>
      <vt:variant>
        <vt:i4>6</vt:i4>
      </vt:variant>
      <vt:variant>
        <vt:i4>0</vt:i4>
      </vt:variant>
      <vt:variant>
        <vt:i4>5</vt:i4>
      </vt:variant>
      <vt:variant>
        <vt:lpwstr>mailto:geena.maskey@txdot.gov</vt:lpwstr>
      </vt:variant>
      <vt:variant>
        <vt:lpwstr/>
      </vt:variant>
      <vt:variant>
        <vt:i4>2949132</vt:i4>
      </vt:variant>
      <vt:variant>
        <vt:i4>3</vt:i4>
      </vt:variant>
      <vt:variant>
        <vt:i4>0</vt:i4>
      </vt:variant>
      <vt:variant>
        <vt:i4>5</vt:i4>
      </vt:variant>
      <vt:variant>
        <vt:lpwstr>mailto:MChaney@emailatg.com</vt:lpwstr>
      </vt:variant>
      <vt:variant>
        <vt:lpwstr/>
      </vt:variant>
      <vt:variant>
        <vt:i4>3932287</vt:i4>
      </vt:variant>
      <vt:variant>
        <vt:i4>0</vt:i4>
      </vt:variant>
      <vt:variant>
        <vt:i4>0</vt:i4>
      </vt:variant>
      <vt:variant>
        <vt:i4>5</vt:i4>
      </vt:variant>
      <vt:variant>
        <vt:lpwstr>https://www.txdot.gov/content/txdot/en/inside-txdot/division/transportation-planning.html/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Dougherty</dc:creator>
  <cp:keywords/>
  <dc:description/>
  <cp:lastModifiedBy>Sheena Tolentino</cp:lastModifiedBy>
  <cp:revision>2</cp:revision>
  <cp:lastPrinted>2019-03-19T22:47:00Z</cp:lastPrinted>
  <dcterms:created xsi:type="dcterms:W3CDTF">2021-08-04T16:56:00Z</dcterms:created>
  <dcterms:modified xsi:type="dcterms:W3CDTF">2021-08-04T16:56:00Z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0x0101008044DD37579A5D4D9C7ADC1394F5150B</vt:lpwstr>
  </property>
</Properties>
</file>