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9BAE" w14:textId="77777777" w:rsidR="006C6FE7" w:rsidRPr="003234EF" w:rsidRDefault="00000000">
      <w:pPr>
        <w:shd w:val="clear" w:color="auto" w:fill="1A1A6E"/>
        <w:jc w:val="center"/>
        <w:rPr>
          <w:sz w:val="40"/>
          <w:szCs w:val="40"/>
        </w:rPr>
      </w:pPr>
      <w:r w:rsidRPr="003234EF">
        <w:rPr>
          <w:rFonts w:eastAsia="Calibri"/>
          <w:b/>
          <w:bCs/>
          <w:color w:val="C8A828"/>
          <w:sz w:val="40"/>
          <w:szCs w:val="40"/>
        </w:rPr>
        <w:t>INDIA RECESSION PREDICTOR — RESEARCH PLATFORM</w:t>
      </w:r>
    </w:p>
    <w:p w14:paraId="5A0656F3" w14:textId="6BEC4F3F" w:rsidR="006C6FE7" w:rsidRPr="003234EF" w:rsidRDefault="00000000">
      <w:pPr>
        <w:shd w:val="clear" w:color="auto" w:fill="1A1A6E"/>
        <w:spacing w:after="300"/>
        <w:jc w:val="center"/>
        <w:rPr>
          <w:sz w:val="40"/>
          <w:szCs w:val="40"/>
        </w:rPr>
      </w:pPr>
      <w:r w:rsidRPr="003234EF">
        <w:rPr>
          <w:rFonts w:eastAsia="Calibri"/>
          <w:b/>
          <w:bCs/>
          <w:color w:val="FFFFFF"/>
          <w:sz w:val="40"/>
          <w:szCs w:val="40"/>
        </w:rPr>
        <w:t>PRODUCT REQUIREMENTS DOCUMENT  |  v2.0 — Jan 2000 to Feb 2026</w:t>
      </w:r>
    </w:p>
    <w:p w14:paraId="404281F8" w14:textId="77777777" w:rsidR="006C6FE7" w:rsidRPr="003234EF" w:rsidRDefault="006C6FE7">
      <w:pPr>
        <w:spacing w:before="80" w:after="80"/>
        <w:rPr>
          <w:sz w:val="40"/>
          <w:szCs w:val="40"/>
        </w:rPr>
      </w:pPr>
    </w:p>
    <w:p w14:paraId="5280CAD4" w14:textId="77777777" w:rsidR="006C6FE7" w:rsidRPr="003234EF" w:rsidRDefault="00000000">
      <w:pPr>
        <w:spacing w:before="100" w:after="80"/>
        <w:jc w:val="center"/>
        <w:rPr>
          <w:sz w:val="40"/>
          <w:szCs w:val="40"/>
        </w:rPr>
      </w:pPr>
      <w:r w:rsidRPr="003234EF">
        <w:rPr>
          <w:rFonts w:eastAsia="Calibri"/>
          <w:b/>
          <w:bCs/>
          <w:color w:val="1A1A6E"/>
          <w:sz w:val="40"/>
          <w:szCs w:val="40"/>
        </w:rPr>
        <w:t>Product Requirements Document</w:t>
      </w:r>
    </w:p>
    <w:p w14:paraId="31F208A6" w14:textId="77777777" w:rsidR="006C6FE7" w:rsidRPr="003234EF" w:rsidRDefault="00000000">
      <w:pPr>
        <w:spacing w:after="150"/>
        <w:jc w:val="center"/>
        <w:rPr>
          <w:sz w:val="40"/>
          <w:szCs w:val="40"/>
        </w:rPr>
      </w:pPr>
      <w:r w:rsidRPr="003234EF">
        <w:rPr>
          <w:rFonts w:eastAsia="Calibri"/>
          <w:color w:val="C8A828"/>
          <w:sz w:val="40"/>
          <w:szCs w:val="40"/>
        </w:rPr>
        <w:t>What the product is, who it is for, and what it must do — updated for 302-month dataset</w:t>
      </w:r>
    </w:p>
    <w:p w14:paraId="2D4295C8" w14:textId="26C2B15B" w:rsidR="006C6FE7" w:rsidRPr="003234EF" w:rsidRDefault="00000000">
      <w:pPr>
        <w:pBdr>
          <w:top w:val="single" w:sz="6" w:space="0" w:color="C8A828"/>
          <w:bottom w:val="single" w:sz="6" w:space="0" w:color="C8A828"/>
        </w:pBdr>
        <w:spacing w:before="120" w:after="120"/>
        <w:jc w:val="center"/>
        <w:rPr>
          <w:sz w:val="24"/>
          <w:szCs w:val="24"/>
        </w:rPr>
      </w:pPr>
      <w:r w:rsidRPr="003234EF">
        <w:rPr>
          <w:rFonts w:eastAsia="Calibri"/>
          <w:color w:val="2D2D2D"/>
          <w:sz w:val="24"/>
          <w:szCs w:val="24"/>
        </w:rPr>
        <w:t>Team: Ratan Sharma (A0</w:t>
      </w:r>
      <w:r w:rsidR="00E67067">
        <w:rPr>
          <w:rFonts w:eastAsia="Calibri"/>
          <w:color w:val="2D2D2D"/>
          <w:sz w:val="24"/>
          <w:szCs w:val="24"/>
        </w:rPr>
        <w:t>36</w:t>
      </w:r>
      <w:r w:rsidRPr="003234EF">
        <w:rPr>
          <w:rFonts w:eastAsia="Calibri"/>
          <w:color w:val="2D2D2D"/>
          <w:sz w:val="24"/>
          <w:szCs w:val="24"/>
        </w:rPr>
        <w:t>)  ·  Mayank</w:t>
      </w:r>
      <w:r w:rsidR="00E67067">
        <w:rPr>
          <w:rFonts w:eastAsia="Calibri"/>
          <w:color w:val="2D2D2D"/>
          <w:sz w:val="24"/>
          <w:szCs w:val="24"/>
        </w:rPr>
        <w:t xml:space="preserve"> Gupta</w:t>
      </w:r>
      <w:r w:rsidRPr="003234EF">
        <w:rPr>
          <w:rFonts w:eastAsia="Calibri"/>
          <w:color w:val="2D2D2D"/>
          <w:sz w:val="24"/>
          <w:szCs w:val="24"/>
        </w:rPr>
        <w:t xml:space="preserve"> (A0</w:t>
      </w:r>
      <w:r w:rsidR="00E67067">
        <w:rPr>
          <w:rFonts w:eastAsia="Calibri"/>
          <w:color w:val="2D2D2D"/>
          <w:sz w:val="24"/>
          <w:szCs w:val="24"/>
        </w:rPr>
        <w:t>42</w:t>
      </w:r>
      <w:r w:rsidRPr="003234EF">
        <w:rPr>
          <w:rFonts w:eastAsia="Calibri"/>
          <w:color w:val="2D2D2D"/>
          <w:sz w:val="24"/>
          <w:szCs w:val="24"/>
        </w:rPr>
        <w:t>)  ·  Kunal</w:t>
      </w:r>
      <w:r w:rsidR="00E67067">
        <w:rPr>
          <w:rFonts w:eastAsia="Calibri"/>
          <w:color w:val="2D2D2D"/>
          <w:sz w:val="24"/>
          <w:szCs w:val="24"/>
        </w:rPr>
        <w:t xml:space="preserve"> Verma</w:t>
      </w:r>
      <w:r w:rsidRPr="003234EF">
        <w:rPr>
          <w:rFonts w:eastAsia="Calibri"/>
          <w:color w:val="2D2D2D"/>
          <w:sz w:val="24"/>
          <w:szCs w:val="24"/>
        </w:rPr>
        <w:t xml:space="preserve"> (A0</w:t>
      </w:r>
      <w:r w:rsidR="00E67067">
        <w:rPr>
          <w:rFonts w:eastAsia="Calibri"/>
          <w:color w:val="2D2D2D"/>
          <w:sz w:val="24"/>
          <w:szCs w:val="24"/>
        </w:rPr>
        <w:t>24</w:t>
      </w:r>
      <w:r w:rsidRPr="003234EF">
        <w:rPr>
          <w:rFonts w:eastAsia="Calibri"/>
          <w:color w:val="2D2D2D"/>
          <w:sz w:val="24"/>
          <w:szCs w:val="24"/>
        </w:rPr>
        <w:t>)  |  NMIMS Mumbai  |  MSc Data Science 2026</w:t>
      </w:r>
    </w:p>
    <w:p w14:paraId="6E78EC73" w14:textId="77777777" w:rsidR="006C6FE7" w:rsidRPr="003234EF" w:rsidRDefault="00000000">
      <w:pPr>
        <w:spacing w:before="60" w:after="300"/>
        <w:jc w:val="center"/>
        <w:rPr>
          <w:sz w:val="24"/>
          <w:szCs w:val="24"/>
        </w:rPr>
      </w:pPr>
      <w:r w:rsidRPr="003234EF">
        <w:rPr>
          <w:rFonts w:eastAsia="Calibri"/>
          <w:b/>
          <w:bCs/>
          <w:color w:val="1A1A6E"/>
          <w:sz w:val="24"/>
          <w:szCs w:val="24"/>
        </w:rPr>
        <w:t>Data: January 2000 – February 2026  |  302 Months  |  6 Recession Episodes  |  ~44 Recession Months</w:t>
      </w:r>
    </w:p>
    <w:p w14:paraId="3013ECF7" w14:textId="77777777" w:rsidR="006C6FE7" w:rsidRPr="003234EF" w:rsidRDefault="00000000">
      <w:pPr>
        <w:rPr>
          <w:sz w:val="28"/>
          <w:szCs w:val="28"/>
        </w:rPr>
      </w:pPr>
      <w:r w:rsidRPr="003234EF">
        <w:rPr>
          <w:sz w:val="28"/>
          <w:szCs w:val="28"/>
        </w:rPr>
        <w:br w:type="page"/>
      </w:r>
    </w:p>
    <w:p w14:paraId="07769CDF" w14:textId="77777777" w:rsidR="006C6FE7" w:rsidRPr="003234EF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3234EF">
        <w:rPr>
          <w:rFonts w:eastAsia="Calibri"/>
          <w:b/>
          <w:bCs/>
          <w:color w:val="FFFFFF"/>
          <w:sz w:val="40"/>
          <w:szCs w:val="40"/>
        </w:rPr>
        <w:lastRenderedPageBreak/>
        <w:t>1. Product Overview</w:t>
      </w:r>
    </w:p>
    <w:p w14:paraId="6C6CC205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235C1DB3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3234EF">
        <w:rPr>
          <w:rFonts w:eastAsia="Calibri"/>
          <w:b/>
          <w:bCs/>
          <w:color w:val="1A1A6E"/>
          <w:sz w:val="36"/>
          <w:szCs w:val="36"/>
        </w:rPr>
        <w:t>1.1 Product Vision</w:t>
      </w:r>
    </w:p>
    <w:p w14:paraId="1FEC1473" w14:textId="77777777" w:rsidR="006C6FE7" w:rsidRPr="003234EF" w:rsidRDefault="00000000">
      <w:pPr>
        <w:pBdr>
          <w:left w:val="single" w:sz="14" w:space="0" w:color="C8A828"/>
        </w:pBdr>
        <w:shd w:val="clear" w:color="auto" w:fill="EEF2FF"/>
        <w:spacing w:before="120" w:after="120"/>
        <w:ind w:left="300" w:right="20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India Recession Predictor is a research-grade web platform where economists, data scientists, and institutional researchers collaboratively predict, analyse, and explain Indian economic recessions using Machine Learning, NLP, and Agentic AI — now trained on 26 years of data (January 2000 to February 2026) covering six distinct recession episodes.</w:t>
      </w:r>
    </w:p>
    <w:p w14:paraId="3ED95100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320542F2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3234EF">
        <w:rPr>
          <w:rFonts w:eastAsia="Calibri"/>
          <w:b/>
          <w:bCs/>
          <w:color w:val="1A1A6E"/>
          <w:sz w:val="36"/>
          <w:szCs w:val="36"/>
        </w:rPr>
        <w:t>1.2 Core Upgrade — Dataset Extended to 2000</w:t>
      </w:r>
    </w:p>
    <w:p w14:paraId="0EE5FE81" w14:textId="77777777" w:rsidR="006C6FE7" w:rsidRPr="003234EF" w:rsidRDefault="00000000">
      <w:pPr>
        <w:pBdr>
          <w:left w:val="single" w:sz="14" w:space="0" w:color="8A1010"/>
        </w:pBdr>
        <w:shd w:val="clear" w:color="auto" w:fill="FFF0F0"/>
        <w:spacing w:before="120" w:after="120"/>
        <w:ind w:left="300" w:right="200"/>
        <w:rPr>
          <w:sz w:val="28"/>
          <w:szCs w:val="28"/>
        </w:rPr>
      </w:pPr>
      <w:r w:rsidRPr="003234EF">
        <w:rPr>
          <w:rFonts w:eastAsia="Calibri"/>
          <w:b/>
          <w:bCs/>
          <w:color w:val="8A1010"/>
          <w:sz w:val="28"/>
          <w:szCs w:val="28"/>
        </w:rPr>
        <w:t>Original limitation: Model trained only on Jan 2012–Feb 2026 (170 months). Only 10 recession months, all from COVID-19. Model had seen only one type of recession.</w:t>
      </w:r>
    </w:p>
    <w:p w14:paraId="2861645F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3B544B42" w14:textId="77777777" w:rsidR="006C6FE7" w:rsidRPr="003234EF" w:rsidRDefault="00000000">
      <w:pPr>
        <w:pBdr>
          <w:left w:val="single" w:sz="14" w:space="0" w:color="1A5A1A"/>
        </w:pBdr>
        <w:shd w:val="clear" w:color="auto" w:fill="E8FFE8"/>
        <w:spacing w:before="120" w:after="120"/>
        <w:ind w:left="300" w:right="200"/>
        <w:rPr>
          <w:sz w:val="28"/>
          <w:szCs w:val="28"/>
        </w:rPr>
      </w:pPr>
      <w:r w:rsidRPr="003234EF">
        <w:rPr>
          <w:rFonts w:eastAsia="Calibri"/>
          <w:b/>
          <w:bCs/>
          <w:color w:val="1A5A1A"/>
          <w:sz w:val="28"/>
          <w:szCs w:val="28"/>
        </w:rPr>
        <w:t>v2.0 upgrade: Extended to Jan 2000–Feb 2026 (302 months). ~44 recession months across 6 distinct episodes. Model now learns from demand shocks, financial crises, currency crises, domestic policy shocks, and pandemic — not just COVID.</w:t>
      </w:r>
    </w:p>
    <w:p w14:paraId="2BD7E60A" w14:textId="77777777" w:rsidR="006C6FE7" w:rsidRPr="003234EF" w:rsidRDefault="006C6FE7">
      <w:pPr>
        <w:spacing w:before="80" w:after="80"/>
        <w:rPr>
          <w:sz w:val="28"/>
          <w:szCs w:val="28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3260"/>
        <w:gridCol w:w="4395"/>
      </w:tblGrid>
      <w:tr w:rsidR="006C6FE7" w:rsidRPr="003234EF" w14:paraId="0E020C28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1A1A6E"/>
          </w:tcPr>
          <w:p w14:paraId="14A0D6EA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Metric</w:t>
            </w:r>
          </w:p>
        </w:tc>
        <w:tc>
          <w:tcPr>
            <w:tcW w:w="3260" w:type="dxa"/>
            <w:shd w:val="clear" w:color="auto" w:fill="8A1010"/>
          </w:tcPr>
          <w:p w14:paraId="79619B35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Original v1.0</w:t>
            </w:r>
          </w:p>
        </w:tc>
        <w:tc>
          <w:tcPr>
            <w:tcW w:w="4395" w:type="dxa"/>
            <w:shd w:val="clear" w:color="auto" w:fill="1A5A1A"/>
          </w:tcPr>
          <w:p w14:paraId="308C360B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Updated v2.0</w:t>
            </w:r>
          </w:p>
        </w:tc>
      </w:tr>
      <w:tr w:rsidR="006C6FE7" w:rsidRPr="003234EF" w14:paraId="038C1933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5F5F5"/>
          </w:tcPr>
          <w:p w14:paraId="7F990AEE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2D2D2D"/>
                <w:sz w:val="28"/>
                <w:szCs w:val="28"/>
              </w:rPr>
              <w:t>Total months</w:t>
            </w:r>
          </w:p>
        </w:tc>
        <w:tc>
          <w:tcPr>
            <w:tcW w:w="3260" w:type="dxa"/>
            <w:shd w:val="clear" w:color="auto" w:fill="F5F5F5"/>
          </w:tcPr>
          <w:p w14:paraId="2D4559B4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8A1010"/>
                <w:sz w:val="28"/>
                <w:szCs w:val="28"/>
              </w:rPr>
              <w:t>170 months</w:t>
            </w:r>
          </w:p>
        </w:tc>
        <w:tc>
          <w:tcPr>
            <w:tcW w:w="4395" w:type="dxa"/>
            <w:shd w:val="clear" w:color="auto" w:fill="E8FFE8"/>
          </w:tcPr>
          <w:p w14:paraId="588F1100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5A1A"/>
                <w:sz w:val="28"/>
                <w:szCs w:val="28"/>
              </w:rPr>
              <w:t>302 months (+132 months)</w:t>
            </w:r>
          </w:p>
        </w:tc>
      </w:tr>
      <w:tr w:rsidR="006C6FE7" w:rsidRPr="003234EF" w14:paraId="22B482A2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FFFFF"/>
          </w:tcPr>
          <w:p w14:paraId="30AF7818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2D2D2D"/>
                <w:sz w:val="28"/>
                <w:szCs w:val="28"/>
              </w:rPr>
              <w:t>Date range</w:t>
            </w:r>
          </w:p>
        </w:tc>
        <w:tc>
          <w:tcPr>
            <w:tcW w:w="3260" w:type="dxa"/>
            <w:shd w:val="clear" w:color="auto" w:fill="FFFFFF"/>
          </w:tcPr>
          <w:p w14:paraId="569EFDE5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8A1010"/>
                <w:sz w:val="28"/>
                <w:szCs w:val="28"/>
              </w:rPr>
              <w:t>Jan 2012 – Feb 2026</w:t>
            </w:r>
          </w:p>
        </w:tc>
        <w:tc>
          <w:tcPr>
            <w:tcW w:w="4395" w:type="dxa"/>
            <w:shd w:val="clear" w:color="auto" w:fill="E8FFE8"/>
          </w:tcPr>
          <w:p w14:paraId="2C7F177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5A1A"/>
                <w:sz w:val="28"/>
                <w:szCs w:val="28"/>
              </w:rPr>
              <w:t>Jan 2000 – Feb 2026</w:t>
            </w:r>
          </w:p>
        </w:tc>
      </w:tr>
      <w:tr w:rsidR="006C6FE7" w:rsidRPr="003234EF" w14:paraId="09877D1D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5F5F5"/>
          </w:tcPr>
          <w:p w14:paraId="02043621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Recession months</w:t>
            </w:r>
          </w:p>
        </w:tc>
        <w:tc>
          <w:tcPr>
            <w:tcW w:w="3260" w:type="dxa"/>
            <w:shd w:val="clear" w:color="auto" w:fill="F5F5F5"/>
          </w:tcPr>
          <w:p w14:paraId="769D4915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8A1010"/>
                <w:sz w:val="28"/>
                <w:szCs w:val="28"/>
              </w:rPr>
              <w:t>10 months — COVID only</w:t>
            </w:r>
          </w:p>
        </w:tc>
        <w:tc>
          <w:tcPr>
            <w:tcW w:w="4395" w:type="dxa"/>
            <w:shd w:val="clear" w:color="auto" w:fill="E8FFE8"/>
          </w:tcPr>
          <w:p w14:paraId="0B099435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5A1A"/>
                <w:sz w:val="28"/>
                <w:szCs w:val="28"/>
              </w:rPr>
              <w:t>~44 months — 6 distinct episodes</w:t>
            </w:r>
          </w:p>
        </w:tc>
      </w:tr>
      <w:tr w:rsidR="006C6FE7" w:rsidRPr="003234EF" w14:paraId="6AC8E0BB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FFFFF"/>
          </w:tcPr>
          <w:p w14:paraId="2DD77C6E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2D2D2D"/>
                <w:sz w:val="28"/>
                <w:szCs w:val="28"/>
              </w:rPr>
              <w:t>Class imbalance</w:t>
            </w:r>
          </w:p>
        </w:tc>
        <w:tc>
          <w:tcPr>
            <w:tcW w:w="3260" w:type="dxa"/>
            <w:shd w:val="clear" w:color="auto" w:fill="FFFFFF"/>
          </w:tcPr>
          <w:p w14:paraId="3ECD58F5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8A1010"/>
                <w:sz w:val="28"/>
                <w:szCs w:val="28"/>
              </w:rPr>
              <w:t>5.9% — extreme</w:t>
            </w:r>
          </w:p>
        </w:tc>
        <w:tc>
          <w:tcPr>
            <w:tcW w:w="4395" w:type="dxa"/>
            <w:shd w:val="clear" w:color="auto" w:fill="E8FFE8"/>
          </w:tcPr>
          <w:p w14:paraId="66DA966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5A1A"/>
                <w:sz w:val="28"/>
                <w:szCs w:val="28"/>
              </w:rPr>
              <w:t>~14.6% — manageable</w:t>
            </w:r>
          </w:p>
        </w:tc>
      </w:tr>
      <w:tr w:rsidR="006C6FE7" w:rsidRPr="003234EF" w14:paraId="79D566D1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5F5F5"/>
          </w:tcPr>
          <w:p w14:paraId="376254AE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Recession types seen</w:t>
            </w:r>
          </w:p>
        </w:tc>
        <w:tc>
          <w:tcPr>
            <w:tcW w:w="3260" w:type="dxa"/>
            <w:shd w:val="clear" w:color="auto" w:fill="F5F5F5"/>
          </w:tcPr>
          <w:p w14:paraId="52575CA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8A1010"/>
                <w:sz w:val="28"/>
                <w:szCs w:val="28"/>
              </w:rPr>
              <w:t>1 type — pandemic supply shock</w:t>
            </w:r>
          </w:p>
        </w:tc>
        <w:tc>
          <w:tcPr>
            <w:tcW w:w="4395" w:type="dxa"/>
            <w:shd w:val="clear" w:color="auto" w:fill="E8FFE8"/>
          </w:tcPr>
          <w:p w14:paraId="7C8AF491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5A1A"/>
                <w:sz w:val="28"/>
                <w:szCs w:val="28"/>
              </w:rPr>
              <w:t>6 types — demand, financial, currency, policy shock, pre-pandemic, pandemic</w:t>
            </w:r>
          </w:p>
        </w:tc>
      </w:tr>
    </w:tbl>
    <w:p w14:paraId="0AD661C8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5D71E0E3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3234EF">
        <w:rPr>
          <w:rFonts w:eastAsia="Calibri"/>
          <w:b/>
          <w:bCs/>
          <w:color w:val="1A1A6E"/>
          <w:sz w:val="36"/>
          <w:szCs w:val="36"/>
        </w:rPr>
        <w:t>1.3 Six Recession Episodes Now Covered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2200"/>
        <w:gridCol w:w="1791"/>
        <w:gridCol w:w="3969"/>
      </w:tblGrid>
      <w:tr w:rsidR="006C6FE7" w:rsidRPr="003234EF" w14:paraId="306FEB85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1A6E"/>
          </w:tcPr>
          <w:p w14:paraId="74CD5D3F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1600" w:type="dxa"/>
            <w:shd w:val="clear" w:color="auto" w:fill="1A1A6E"/>
          </w:tcPr>
          <w:p w14:paraId="057F329A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Period</w:t>
            </w:r>
          </w:p>
        </w:tc>
        <w:tc>
          <w:tcPr>
            <w:tcW w:w="2200" w:type="dxa"/>
            <w:shd w:val="clear" w:color="auto" w:fill="1A1A6E"/>
          </w:tcPr>
          <w:p w14:paraId="7BC4E308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Cause</w:t>
            </w:r>
          </w:p>
        </w:tc>
        <w:tc>
          <w:tcPr>
            <w:tcW w:w="1791" w:type="dxa"/>
            <w:shd w:val="clear" w:color="auto" w:fill="1A1A6E"/>
          </w:tcPr>
          <w:p w14:paraId="4B46A6BD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3969" w:type="dxa"/>
            <w:shd w:val="clear" w:color="auto" w:fill="1A1A6E"/>
          </w:tcPr>
          <w:p w14:paraId="70776BD0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Key Economic Signal</w:t>
            </w:r>
          </w:p>
        </w:tc>
      </w:tr>
      <w:tr w:rsidR="006C6FE7" w:rsidRPr="003234EF" w14:paraId="4B56DACA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0FE"/>
          </w:tcPr>
          <w:p w14:paraId="50AB28F4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1</w:t>
            </w:r>
          </w:p>
        </w:tc>
        <w:tc>
          <w:tcPr>
            <w:tcW w:w="1600" w:type="dxa"/>
            <w:shd w:val="clear" w:color="auto" w:fill="E8F0FE"/>
          </w:tcPr>
          <w:p w14:paraId="514EF81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Sep 2001–Mar 2002</w:t>
            </w:r>
          </w:p>
        </w:tc>
        <w:tc>
          <w:tcPr>
            <w:tcW w:w="2200" w:type="dxa"/>
            <w:shd w:val="clear" w:color="auto" w:fill="E8F0FE"/>
          </w:tcPr>
          <w:p w14:paraId="5D90C0A8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Post dot-com + 9/11</w:t>
            </w:r>
          </w:p>
        </w:tc>
        <w:tc>
          <w:tcPr>
            <w:tcW w:w="1791" w:type="dxa"/>
            <w:shd w:val="clear" w:color="auto" w:fill="E8F0FE"/>
          </w:tcPr>
          <w:p w14:paraId="153BC440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External demand</w:t>
            </w:r>
          </w:p>
        </w:tc>
        <w:tc>
          <w:tcPr>
            <w:tcW w:w="3969" w:type="dxa"/>
            <w:shd w:val="clear" w:color="auto" w:fill="E8F0FE"/>
          </w:tcPr>
          <w:p w14:paraId="30E48F36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IIP fell sharply. External trade collapsed. RBI cut repo rate.</w:t>
            </w:r>
          </w:p>
        </w:tc>
      </w:tr>
      <w:tr w:rsidR="006C6FE7" w:rsidRPr="003234EF" w14:paraId="084293C1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5E145ED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2</w:t>
            </w:r>
          </w:p>
        </w:tc>
        <w:tc>
          <w:tcPr>
            <w:tcW w:w="1600" w:type="dxa"/>
            <w:shd w:val="clear" w:color="auto" w:fill="FFFFFF"/>
          </w:tcPr>
          <w:p w14:paraId="4E87F1D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Oct 2008–Mar 2009</w:t>
            </w:r>
          </w:p>
        </w:tc>
        <w:tc>
          <w:tcPr>
            <w:tcW w:w="2200" w:type="dxa"/>
            <w:shd w:val="clear" w:color="auto" w:fill="FFFFFF"/>
          </w:tcPr>
          <w:p w14:paraId="5055AFBA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Global Financial Crisis</w:t>
            </w:r>
          </w:p>
        </w:tc>
        <w:tc>
          <w:tcPr>
            <w:tcW w:w="1791" w:type="dxa"/>
            <w:shd w:val="clear" w:color="auto" w:fill="FFFFFF"/>
          </w:tcPr>
          <w:p w14:paraId="02435E9F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Financial crisis</w:t>
            </w:r>
          </w:p>
        </w:tc>
        <w:tc>
          <w:tcPr>
            <w:tcW w:w="3969" w:type="dxa"/>
            <w:shd w:val="clear" w:color="auto" w:fill="FFFFFF"/>
          </w:tcPr>
          <w:p w14:paraId="6D91AA6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Yield spread inverted. FII outflows. Credit growth collapsed. INR fell.</w:t>
            </w:r>
          </w:p>
        </w:tc>
      </w:tr>
      <w:tr w:rsidR="006C6FE7" w:rsidRPr="003234EF" w14:paraId="1A6D14D0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0FE"/>
          </w:tcPr>
          <w:p w14:paraId="7D2AF9FF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3</w:t>
            </w:r>
          </w:p>
        </w:tc>
        <w:tc>
          <w:tcPr>
            <w:tcW w:w="1600" w:type="dxa"/>
            <w:shd w:val="clear" w:color="auto" w:fill="E8F0FE"/>
          </w:tcPr>
          <w:p w14:paraId="74C5B640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Jun 2013–Sep 2013</w:t>
            </w:r>
          </w:p>
        </w:tc>
        <w:tc>
          <w:tcPr>
            <w:tcW w:w="2200" w:type="dxa"/>
            <w:shd w:val="clear" w:color="auto" w:fill="E8F0FE"/>
          </w:tcPr>
          <w:p w14:paraId="5FEDB6F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US Taper Tantrum + INR crash</w:t>
            </w:r>
          </w:p>
        </w:tc>
        <w:tc>
          <w:tcPr>
            <w:tcW w:w="1791" w:type="dxa"/>
            <w:shd w:val="clear" w:color="auto" w:fill="E8F0FE"/>
          </w:tcPr>
          <w:p w14:paraId="3D90724D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Currency crisis</w:t>
            </w:r>
          </w:p>
        </w:tc>
        <w:tc>
          <w:tcPr>
            <w:tcW w:w="3969" w:type="dxa"/>
            <w:shd w:val="clear" w:color="auto" w:fill="E8F0FE"/>
          </w:tcPr>
          <w:p w14:paraId="697DCEA2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RBI emergency hike to 10.25%. INR hit 68/USD. Short but sharp.</w:t>
            </w:r>
          </w:p>
        </w:tc>
      </w:tr>
      <w:tr w:rsidR="006C6FE7" w:rsidRPr="003234EF" w14:paraId="4571AD9F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65C441F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lastRenderedPageBreak/>
              <w:t>4</w:t>
            </w:r>
          </w:p>
        </w:tc>
        <w:tc>
          <w:tcPr>
            <w:tcW w:w="1600" w:type="dxa"/>
            <w:shd w:val="clear" w:color="auto" w:fill="FFFFFF"/>
          </w:tcPr>
          <w:p w14:paraId="352432E5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Nov 2016–Feb 2017</w:t>
            </w:r>
          </w:p>
        </w:tc>
        <w:tc>
          <w:tcPr>
            <w:tcW w:w="2200" w:type="dxa"/>
            <w:shd w:val="clear" w:color="auto" w:fill="FFFFFF"/>
          </w:tcPr>
          <w:p w14:paraId="48C14692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Demonetization shock</w:t>
            </w:r>
          </w:p>
        </w:tc>
        <w:tc>
          <w:tcPr>
            <w:tcW w:w="1791" w:type="dxa"/>
            <w:shd w:val="clear" w:color="auto" w:fill="FFFFFF"/>
          </w:tcPr>
          <w:p w14:paraId="39BD1E8A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Domestic policy shock</w:t>
            </w:r>
          </w:p>
        </w:tc>
        <w:tc>
          <w:tcPr>
            <w:tcW w:w="3969" w:type="dxa"/>
            <w:shd w:val="clear" w:color="auto" w:fill="FFFFFF"/>
          </w:tcPr>
          <w:p w14:paraId="27496342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Cash economy disrupted. GDP fell in Q3 FY17. India-specific — unique signal.</w:t>
            </w:r>
          </w:p>
        </w:tc>
      </w:tr>
      <w:tr w:rsidR="006C6FE7" w:rsidRPr="003234EF" w14:paraId="2BA471D4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0FE"/>
          </w:tcPr>
          <w:p w14:paraId="351E9404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5</w:t>
            </w:r>
          </w:p>
        </w:tc>
        <w:tc>
          <w:tcPr>
            <w:tcW w:w="1600" w:type="dxa"/>
            <w:shd w:val="clear" w:color="auto" w:fill="E8F0FE"/>
          </w:tcPr>
          <w:p w14:paraId="71211C7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Jul 2019–Nov 2019</w:t>
            </w:r>
          </w:p>
        </w:tc>
        <w:tc>
          <w:tcPr>
            <w:tcW w:w="2200" w:type="dxa"/>
            <w:shd w:val="clear" w:color="auto" w:fill="E8F0FE"/>
          </w:tcPr>
          <w:p w14:paraId="1E4DF838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Pre-COVID demand slowdown</w:t>
            </w:r>
          </w:p>
        </w:tc>
        <w:tc>
          <w:tcPr>
            <w:tcW w:w="1791" w:type="dxa"/>
            <w:shd w:val="clear" w:color="auto" w:fill="E8F0FE"/>
          </w:tcPr>
          <w:p w14:paraId="303840E8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Demand slowdown</w:t>
            </w:r>
          </w:p>
        </w:tc>
        <w:tc>
          <w:tcPr>
            <w:tcW w:w="3969" w:type="dxa"/>
            <w:shd w:val="clear" w:color="auto" w:fill="E8F0FE"/>
          </w:tcPr>
          <w:p w14:paraId="791EBF7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Auto sector collapse. NBFC crisis. Shadow banking stress. Gradual decline.</w:t>
            </w:r>
          </w:p>
        </w:tc>
      </w:tr>
      <w:tr w:rsidR="006C6FE7" w:rsidRPr="003234EF" w14:paraId="32DEFFC5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5EAFA901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6</w:t>
            </w:r>
          </w:p>
        </w:tc>
        <w:tc>
          <w:tcPr>
            <w:tcW w:w="1600" w:type="dxa"/>
            <w:shd w:val="clear" w:color="auto" w:fill="FFFFFF"/>
          </w:tcPr>
          <w:p w14:paraId="13F38726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Mar 2020–Oct 2020</w:t>
            </w:r>
          </w:p>
        </w:tc>
        <w:tc>
          <w:tcPr>
            <w:tcW w:w="2200" w:type="dxa"/>
            <w:shd w:val="clear" w:color="auto" w:fill="FFFFFF"/>
          </w:tcPr>
          <w:p w14:paraId="009472F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COVID-19 pandemic</w:t>
            </w:r>
          </w:p>
        </w:tc>
        <w:tc>
          <w:tcPr>
            <w:tcW w:w="1791" w:type="dxa"/>
            <w:shd w:val="clear" w:color="auto" w:fill="FFFFFF"/>
          </w:tcPr>
          <w:p w14:paraId="5A0BC72C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Pandemic shock</w:t>
            </w:r>
          </w:p>
        </w:tc>
        <w:tc>
          <w:tcPr>
            <w:tcW w:w="3969" w:type="dxa"/>
            <w:shd w:val="clear" w:color="auto" w:fill="FFFFFF"/>
          </w:tcPr>
          <w:p w14:paraId="10E4C17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GDP fell -24.4% Q1 FY21. IIP -57.3% April 2020. RBI emergency 75bps cut.</w:t>
            </w:r>
          </w:p>
        </w:tc>
      </w:tr>
    </w:tbl>
    <w:p w14:paraId="300706FA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18A37991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3234EF">
        <w:rPr>
          <w:rFonts w:eastAsia="Calibri"/>
          <w:b/>
          <w:bCs/>
          <w:color w:val="1A1A6E"/>
          <w:sz w:val="36"/>
          <w:szCs w:val="36"/>
        </w:rPr>
        <w:t>1.4 Target Users</w:t>
      </w:r>
    </w:p>
    <w:p w14:paraId="527B73DC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Primary — Researchers</w:t>
      </w:r>
    </w:p>
    <w:p w14:paraId="6518A40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Academic economists and data scientists at universities and research institutes</w:t>
      </w:r>
    </w:p>
    <w:p w14:paraId="7D586F1C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RBI research department economists and monetary policy analysts</w:t>
      </w:r>
    </w:p>
    <w:p w14:paraId="44AB8094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Finance Ministry economic advisors</w:t>
      </w:r>
    </w:p>
    <w:p w14:paraId="02708DE7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NMIMS MSc Data Science faculty and students — immediate pilot audience</w:t>
      </w:r>
    </w:p>
    <w:p w14:paraId="33008C1E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370C3364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Secondary — Consumers</w:t>
      </w:r>
    </w:p>
    <w:p w14:paraId="6A1C61A9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Institutional investors and portfolio managers needing economic risk signals</w:t>
      </w:r>
    </w:p>
    <w:p w14:paraId="5DDB8488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Journalists and public users tracking India's economic health</w:t>
      </w:r>
    </w:p>
    <w:p w14:paraId="49784413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25D8719C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Admin</w:t>
      </w:r>
    </w:p>
    <w:p w14:paraId="7B8B25F1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Platform administrators who approve researcher registrations and model deployments</w:t>
      </w:r>
    </w:p>
    <w:p w14:paraId="243B7834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187F1ADD" w14:textId="77777777" w:rsidR="006C6FE7" w:rsidRPr="003234EF" w:rsidRDefault="00000000">
      <w:pPr>
        <w:rPr>
          <w:sz w:val="28"/>
          <w:szCs w:val="28"/>
        </w:rPr>
      </w:pPr>
      <w:r w:rsidRPr="003234EF">
        <w:rPr>
          <w:sz w:val="28"/>
          <w:szCs w:val="28"/>
        </w:rPr>
        <w:br w:type="page"/>
      </w:r>
    </w:p>
    <w:p w14:paraId="5F365E0F" w14:textId="77777777" w:rsidR="006C6FE7" w:rsidRPr="003234EF" w:rsidRDefault="00000000">
      <w:pPr>
        <w:pStyle w:val="Heading1"/>
        <w:shd w:val="clear" w:color="auto" w:fill="1A1A6E"/>
        <w:spacing w:before="400" w:after="200"/>
        <w:ind w:left="200"/>
        <w:rPr>
          <w:sz w:val="36"/>
          <w:szCs w:val="36"/>
        </w:rPr>
      </w:pPr>
      <w:r w:rsidRPr="003234EF">
        <w:rPr>
          <w:rFonts w:eastAsia="Calibri"/>
          <w:b/>
          <w:bCs/>
          <w:color w:val="FFFFFF"/>
          <w:sz w:val="36"/>
          <w:szCs w:val="36"/>
        </w:rPr>
        <w:lastRenderedPageBreak/>
        <w:t>2. User Stories</w:t>
      </w:r>
    </w:p>
    <w:p w14:paraId="43C3541E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377EE79A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3234EF">
        <w:rPr>
          <w:rFonts w:eastAsia="Calibri"/>
          <w:b/>
          <w:bCs/>
          <w:color w:val="1A1A6E"/>
          <w:sz w:val="36"/>
          <w:szCs w:val="36"/>
        </w:rPr>
        <w:t>2.1 Public User Stories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1417"/>
        <w:gridCol w:w="4395"/>
        <w:gridCol w:w="3543"/>
      </w:tblGrid>
      <w:tr w:rsidR="006C6FE7" w:rsidRPr="003234EF" w14:paraId="6F4B0169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1A1A6E"/>
          </w:tcPr>
          <w:p w14:paraId="1A87DD95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1417" w:type="dxa"/>
            <w:shd w:val="clear" w:color="auto" w:fill="1A1A6E"/>
          </w:tcPr>
          <w:p w14:paraId="694C606A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As a...</w:t>
            </w:r>
          </w:p>
        </w:tc>
        <w:tc>
          <w:tcPr>
            <w:tcW w:w="4395" w:type="dxa"/>
            <w:shd w:val="clear" w:color="auto" w:fill="1A1A6E"/>
          </w:tcPr>
          <w:p w14:paraId="321BA0B2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I want to...</w:t>
            </w:r>
          </w:p>
        </w:tc>
        <w:tc>
          <w:tcPr>
            <w:tcW w:w="3543" w:type="dxa"/>
            <w:shd w:val="clear" w:color="auto" w:fill="1A1A6E"/>
          </w:tcPr>
          <w:p w14:paraId="68F08C80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So that...</w:t>
            </w:r>
          </w:p>
        </w:tc>
      </w:tr>
      <w:tr w:rsidR="006C6FE7" w:rsidRPr="003234EF" w14:paraId="711945A6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8F0FE"/>
          </w:tcPr>
          <w:p w14:paraId="2B81FD1A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PU-01</w:t>
            </w:r>
          </w:p>
        </w:tc>
        <w:tc>
          <w:tcPr>
            <w:tcW w:w="1417" w:type="dxa"/>
            <w:shd w:val="clear" w:color="auto" w:fill="E8F0FE"/>
          </w:tcPr>
          <w:p w14:paraId="34D78DE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Public visitor</w:t>
            </w:r>
          </w:p>
        </w:tc>
        <w:tc>
          <w:tcPr>
            <w:tcW w:w="4395" w:type="dxa"/>
            <w:shd w:val="clear" w:color="auto" w:fill="E8F0FE"/>
          </w:tcPr>
          <w:p w14:paraId="4C6BF7B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See current India recession probability score with status badge</w:t>
            </w:r>
          </w:p>
        </w:tc>
        <w:tc>
          <w:tcPr>
            <w:tcW w:w="3543" w:type="dxa"/>
            <w:shd w:val="clear" w:color="auto" w:fill="E8F0FE"/>
          </w:tcPr>
          <w:p w14:paraId="650AF9AD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know if India's economy is at risk right now</w:t>
            </w:r>
          </w:p>
        </w:tc>
      </w:tr>
      <w:tr w:rsidR="006C6FE7" w:rsidRPr="003234EF" w14:paraId="69E0F3BD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FFFFFF"/>
          </w:tcPr>
          <w:p w14:paraId="7191EF68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PU-02</w:t>
            </w:r>
          </w:p>
        </w:tc>
        <w:tc>
          <w:tcPr>
            <w:tcW w:w="1417" w:type="dxa"/>
            <w:shd w:val="clear" w:color="auto" w:fill="FFFFFF"/>
          </w:tcPr>
          <w:p w14:paraId="069A5D9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Public visitor</w:t>
            </w:r>
          </w:p>
        </w:tc>
        <w:tc>
          <w:tcPr>
            <w:tcW w:w="4395" w:type="dxa"/>
            <w:shd w:val="clear" w:color="auto" w:fill="FFFFFF"/>
          </w:tcPr>
          <w:p w14:paraId="6B0570F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View the full 26-year interactive timeline from January 2000 with all 6 recession periods shaded</w:t>
            </w:r>
          </w:p>
        </w:tc>
        <w:tc>
          <w:tcPr>
            <w:tcW w:w="3543" w:type="dxa"/>
            <w:shd w:val="clear" w:color="auto" w:fill="FFFFFF"/>
          </w:tcPr>
          <w:p w14:paraId="4ACB073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understand historical recession patterns and what caused each</w:t>
            </w:r>
          </w:p>
        </w:tc>
      </w:tr>
      <w:tr w:rsidR="006C6FE7" w:rsidRPr="003234EF" w14:paraId="34519644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8F0FE"/>
          </w:tcPr>
          <w:p w14:paraId="75F3984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PU-03</w:t>
            </w:r>
          </w:p>
        </w:tc>
        <w:tc>
          <w:tcPr>
            <w:tcW w:w="1417" w:type="dxa"/>
            <w:shd w:val="clear" w:color="auto" w:fill="E8F0FE"/>
          </w:tcPr>
          <w:p w14:paraId="1D2627AD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Public visitor</w:t>
            </w:r>
          </w:p>
        </w:tc>
        <w:tc>
          <w:tcPr>
            <w:tcW w:w="4395" w:type="dxa"/>
            <w:shd w:val="clear" w:color="auto" w:fill="E8F0FE"/>
          </w:tcPr>
          <w:p w14:paraId="5BCCD4C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Click any month since January 2000 and see full economic breakdown</w:t>
            </w:r>
          </w:p>
        </w:tc>
        <w:tc>
          <w:tcPr>
            <w:tcW w:w="3543" w:type="dxa"/>
            <w:shd w:val="clear" w:color="auto" w:fill="E8F0FE"/>
          </w:tcPr>
          <w:p w14:paraId="5C0B308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can study October 2008 GFC or November 2016 demonetization in detail</w:t>
            </w:r>
          </w:p>
        </w:tc>
      </w:tr>
      <w:tr w:rsidR="006C6FE7" w:rsidRPr="003234EF" w14:paraId="7AB29486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FFFFFF"/>
          </w:tcPr>
          <w:p w14:paraId="38FE85C5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PU-04</w:t>
            </w:r>
          </w:p>
        </w:tc>
        <w:tc>
          <w:tcPr>
            <w:tcW w:w="1417" w:type="dxa"/>
            <w:shd w:val="clear" w:color="auto" w:fill="FFFFFF"/>
          </w:tcPr>
          <w:p w14:paraId="175EB2F5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Public visitor</w:t>
            </w:r>
          </w:p>
        </w:tc>
        <w:tc>
          <w:tcPr>
            <w:tcW w:w="4395" w:type="dxa"/>
            <w:shd w:val="clear" w:color="auto" w:fill="FFFFFF"/>
          </w:tcPr>
          <w:p w14:paraId="2704130F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Compare any two of the 6 recession episodes side by side</w:t>
            </w:r>
          </w:p>
        </w:tc>
        <w:tc>
          <w:tcPr>
            <w:tcW w:w="3543" w:type="dxa"/>
            <w:shd w:val="clear" w:color="auto" w:fill="FFFFFF"/>
          </w:tcPr>
          <w:p w14:paraId="625BE6D0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understand what made 2008 GFC different from COVID or demonetization</w:t>
            </w:r>
          </w:p>
        </w:tc>
      </w:tr>
      <w:tr w:rsidR="006C6FE7" w:rsidRPr="003234EF" w14:paraId="313A4B29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8F0FE"/>
          </w:tcPr>
          <w:p w14:paraId="2FF8C62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PU-05</w:t>
            </w:r>
          </w:p>
        </w:tc>
        <w:tc>
          <w:tcPr>
            <w:tcW w:w="1417" w:type="dxa"/>
            <w:shd w:val="clear" w:color="auto" w:fill="E8F0FE"/>
          </w:tcPr>
          <w:p w14:paraId="75D6882D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Public visitor</w:t>
            </w:r>
          </w:p>
        </w:tc>
        <w:tc>
          <w:tcPr>
            <w:tcW w:w="4395" w:type="dxa"/>
            <w:shd w:val="clear" w:color="auto" w:fill="E8F0FE"/>
          </w:tcPr>
          <w:p w14:paraId="42332786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Download PDF report for any month or recession episode</w:t>
            </w:r>
          </w:p>
        </w:tc>
        <w:tc>
          <w:tcPr>
            <w:tcW w:w="3543" w:type="dxa"/>
            <w:shd w:val="clear" w:color="auto" w:fill="E8F0FE"/>
          </w:tcPr>
          <w:p w14:paraId="3F801F3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can include findings in research papers or presentations</w:t>
            </w:r>
          </w:p>
        </w:tc>
      </w:tr>
    </w:tbl>
    <w:p w14:paraId="246236FE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66E4729B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3234EF">
        <w:rPr>
          <w:rFonts w:eastAsia="Calibri"/>
          <w:b/>
          <w:bCs/>
          <w:color w:val="1A1A6E"/>
          <w:sz w:val="36"/>
          <w:szCs w:val="36"/>
        </w:rPr>
        <w:t>2.2 Researcher User Stories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1"/>
        <w:gridCol w:w="1432"/>
        <w:gridCol w:w="4395"/>
        <w:gridCol w:w="3543"/>
      </w:tblGrid>
      <w:tr w:rsidR="006C6FE7" w:rsidRPr="003234EF" w14:paraId="28F441B5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1A1A6E"/>
          </w:tcPr>
          <w:p w14:paraId="650D9752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1432" w:type="dxa"/>
            <w:shd w:val="clear" w:color="auto" w:fill="1A1A6E"/>
          </w:tcPr>
          <w:p w14:paraId="55731E06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As a...</w:t>
            </w:r>
          </w:p>
        </w:tc>
        <w:tc>
          <w:tcPr>
            <w:tcW w:w="4395" w:type="dxa"/>
            <w:shd w:val="clear" w:color="auto" w:fill="1A1A6E"/>
          </w:tcPr>
          <w:p w14:paraId="3C53A1F9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I want to...</w:t>
            </w:r>
          </w:p>
        </w:tc>
        <w:tc>
          <w:tcPr>
            <w:tcW w:w="3543" w:type="dxa"/>
            <w:shd w:val="clear" w:color="auto" w:fill="1A1A6E"/>
          </w:tcPr>
          <w:p w14:paraId="6F79A678" w14:textId="77777777" w:rsidR="006C6FE7" w:rsidRPr="003234EF" w:rsidRDefault="00000000">
            <w:pPr>
              <w:jc w:val="center"/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FFFFFF"/>
                <w:sz w:val="28"/>
                <w:szCs w:val="28"/>
              </w:rPr>
              <w:t>So that...</w:t>
            </w:r>
          </w:p>
        </w:tc>
      </w:tr>
      <w:tr w:rsidR="006C6FE7" w:rsidRPr="003234EF" w14:paraId="1DDAB457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E8FFE8"/>
          </w:tcPr>
          <w:p w14:paraId="3D8976D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RU-01</w:t>
            </w:r>
          </w:p>
        </w:tc>
        <w:tc>
          <w:tcPr>
            <w:tcW w:w="1432" w:type="dxa"/>
            <w:shd w:val="clear" w:color="auto" w:fill="E8FFE8"/>
          </w:tcPr>
          <w:p w14:paraId="5DA04DB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Researcher</w:t>
            </w:r>
          </w:p>
        </w:tc>
        <w:tc>
          <w:tcPr>
            <w:tcW w:w="4395" w:type="dxa"/>
            <w:shd w:val="clear" w:color="auto" w:fill="E8FFE8"/>
          </w:tcPr>
          <w:p w14:paraId="69D2A09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Upload new RBI policy document — auto FinBERT scored in 60 seconds</w:t>
            </w:r>
          </w:p>
        </w:tc>
        <w:tc>
          <w:tcPr>
            <w:tcW w:w="3543" w:type="dxa"/>
            <w:shd w:val="clear" w:color="auto" w:fill="E8FFE8"/>
          </w:tcPr>
          <w:p w14:paraId="50671698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FAISS knowledge base grows and agent explanations improve over time</w:t>
            </w:r>
          </w:p>
        </w:tc>
      </w:tr>
      <w:tr w:rsidR="006C6FE7" w:rsidRPr="003234EF" w14:paraId="4A347352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FFFFFF"/>
          </w:tcPr>
          <w:p w14:paraId="6A452F64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RU-02</w:t>
            </w:r>
          </w:p>
        </w:tc>
        <w:tc>
          <w:tcPr>
            <w:tcW w:w="1432" w:type="dxa"/>
            <w:shd w:val="clear" w:color="auto" w:fill="FFFFFF"/>
          </w:tcPr>
          <w:p w14:paraId="7B37FB99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Researcher</w:t>
            </w:r>
          </w:p>
        </w:tc>
        <w:tc>
          <w:tcPr>
            <w:tcW w:w="4395" w:type="dxa"/>
            <w:shd w:val="clear" w:color="auto" w:fill="FFFFFF"/>
          </w:tcPr>
          <w:p w14:paraId="2DBC087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Upload new monthly economic data CSV for any period from January 2000</w:t>
            </w:r>
          </w:p>
        </w:tc>
        <w:tc>
          <w:tcPr>
            <w:tcW w:w="3543" w:type="dxa"/>
            <w:shd w:val="clear" w:color="auto" w:fill="FFFFFF"/>
          </w:tcPr>
          <w:p w14:paraId="219E1FBE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Model retrains with more data and gets better at detecting diverse recessions</w:t>
            </w:r>
          </w:p>
        </w:tc>
      </w:tr>
      <w:tr w:rsidR="006C6FE7" w:rsidRPr="003234EF" w14:paraId="472B629B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E8FFE8"/>
          </w:tcPr>
          <w:p w14:paraId="5938EC9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RU-03</w:t>
            </w:r>
          </w:p>
        </w:tc>
        <w:tc>
          <w:tcPr>
            <w:tcW w:w="1432" w:type="dxa"/>
            <w:shd w:val="clear" w:color="auto" w:fill="E8FFE8"/>
          </w:tcPr>
          <w:p w14:paraId="77D8B0C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Researcher</w:t>
            </w:r>
          </w:p>
        </w:tc>
        <w:tc>
          <w:tcPr>
            <w:tcW w:w="4395" w:type="dxa"/>
            <w:shd w:val="clear" w:color="auto" w:fill="E8FFE8"/>
          </w:tcPr>
          <w:p w14:paraId="4F036371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Use Scenario Builder — set any indicator values and get live prediction</w:t>
            </w:r>
          </w:p>
        </w:tc>
        <w:tc>
          <w:tcPr>
            <w:tcW w:w="3543" w:type="dxa"/>
            <w:shd w:val="clear" w:color="auto" w:fill="E8FFE8"/>
          </w:tcPr>
          <w:p w14:paraId="500ABE17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can simulate hypothetical scenarios or recreate historical peak recession conditions</w:t>
            </w:r>
          </w:p>
        </w:tc>
      </w:tr>
      <w:tr w:rsidR="006C6FE7" w:rsidRPr="003234EF" w14:paraId="104B01F5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FFFFFF"/>
          </w:tcPr>
          <w:p w14:paraId="66729D8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RU-04</w:t>
            </w:r>
          </w:p>
        </w:tc>
        <w:tc>
          <w:tcPr>
            <w:tcW w:w="1432" w:type="dxa"/>
            <w:shd w:val="clear" w:color="auto" w:fill="FFFFFF"/>
          </w:tcPr>
          <w:p w14:paraId="56119630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Researcher</w:t>
            </w:r>
          </w:p>
        </w:tc>
        <w:tc>
          <w:tcPr>
            <w:tcW w:w="4395" w:type="dxa"/>
            <w:shd w:val="clear" w:color="auto" w:fill="FFFFFF"/>
          </w:tcPr>
          <w:p w14:paraId="7BBB82FB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Get personal API key to query recession probability programmatically</w:t>
            </w:r>
          </w:p>
        </w:tc>
        <w:tc>
          <w:tcPr>
            <w:tcW w:w="3543" w:type="dxa"/>
            <w:shd w:val="clear" w:color="auto" w:fill="FFFFFF"/>
          </w:tcPr>
          <w:p w14:paraId="639CC554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can integrate predictions into my own research tools and models</w:t>
            </w:r>
          </w:p>
        </w:tc>
      </w:tr>
      <w:tr w:rsidR="006C6FE7" w:rsidRPr="003234EF" w14:paraId="51D72180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E8FFE8"/>
          </w:tcPr>
          <w:p w14:paraId="2896D0B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RU-05</w:t>
            </w:r>
          </w:p>
        </w:tc>
        <w:tc>
          <w:tcPr>
            <w:tcW w:w="1432" w:type="dxa"/>
            <w:shd w:val="clear" w:color="auto" w:fill="E8FFE8"/>
          </w:tcPr>
          <w:p w14:paraId="3CD11B73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Researcher</w:t>
            </w:r>
          </w:p>
        </w:tc>
        <w:tc>
          <w:tcPr>
            <w:tcW w:w="4395" w:type="dxa"/>
            <w:shd w:val="clear" w:color="auto" w:fill="E8FFE8"/>
          </w:tcPr>
          <w:p w14:paraId="3D16DC00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Set email alert when P(recession) crosses a threshold I choose</w:t>
            </w:r>
          </w:p>
        </w:tc>
        <w:tc>
          <w:tcPr>
            <w:tcW w:w="3543" w:type="dxa"/>
            <w:shd w:val="clear" w:color="auto" w:fill="E8FFE8"/>
          </w:tcPr>
          <w:p w14:paraId="3102C1F2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am notified immediately without checking the dashboard daily</w:t>
            </w:r>
          </w:p>
        </w:tc>
      </w:tr>
      <w:tr w:rsidR="006C6FE7" w:rsidRPr="003234EF" w14:paraId="5255E214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FFFFFF"/>
          </w:tcPr>
          <w:p w14:paraId="452D1B5E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RU-06</w:t>
            </w:r>
          </w:p>
        </w:tc>
        <w:tc>
          <w:tcPr>
            <w:tcW w:w="1432" w:type="dxa"/>
            <w:shd w:val="clear" w:color="auto" w:fill="FFFFFF"/>
          </w:tcPr>
          <w:p w14:paraId="6E7FC641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Researcher</w:t>
            </w:r>
          </w:p>
        </w:tc>
        <w:tc>
          <w:tcPr>
            <w:tcW w:w="4395" w:type="dxa"/>
            <w:shd w:val="clear" w:color="auto" w:fill="FFFFFF"/>
          </w:tcPr>
          <w:p w14:paraId="36E5950A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Annotate sentences in uploaded documents as hawkish, dovish, or neutral</w:t>
            </w:r>
          </w:p>
        </w:tc>
        <w:tc>
          <w:tcPr>
            <w:tcW w:w="3543" w:type="dxa"/>
            <w:shd w:val="clear" w:color="auto" w:fill="FFFFFF"/>
          </w:tcPr>
          <w:p w14:paraId="209369FD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Platform builds labelled dataset to fine-tune FinBERT on Indian RBI language</w:t>
            </w:r>
          </w:p>
        </w:tc>
      </w:tr>
      <w:tr w:rsidR="006C6FE7" w:rsidRPr="003234EF" w14:paraId="74C70BF3" w14:textId="77777777" w:rsidTr="003234EF">
        <w:tblPrEx>
          <w:tblCellMar>
            <w:top w:w="0" w:type="dxa"/>
            <w:bottom w:w="0" w:type="dxa"/>
          </w:tblCellMar>
        </w:tblPrEx>
        <w:tc>
          <w:tcPr>
            <w:tcW w:w="831" w:type="dxa"/>
            <w:shd w:val="clear" w:color="auto" w:fill="E8FFE8"/>
          </w:tcPr>
          <w:p w14:paraId="43CF0AEF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b/>
                <w:bCs/>
                <w:color w:val="1A1A6E"/>
                <w:sz w:val="28"/>
                <w:szCs w:val="28"/>
              </w:rPr>
              <w:t>RU-07</w:t>
            </w:r>
          </w:p>
        </w:tc>
        <w:tc>
          <w:tcPr>
            <w:tcW w:w="1432" w:type="dxa"/>
            <w:shd w:val="clear" w:color="auto" w:fill="E8FFE8"/>
          </w:tcPr>
          <w:p w14:paraId="78E33B5A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Researcher</w:t>
            </w:r>
          </w:p>
        </w:tc>
        <w:tc>
          <w:tcPr>
            <w:tcW w:w="4395" w:type="dxa"/>
            <w:shd w:val="clear" w:color="auto" w:fill="E8FFE8"/>
          </w:tcPr>
          <w:p w14:paraId="4068E54E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Load any of 6 historical recession episodes as preset in Scenario Builder</w:t>
            </w:r>
          </w:p>
        </w:tc>
        <w:tc>
          <w:tcPr>
            <w:tcW w:w="3543" w:type="dxa"/>
            <w:shd w:val="clear" w:color="auto" w:fill="E8FFE8"/>
          </w:tcPr>
          <w:p w14:paraId="1331B3AF" w14:textId="77777777" w:rsidR="006C6FE7" w:rsidRPr="003234EF" w:rsidRDefault="00000000">
            <w:pPr>
              <w:rPr>
                <w:sz w:val="28"/>
                <w:szCs w:val="28"/>
              </w:rPr>
            </w:pPr>
            <w:r w:rsidRPr="003234EF">
              <w:rPr>
                <w:rFonts w:eastAsia="Calibri"/>
                <w:color w:val="2D2D2D"/>
                <w:sz w:val="28"/>
                <w:szCs w:val="28"/>
              </w:rPr>
              <w:t>I can study exact indicator values at peak of each recession for research</w:t>
            </w:r>
          </w:p>
        </w:tc>
      </w:tr>
    </w:tbl>
    <w:p w14:paraId="13225F25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28A8B747" w14:textId="77777777" w:rsidR="006C6FE7" w:rsidRPr="003234EF" w:rsidRDefault="00000000">
      <w:pPr>
        <w:rPr>
          <w:sz w:val="28"/>
          <w:szCs w:val="28"/>
        </w:rPr>
      </w:pPr>
      <w:r w:rsidRPr="003234EF">
        <w:rPr>
          <w:sz w:val="28"/>
          <w:szCs w:val="28"/>
        </w:rPr>
        <w:br w:type="page"/>
      </w:r>
    </w:p>
    <w:p w14:paraId="6B8BF868" w14:textId="77777777" w:rsidR="006C6FE7" w:rsidRPr="003234EF" w:rsidRDefault="00000000">
      <w:pPr>
        <w:pStyle w:val="Heading1"/>
        <w:shd w:val="clear" w:color="auto" w:fill="1A1A6E"/>
        <w:spacing w:before="400" w:after="200"/>
        <w:ind w:left="200"/>
        <w:rPr>
          <w:sz w:val="28"/>
          <w:szCs w:val="28"/>
        </w:rPr>
      </w:pPr>
      <w:r w:rsidRPr="003234EF">
        <w:rPr>
          <w:rFonts w:eastAsia="Calibri"/>
          <w:b/>
          <w:bCs/>
          <w:color w:val="FFFFFF"/>
          <w:sz w:val="28"/>
          <w:szCs w:val="28"/>
        </w:rPr>
        <w:lastRenderedPageBreak/>
        <w:t>3. Feature Requirements</w:t>
      </w:r>
    </w:p>
    <w:p w14:paraId="73C590E9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7D552078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3.1 Must Have — Core Features</w:t>
      </w:r>
    </w:p>
    <w:p w14:paraId="45CB961A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2E4A3CB0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F01 — 26-Year Timeline Dashboard</w:t>
      </w:r>
    </w:p>
    <w:p w14:paraId="7106EC39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Full interactive Plotly timeline from January 2000 to present — 302 data points</w:t>
      </w:r>
    </w:p>
    <w:p w14:paraId="31A14111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All 6 recession periods shaded in distinct colours with episode legend and tooltips</w:t>
      </w:r>
    </w:p>
    <w:p w14:paraId="1249F47B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Zoom: 5Y, 10Y, All (26Y) — default shows 5Y on desktop, 3Y on mobile</w:t>
      </w:r>
    </w:p>
    <w:p w14:paraId="3A34DB37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Click any month → Month Detail panel with all 13 indicator values and 5 agent scores</w:t>
      </w:r>
    </w:p>
    <w:p w14:paraId="18CAA03B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Hover tooltip: Month, P(recession)%, Status, Recession episode label if applicable</w:t>
      </w:r>
    </w:p>
    <w:p w14:paraId="3071A358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12942B62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F02 — Episode Comparator</w:t>
      </w:r>
    </w:p>
    <w:p w14:paraId="5950FBDB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Select any two of the 6 recession episodes from dropdown</w:t>
      </w:r>
    </w:p>
    <w:p w14:paraId="12DAF5AD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Side-by-side table: all 13 indicator values at peak recession month for both episodes</w:t>
      </w:r>
    </w:p>
    <w:p w14:paraId="750F9DA6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Highlight rows with largest difference between the two episodes</w:t>
      </w:r>
    </w:p>
    <w:p w14:paraId="731FE529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Agent score comparison — which agents were most alarmed in each episode</w:t>
      </w:r>
    </w:p>
    <w:p w14:paraId="29A7397A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FinBERT score comparison (available from 2016 — labelled N/A for earlier episodes)</w:t>
      </w:r>
    </w:p>
    <w:p w14:paraId="0F54C03C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415F7924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F03 — Document Upload and FinBERT Scoring</w:t>
      </w:r>
    </w:p>
    <w:p w14:paraId="06B72E87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PDF or HTML upload — MIME validation, size check, ClamAV virus scan</w:t>
      </w:r>
    </w:p>
    <w:p w14:paraId="3C80995B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FinBERT scoring completes within 60 seconds — chunk-level and composite score shown</w:t>
      </w:r>
    </w:p>
    <w:p w14:paraId="2C880742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Peer review by 2 other researchers then admin approval before FAISS inclusion</w:t>
      </w:r>
    </w:p>
    <w:p w14:paraId="798B4896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6F6CABFC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F04 — Data Upload with Gap Handling</w:t>
      </w:r>
    </w:p>
    <w:p w14:paraId="370EC86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CSV upload for any period from January 2000</w:t>
      </w:r>
    </w:p>
    <w:p w14:paraId="4D29DF05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CPI gap prompt: If data includes pre-2011 CPI, system asks if WPI proxy was used</w:t>
      </w:r>
    </w:p>
    <w:p w14:paraId="5A5D9BFB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sent_mpc gap: Auto-filled with 0.0 and flagged for pre-October-2016 months</w:t>
      </w:r>
    </w:p>
    <w:p w14:paraId="5435CBDE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Data quality validation: column names, types, date format, missing value count</w:t>
      </w:r>
    </w:p>
    <w:p w14:paraId="2EDADBC4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1D2DB90F" w14:textId="77777777" w:rsidR="006C6FE7" w:rsidRPr="003234EF" w:rsidRDefault="00000000">
      <w:pPr>
        <w:pStyle w:val="Heading3"/>
        <w:spacing w:before="200" w:after="100"/>
        <w:rPr>
          <w:sz w:val="28"/>
          <w:szCs w:val="28"/>
        </w:rPr>
      </w:pPr>
      <w:r w:rsidRPr="003234EF">
        <w:rPr>
          <w:rFonts w:eastAsia="Calibri"/>
          <w:b/>
          <w:bCs/>
          <w:color w:val="C8A828"/>
          <w:sz w:val="28"/>
          <w:szCs w:val="28"/>
        </w:rPr>
        <w:t>F05 — Researcher Portal</w:t>
      </w:r>
    </w:p>
    <w:p w14:paraId="7E213988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Document upload, data upload, Scenario Builder, API access, alert subscriptions</w:t>
      </w:r>
    </w:p>
    <w:p w14:paraId="5BA9026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Contribution history showing impact of each upload on model performance</w:t>
      </w:r>
    </w:p>
    <w:p w14:paraId="7DCD1355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Research notes attached to any month from January 2000 or any document</w:t>
      </w:r>
    </w:p>
    <w:p w14:paraId="3F6BAAC0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20825FCB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3.2 Should Have — Research Features</w:t>
      </w:r>
    </w:p>
    <w:p w14:paraId="44A1B2A2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F06 — SHAP Explainability: Waterfall chart for any month from January 2000</w:t>
      </w:r>
    </w:p>
    <w:p w14:paraId="0A4EBA0F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F07 — API Access: GET /api/v1/recession/month/{YYYY-MM} for any month from Jan 2000</w:t>
      </w:r>
    </w:p>
    <w:p w14:paraId="094496B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F08 — Scenario Builder: Load any of 6 recession episodes as preset values</w:t>
      </w:r>
    </w:p>
    <w:p w14:paraId="27558B1F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F09 — Peer Review Queue: 2 approvals before admin sees uploaded document</w:t>
      </w:r>
    </w:p>
    <w:p w14:paraId="17C6EC0C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F10 — Alert Subscriptions: Email when P(recession) crosses chosen threshold</w:t>
      </w:r>
    </w:p>
    <w:p w14:paraId="455A3C49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31C791A4" w14:textId="77777777" w:rsidR="006C6FE7" w:rsidRPr="003234EF" w:rsidRDefault="00000000">
      <w:pPr>
        <w:pStyle w:val="Heading1"/>
        <w:shd w:val="clear" w:color="auto" w:fill="1A1A6E"/>
        <w:spacing w:before="400" w:after="200"/>
        <w:ind w:left="200"/>
        <w:rPr>
          <w:sz w:val="28"/>
          <w:szCs w:val="28"/>
        </w:rPr>
      </w:pPr>
      <w:r w:rsidRPr="003234EF">
        <w:rPr>
          <w:rFonts w:eastAsia="Calibri"/>
          <w:b/>
          <w:bCs/>
          <w:color w:val="FFFFFF"/>
          <w:sz w:val="28"/>
          <w:szCs w:val="28"/>
        </w:rPr>
        <w:t>4. Non-Functional Requirements</w:t>
      </w:r>
    </w:p>
    <w:p w14:paraId="502B013E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1CDB7800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4.1 Performance</w:t>
      </w:r>
    </w:p>
    <w:p w14:paraId="2A974EA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302-point timeline renders in under 2 seconds on desktop Chrome</w:t>
      </w:r>
    </w:p>
    <w:p w14:paraId="09B0139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API response time under 500ms for any of the 302 historical month queries</w:t>
      </w:r>
    </w:p>
    <w:p w14:paraId="42EB4112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Model retrain on 302 months completes within 15 minutes via Celery</w:t>
      </w:r>
    </w:p>
    <w:p w14:paraId="562C2D8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FinBERT scoring of a new document within 60 seconds</w:t>
      </w:r>
    </w:p>
    <w:p w14:paraId="77DA58CB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0E8D6706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4.2 Data Integrity — Proxy Data</w:t>
      </w:r>
    </w:p>
    <w:p w14:paraId="61B60DA5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CPI 2000-2010: WPI proxy — every row flagged with cpi_wpi_proxy=TRUE in database</w:t>
      </w:r>
    </w:p>
    <w:p w14:paraId="2036633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Yield spread 2000-2002: RBI benchmark spread proxy — flagged with yield_spread_proxy=TRUE</w:t>
      </w:r>
    </w:p>
    <w:p w14:paraId="6187DFA8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sent_mpc 2000-2015: Filled with 0.0 — flagged with sent_mpc_available=FALSE</w:t>
      </w:r>
    </w:p>
    <w:p w14:paraId="349C2B37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India VIX 2000-2007: Nifty 30-day vol proxy — flagged with india_vix_proxy=TRUE</w:t>
      </w:r>
    </w:p>
    <w:p w14:paraId="6632A822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All proxy strategies documented in data_gap_log table with calibration method</w:t>
      </w:r>
    </w:p>
    <w:p w14:paraId="4069014F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UI clearly labels proxy data with tooltip explanation wherever shown to users</w:t>
      </w:r>
    </w:p>
    <w:p w14:paraId="17640F31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74A775F5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4.3 Security</w:t>
      </w:r>
    </w:p>
    <w:p w14:paraId="576529D2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HTTPS with TLS 1.3. JWT access tokens 1hr, refresh tokens 7 days.</w:t>
      </w:r>
    </w:p>
    <w:p w14:paraId="5F0233D4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File upload: MIME type check, 10MB max, ClamAV scan before processing</w:t>
      </w:r>
    </w:p>
    <w:p w14:paraId="728B4459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Rate limiting: 100 req/min per IP for public, 1000 calls/day per API key</w:t>
      </w:r>
    </w:p>
    <w:p w14:paraId="63C9FF98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2FA (TOTP) mandatory for admin, optional for researchers</w:t>
      </w:r>
    </w:p>
    <w:p w14:paraId="575F4E66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7E4F7345" w14:textId="77777777" w:rsidR="006C6FE7" w:rsidRPr="003234EF" w:rsidRDefault="00000000">
      <w:pPr>
        <w:pStyle w:val="Heading1"/>
        <w:shd w:val="clear" w:color="auto" w:fill="1A1A6E"/>
        <w:spacing w:before="400" w:after="200"/>
        <w:ind w:left="200"/>
        <w:rPr>
          <w:sz w:val="28"/>
          <w:szCs w:val="28"/>
        </w:rPr>
      </w:pPr>
      <w:r w:rsidRPr="003234EF">
        <w:rPr>
          <w:rFonts w:eastAsia="Calibri"/>
          <w:b/>
          <w:bCs/>
          <w:color w:val="FFFFFF"/>
          <w:sz w:val="28"/>
          <w:szCs w:val="28"/>
        </w:rPr>
        <w:t>5. Success Metrics</w:t>
      </w:r>
    </w:p>
    <w:p w14:paraId="49062490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0BB583F4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5.1 Model Performance</w:t>
      </w:r>
    </w:p>
    <w:p w14:paraId="4D93E0BC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Model detects all ~44 recession months across all 6 episodes in backtesting</w:t>
      </w:r>
    </w:p>
    <w:p w14:paraId="3D2175DF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2008 GFC correctly identified using only data available at that time</w:t>
      </w:r>
    </w:p>
    <w:p w14:paraId="47B3C33A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Demonetization 2016 spike visible in November 2016 to February 2017</w:t>
      </w:r>
    </w:p>
    <w:p w14:paraId="56557264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AUC-ROC stays above 0.95 on extended 302-month dataset</w:t>
      </w:r>
    </w:p>
    <w:p w14:paraId="27125CDE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False alarm rate stays below 15%</w:t>
      </w:r>
    </w:p>
    <w:p w14:paraId="068171C4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2EF619C3" w14:textId="77777777" w:rsidR="006C6FE7" w:rsidRPr="003234EF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3234EF">
        <w:rPr>
          <w:rFonts w:eastAsia="Calibri"/>
          <w:b/>
          <w:bCs/>
          <w:color w:val="1A1A6E"/>
          <w:sz w:val="28"/>
          <w:szCs w:val="28"/>
        </w:rPr>
        <w:t>5.2 Platform Usage</w:t>
      </w:r>
    </w:p>
    <w:p w14:paraId="3247121A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50+ registered researchers within 6 months of launch</w:t>
      </w:r>
    </w:p>
    <w:p w14:paraId="6B8E3520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Pre-2012 data contributed for at least 3 of the 5 pre-COVID recession episodes</w:t>
      </w:r>
    </w:p>
    <w:p w14:paraId="499909FB" w14:textId="77777777" w:rsidR="006C6FE7" w:rsidRPr="003234EF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3234EF">
        <w:rPr>
          <w:rFonts w:eastAsia="Calibri"/>
          <w:color w:val="2D2D2D"/>
          <w:sz w:val="28"/>
          <w:szCs w:val="28"/>
        </w:rPr>
        <w:t>100+ documents in corpus within 1 year</w:t>
      </w:r>
    </w:p>
    <w:p w14:paraId="0F20B7AE" w14:textId="77777777" w:rsidR="006C6FE7" w:rsidRPr="003234EF" w:rsidRDefault="006C6FE7">
      <w:pPr>
        <w:spacing w:before="80" w:after="80"/>
        <w:rPr>
          <w:sz w:val="28"/>
          <w:szCs w:val="28"/>
        </w:rPr>
      </w:pPr>
    </w:p>
    <w:p w14:paraId="75334B59" w14:textId="77777777" w:rsidR="006C6FE7" w:rsidRPr="003234EF" w:rsidRDefault="00000000">
      <w:pPr>
        <w:pBdr>
          <w:top w:val="single" w:sz="6" w:space="0" w:color="C8A828"/>
        </w:pBdr>
        <w:spacing w:before="200" w:after="60"/>
        <w:jc w:val="center"/>
        <w:rPr>
          <w:sz w:val="28"/>
          <w:szCs w:val="28"/>
        </w:rPr>
      </w:pPr>
      <w:r w:rsidRPr="003234EF">
        <w:rPr>
          <w:rFonts w:eastAsia="Calibri"/>
          <w:color w:val="666666"/>
          <w:sz w:val="28"/>
          <w:szCs w:val="28"/>
        </w:rPr>
        <w:t>India Recession Predictor Research Platform  |  v2.0  |  302 months (Jan 2000–Feb 2026)  |  6 Recession Episodes</w:t>
      </w:r>
    </w:p>
    <w:sectPr w:rsidR="006C6FE7" w:rsidRPr="003234E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28C"/>
    <w:multiLevelType w:val="hybridMultilevel"/>
    <w:tmpl w:val="C15A2366"/>
    <w:lvl w:ilvl="0" w:tplc="62EA22B6">
      <w:start w:val="1"/>
      <w:numFmt w:val="bullet"/>
      <w:lvlText w:val="•"/>
      <w:lvlJc w:val="left"/>
      <w:pPr>
        <w:ind w:left="400" w:hanging="200"/>
      </w:pPr>
    </w:lvl>
    <w:lvl w:ilvl="1" w:tplc="E27C341A">
      <w:start w:val="1"/>
      <w:numFmt w:val="bullet"/>
      <w:lvlText w:val="◦"/>
      <w:lvlJc w:val="left"/>
      <w:pPr>
        <w:ind w:left="700" w:hanging="200"/>
      </w:pPr>
    </w:lvl>
    <w:lvl w:ilvl="2" w:tplc="4E1CE96A">
      <w:numFmt w:val="decimal"/>
      <w:lvlText w:val=""/>
      <w:lvlJc w:val="left"/>
    </w:lvl>
    <w:lvl w:ilvl="3" w:tplc="333E5F80">
      <w:numFmt w:val="decimal"/>
      <w:lvlText w:val=""/>
      <w:lvlJc w:val="left"/>
    </w:lvl>
    <w:lvl w:ilvl="4" w:tplc="13B4334A">
      <w:numFmt w:val="decimal"/>
      <w:lvlText w:val=""/>
      <w:lvlJc w:val="left"/>
    </w:lvl>
    <w:lvl w:ilvl="5" w:tplc="281AB306">
      <w:numFmt w:val="decimal"/>
      <w:lvlText w:val=""/>
      <w:lvlJc w:val="left"/>
    </w:lvl>
    <w:lvl w:ilvl="6" w:tplc="9DE01628">
      <w:numFmt w:val="decimal"/>
      <w:lvlText w:val=""/>
      <w:lvlJc w:val="left"/>
    </w:lvl>
    <w:lvl w:ilvl="7" w:tplc="60CE154E">
      <w:numFmt w:val="decimal"/>
      <w:lvlText w:val=""/>
      <w:lvlJc w:val="left"/>
    </w:lvl>
    <w:lvl w:ilvl="8" w:tplc="CABE61B0">
      <w:numFmt w:val="decimal"/>
      <w:lvlText w:val=""/>
      <w:lvlJc w:val="left"/>
    </w:lvl>
  </w:abstractNum>
  <w:abstractNum w:abstractNumId="1" w15:restartNumberingAfterBreak="0">
    <w:nsid w:val="4EC17F8B"/>
    <w:multiLevelType w:val="hybridMultilevel"/>
    <w:tmpl w:val="9E162408"/>
    <w:lvl w:ilvl="0" w:tplc="92206F96">
      <w:start w:val="1"/>
      <w:numFmt w:val="bullet"/>
      <w:lvlText w:val="●"/>
      <w:lvlJc w:val="left"/>
      <w:pPr>
        <w:ind w:left="720" w:hanging="360"/>
      </w:pPr>
    </w:lvl>
    <w:lvl w:ilvl="1" w:tplc="33A0E608">
      <w:start w:val="1"/>
      <w:numFmt w:val="bullet"/>
      <w:lvlText w:val="○"/>
      <w:lvlJc w:val="left"/>
      <w:pPr>
        <w:ind w:left="1440" w:hanging="360"/>
      </w:pPr>
    </w:lvl>
    <w:lvl w:ilvl="2" w:tplc="6B483084">
      <w:start w:val="1"/>
      <w:numFmt w:val="bullet"/>
      <w:lvlText w:val="■"/>
      <w:lvlJc w:val="left"/>
      <w:pPr>
        <w:ind w:left="2160" w:hanging="360"/>
      </w:pPr>
    </w:lvl>
    <w:lvl w:ilvl="3" w:tplc="B4CC74A4">
      <w:start w:val="1"/>
      <w:numFmt w:val="bullet"/>
      <w:lvlText w:val="●"/>
      <w:lvlJc w:val="left"/>
      <w:pPr>
        <w:ind w:left="2880" w:hanging="360"/>
      </w:pPr>
    </w:lvl>
    <w:lvl w:ilvl="4" w:tplc="24FC2D92">
      <w:start w:val="1"/>
      <w:numFmt w:val="bullet"/>
      <w:lvlText w:val="○"/>
      <w:lvlJc w:val="left"/>
      <w:pPr>
        <w:ind w:left="3600" w:hanging="360"/>
      </w:pPr>
    </w:lvl>
    <w:lvl w:ilvl="5" w:tplc="B8EE09C4">
      <w:start w:val="1"/>
      <w:numFmt w:val="bullet"/>
      <w:lvlText w:val="■"/>
      <w:lvlJc w:val="left"/>
      <w:pPr>
        <w:ind w:left="4320" w:hanging="360"/>
      </w:pPr>
    </w:lvl>
    <w:lvl w:ilvl="6" w:tplc="18A83ECC">
      <w:start w:val="1"/>
      <w:numFmt w:val="bullet"/>
      <w:lvlText w:val="●"/>
      <w:lvlJc w:val="left"/>
      <w:pPr>
        <w:ind w:left="5040" w:hanging="360"/>
      </w:pPr>
    </w:lvl>
    <w:lvl w:ilvl="7" w:tplc="75DE261A">
      <w:start w:val="1"/>
      <w:numFmt w:val="bullet"/>
      <w:lvlText w:val="●"/>
      <w:lvlJc w:val="left"/>
      <w:pPr>
        <w:ind w:left="5760" w:hanging="360"/>
      </w:pPr>
    </w:lvl>
    <w:lvl w:ilvl="8" w:tplc="407414A2">
      <w:start w:val="1"/>
      <w:numFmt w:val="bullet"/>
      <w:lvlText w:val="●"/>
      <w:lvlJc w:val="left"/>
      <w:pPr>
        <w:ind w:left="6480" w:hanging="360"/>
      </w:pPr>
    </w:lvl>
  </w:abstractNum>
  <w:num w:numId="1" w16cid:durableId="639968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FE7"/>
    <w:rsid w:val="000059D1"/>
    <w:rsid w:val="003234EF"/>
    <w:rsid w:val="006C6FE7"/>
    <w:rsid w:val="00AC33E7"/>
    <w:rsid w:val="00E6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AFE0"/>
  <w15:docId w15:val="{CC3B4032-B591-4DD6-81C1-9B4995AF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Ratan Sharma</cp:lastModifiedBy>
  <cp:revision>4</cp:revision>
  <dcterms:created xsi:type="dcterms:W3CDTF">2026-07-28T12:37:00Z</dcterms:created>
  <dcterms:modified xsi:type="dcterms:W3CDTF">2026-08-02T18:14:00Z</dcterms:modified>
</cp:coreProperties>
</file>