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C2FE" w14:textId="77777777" w:rsidR="006F352B" w:rsidRPr="00CC017B" w:rsidRDefault="00000000">
      <w:pPr>
        <w:shd w:val="clear" w:color="auto" w:fill="1A1A6E"/>
        <w:jc w:val="center"/>
        <w:rPr>
          <w:sz w:val="40"/>
          <w:szCs w:val="40"/>
        </w:rPr>
      </w:pPr>
      <w:r w:rsidRPr="00CC017B">
        <w:rPr>
          <w:rFonts w:eastAsia="Calibri"/>
          <w:b/>
          <w:bCs/>
          <w:color w:val="C8A828"/>
          <w:sz w:val="40"/>
          <w:szCs w:val="40"/>
        </w:rPr>
        <w:t>INDIA RECESSION PREDICTOR — RESEARCH PLATFORM</w:t>
      </w:r>
    </w:p>
    <w:p w14:paraId="165970B4" w14:textId="3C96C4A0" w:rsidR="006F352B" w:rsidRPr="00CC017B" w:rsidRDefault="00000000">
      <w:pPr>
        <w:shd w:val="clear" w:color="auto" w:fill="1A1A6E"/>
        <w:spacing w:after="300"/>
        <w:jc w:val="center"/>
        <w:rPr>
          <w:sz w:val="40"/>
          <w:szCs w:val="40"/>
        </w:rPr>
      </w:pPr>
      <w:r w:rsidRPr="00CC017B">
        <w:rPr>
          <w:rFonts w:eastAsia="Calibri"/>
          <w:b/>
          <w:bCs/>
          <w:color w:val="FFFFFF"/>
          <w:sz w:val="40"/>
          <w:szCs w:val="40"/>
        </w:rPr>
        <w:t xml:space="preserve">UI/UX DESIGN </w:t>
      </w:r>
      <w:proofErr w:type="gramStart"/>
      <w:r w:rsidRPr="00CC017B">
        <w:rPr>
          <w:rFonts w:eastAsia="Calibri"/>
          <w:b/>
          <w:bCs/>
          <w:color w:val="FFFFFF"/>
          <w:sz w:val="40"/>
          <w:szCs w:val="40"/>
        </w:rPr>
        <w:t>BRIEF  |</w:t>
      </w:r>
      <w:proofErr w:type="gramEnd"/>
      <w:r w:rsidRPr="00CC017B">
        <w:rPr>
          <w:rFonts w:eastAsia="Calibri"/>
          <w:b/>
          <w:bCs/>
          <w:color w:val="FFFFFF"/>
          <w:sz w:val="40"/>
          <w:szCs w:val="40"/>
        </w:rPr>
        <w:t xml:space="preserve">  v2.0 — Jan 2000 to Feb 2026</w:t>
      </w:r>
    </w:p>
    <w:p w14:paraId="0045687C" w14:textId="77777777" w:rsidR="006F352B" w:rsidRPr="00CC017B" w:rsidRDefault="006F352B">
      <w:pPr>
        <w:spacing w:before="80" w:after="80"/>
        <w:rPr>
          <w:sz w:val="40"/>
          <w:szCs w:val="40"/>
        </w:rPr>
      </w:pPr>
    </w:p>
    <w:p w14:paraId="01C60E47" w14:textId="77777777" w:rsidR="006F352B" w:rsidRPr="00CC017B" w:rsidRDefault="00000000">
      <w:pPr>
        <w:spacing w:before="100" w:after="80"/>
        <w:jc w:val="center"/>
        <w:rPr>
          <w:sz w:val="40"/>
          <w:szCs w:val="40"/>
        </w:rPr>
      </w:pPr>
      <w:r w:rsidRPr="00CC017B">
        <w:rPr>
          <w:rFonts w:eastAsia="Calibri"/>
          <w:b/>
          <w:bCs/>
          <w:color w:val="1A1A6E"/>
          <w:sz w:val="40"/>
          <w:szCs w:val="40"/>
        </w:rPr>
        <w:t>UI/UX Design Brief</w:t>
      </w:r>
    </w:p>
    <w:p w14:paraId="261E7A3C" w14:textId="77777777" w:rsidR="006F352B" w:rsidRPr="00CC017B" w:rsidRDefault="00000000">
      <w:pPr>
        <w:spacing w:after="150"/>
        <w:jc w:val="center"/>
        <w:rPr>
          <w:sz w:val="40"/>
          <w:szCs w:val="40"/>
        </w:rPr>
      </w:pPr>
      <w:r w:rsidRPr="00CC017B">
        <w:rPr>
          <w:rFonts w:eastAsia="Calibri"/>
          <w:color w:val="C8A828"/>
          <w:sz w:val="40"/>
          <w:szCs w:val="40"/>
        </w:rPr>
        <w:t>Every screen, component, colour, font — updated for 26-year timeline and 6 recession episodes</w:t>
      </w:r>
    </w:p>
    <w:p w14:paraId="7A4419BC" w14:textId="6B833F69" w:rsidR="006F352B" w:rsidRPr="00CC017B" w:rsidRDefault="00000000">
      <w:pPr>
        <w:pBdr>
          <w:top w:val="single" w:sz="6" w:space="0" w:color="C8A828"/>
          <w:bottom w:val="single" w:sz="6" w:space="0" w:color="C8A828"/>
        </w:pBdr>
        <w:spacing w:before="120" w:after="120"/>
        <w:jc w:val="center"/>
        <w:rPr>
          <w:sz w:val="24"/>
          <w:szCs w:val="24"/>
        </w:rPr>
      </w:pPr>
      <w:r w:rsidRPr="00CC017B">
        <w:rPr>
          <w:rFonts w:eastAsia="Calibri"/>
          <w:color w:val="2D2D2D"/>
          <w:sz w:val="24"/>
          <w:szCs w:val="24"/>
        </w:rPr>
        <w:t>Team:</w:t>
      </w:r>
      <w:r w:rsidR="00623E19" w:rsidRPr="00623E19">
        <w:rPr>
          <w:rFonts w:eastAsia="Calibri"/>
          <w:color w:val="2D2D2D"/>
          <w:sz w:val="24"/>
          <w:szCs w:val="24"/>
        </w:rPr>
        <w:t xml:space="preserve"> </w:t>
      </w:r>
      <w:r w:rsidR="00623E19" w:rsidRPr="003234EF">
        <w:rPr>
          <w:rFonts w:eastAsia="Calibri"/>
          <w:color w:val="2D2D2D"/>
          <w:sz w:val="24"/>
          <w:szCs w:val="24"/>
        </w:rPr>
        <w:t>Ratan Sharma (A0</w:t>
      </w:r>
      <w:r w:rsidR="00623E19">
        <w:rPr>
          <w:rFonts w:eastAsia="Calibri"/>
          <w:color w:val="2D2D2D"/>
          <w:sz w:val="24"/>
          <w:szCs w:val="24"/>
        </w:rPr>
        <w:t>36</w:t>
      </w:r>
      <w:proofErr w:type="gramStart"/>
      <w:r w:rsidR="00623E19" w:rsidRPr="003234EF">
        <w:rPr>
          <w:rFonts w:eastAsia="Calibri"/>
          <w:color w:val="2D2D2D"/>
          <w:sz w:val="24"/>
          <w:szCs w:val="24"/>
        </w:rPr>
        <w:t>)  ·</w:t>
      </w:r>
      <w:proofErr w:type="gramEnd"/>
      <w:r w:rsidR="00623E19" w:rsidRPr="003234EF">
        <w:rPr>
          <w:rFonts w:eastAsia="Calibri"/>
          <w:color w:val="2D2D2D"/>
          <w:sz w:val="24"/>
          <w:szCs w:val="24"/>
        </w:rPr>
        <w:t xml:space="preserve">  Mayank</w:t>
      </w:r>
      <w:r w:rsidR="00623E19">
        <w:rPr>
          <w:rFonts w:eastAsia="Calibri"/>
          <w:color w:val="2D2D2D"/>
          <w:sz w:val="24"/>
          <w:szCs w:val="24"/>
        </w:rPr>
        <w:t xml:space="preserve"> Gupta</w:t>
      </w:r>
      <w:r w:rsidR="00623E19" w:rsidRPr="003234EF">
        <w:rPr>
          <w:rFonts w:eastAsia="Calibri"/>
          <w:color w:val="2D2D2D"/>
          <w:sz w:val="24"/>
          <w:szCs w:val="24"/>
        </w:rPr>
        <w:t xml:space="preserve"> (A0</w:t>
      </w:r>
      <w:r w:rsidR="00623E19">
        <w:rPr>
          <w:rFonts w:eastAsia="Calibri"/>
          <w:color w:val="2D2D2D"/>
          <w:sz w:val="24"/>
          <w:szCs w:val="24"/>
        </w:rPr>
        <w:t>42</w:t>
      </w:r>
      <w:proofErr w:type="gramStart"/>
      <w:r w:rsidR="00623E19" w:rsidRPr="003234EF">
        <w:rPr>
          <w:rFonts w:eastAsia="Calibri"/>
          <w:color w:val="2D2D2D"/>
          <w:sz w:val="24"/>
          <w:szCs w:val="24"/>
        </w:rPr>
        <w:t>)  ·</w:t>
      </w:r>
      <w:proofErr w:type="gramEnd"/>
      <w:r w:rsidR="00623E19" w:rsidRPr="003234EF">
        <w:rPr>
          <w:rFonts w:eastAsia="Calibri"/>
          <w:color w:val="2D2D2D"/>
          <w:sz w:val="24"/>
          <w:szCs w:val="24"/>
        </w:rPr>
        <w:t xml:space="preserve">  Kunal</w:t>
      </w:r>
      <w:r w:rsidR="00623E19">
        <w:rPr>
          <w:rFonts w:eastAsia="Calibri"/>
          <w:color w:val="2D2D2D"/>
          <w:sz w:val="24"/>
          <w:szCs w:val="24"/>
        </w:rPr>
        <w:t xml:space="preserve"> Verma</w:t>
      </w:r>
      <w:r w:rsidR="00623E19" w:rsidRPr="003234EF">
        <w:rPr>
          <w:rFonts w:eastAsia="Calibri"/>
          <w:color w:val="2D2D2D"/>
          <w:sz w:val="24"/>
          <w:szCs w:val="24"/>
        </w:rPr>
        <w:t xml:space="preserve"> (A0</w:t>
      </w:r>
      <w:r w:rsidR="00623E19">
        <w:rPr>
          <w:rFonts w:eastAsia="Calibri"/>
          <w:color w:val="2D2D2D"/>
          <w:sz w:val="24"/>
          <w:szCs w:val="24"/>
        </w:rPr>
        <w:t>24</w:t>
      </w:r>
      <w:proofErr w:type="gramStart"/>
      <w:r w:rsidR="00623E19" w:rsidRPr="003234EF">
        <w:rPr>
          <w:rFonts w:eastAsia="Calibri"/>
          <w:color w:val="2D2D2D"/>
          <w:sz w:val="24"/>
          <w:szCs w:val="24"/>
        </w:rPr>
        <w:t>)</w:t>
      </w:r>
      <w:r w:rsidRPr="00CC017B">
        <w:rPr>
          <w:rFonts w:eastAsia="Calibri"/>
          <w:color w:val="2D2D2D"/>
          <w:sz w:val="24"/>
          <w:szCs w:val="24"/>
        </w:rPr>
        <w:t>)  |</w:t>
      </w:r>
      <w:proofErr w:type="gramEnd"/>
      <w:r w:rsidRPr="00CC017B">
        <w:rPr>
          <w:rFonts w:eastAsia="Calibri"/>
          <w:color w:val="2D2D2D"/>
          <w:sz w:val="24"/>
          <w:szCs w:val="24"/>
        </w:rPr>
        <w:t xml:space="preserve">  NMIMS </w:t>
      </w:r>
      <w:proofErr w:type="gramStart"/>
      <w:r w:rsidRPr="00CC017B">
        <w:rPr>
          <w:rFonts w:eastAsia="Calibri"/>
          <w:color w:val="2D2D2D"/>
          <w:sz w:val="24"/>
          <w:szCs w:val="24"/>
        </w:rPr>
        <w:t>Mumbai  |</w:t>
      </w:r>
      <w:proofErr w:type="gramEnd"/>
      <w:r w:rsidRPr="00CC017B">
        <w:rPr>
          <w:rFonts w:eastAsia="Calibri"/>
          <w:color w:val="2D2D2D"/>
          <w:sz w:val="24"/>
          <w:szCs w:val="24"/>
        </w:rPr>
        <w:t xml:space="preserve">  MSc Data Science 2026</w:t>
      </w:r>
    </w:p>
    <w:p w14:paraId="219C4C54" w14:textId="77777777" w:rsidR="006F352B" w:rsidRPr="00CC017B" w:rsidRDefault="00000000">
      <w:pPr>
        <w:spacing w:before="60" w:after="300"/>
        <w:jc w:val="center"/>
        <w:rPr>
          <w:sz w:val="24"/>
          <w:szCs w:val="24"/>
        </w:rPr>
      </w:pPr>
      <w:r w:rsidRPr="00CC017B">
        <w:rPr>
          <w:rFonts w:eastAsia="Calibri"/>
          <w:b/>
          <w:bCs/>
          <w:color w:val="1A1A6E"/>
          <w:sz w:val="24"/>
          <w:szCs w:val="24"/>
        </w:rPr>
        <w:t xml:space="preserve">Data: January 2000 – February </w:t>
      </w:r>
      <w:proofErr w:type="gramStart"/>
      <w:r w:rsidRPr="00CC017B">
        <w:rPr>
          <w:rFonts w:eastAsia="Calibri"/>
          <w:b/>
          <w:bCs/>
          <w:color w:val="1A1A6E"/>
          <w:sz w:val="24"/>
          <w:szCs w:val="24"/>
        </w:rPr>
        <w:t>2026  |</w:t>
      </w:r>
      <w:proofErr w:type="gramEnd"/>
      <w:r w:rsidRPr="00CC017B">
        <w:rPr>
          <w:rFonts w:eastAsia="Calibri"/>
          <w:b/>
          <w:bCs/>
          <w:color w:val="1A1A6E"/>
          <w:sz w:val="24"/>
          <w:szCs w:val="24"/>
        </w:rPr>
        <w:t xml:space="preserve">  302 </w:t>
      </w:r>
      <w:proofErr w:type="gramStart"/>
      <w:r w:rsidRPr="00CC017B">
        <w:rPr>
          <w:rFonts w:eastAsia="Calibri"/>
          <w:b/>
          <w:bCs/>
          <w:color w:val="1A1A6E"/>
          <w:sz w:val="24"/>
          <w:szCs w:val="24"/>
        </w:rPr>
        <w:t>Months  |</w:t>
      </w:r>
      <w:proofErr w:type="gramEnd"/>
      <w:r w:rsidRPr="00CC017B">
        <w:rPr>
          <w:rFonts w:eastAsia="Calibri"/>
          <w:b/>
          <w:bCs/>
          <w:color w:val="1A1A6E"/>
          <w:sz w:val="24"/>
          <w:szCs w:val="24"/>
        </w:rPr>
        <w:t xml:space="preserve">  6 Recession </w:t>
      </w:r>
      <w:proofErr w:type="gramStart"/>
      <w:r w:rsidRPr="00CC017B">
        <w:rPr>
          <w:rFonts w:eastAsia="Calibri"/>
          <w:b/>
          <w:bCs/>
          <w:color w:val="1A1A6E"/>
          <w:sz w:val="24"/>
          <w:szCs w:val="24"/>
        </w:rPr>
        <w:t>Episodes  |</w:t>
      </w:r>
      <w:proofErr w:type="gramEnd"/>
      <w:r w:rsidRPr="00CC017B">
        <w:rPr>
          <w:rFonts w:eastAsia="Calibri"/>
          <w:b/>
          <w:bCs/>
          <w:color w:val="1A1A6E"/>
          <w:sz w:val="24"/>
          <w:szCs w:val="24"/>
        </w:rPr>
        <w:t xml:space="preserve">  ~44 Recession Months</w:t>
      </w:r>
    </w:p>
    <w:p w14:paraId="0428FA87" w14:textId="77777777" w:rsidR="006F352B" w:rsidRPr="00CC017B" w:rsidRDefault="00000000">
      <w:pPr>
        <w:rPr>
          <w:sz w:val="28"/>
          <w:szCs w:val="28"/>
        </w:rPr>
      </w:pPr>
      <w:r w:rsidRPr="00CC017B">
        <w:rPr>
          <w:sz w:val="28"/>
          <w:szCs w:val="28"/>
        </w:rPr>
        <w:br w:type="page"/>
      </w:r>
    </w:p>
    <w:p w14:paraId="331FAF83" w14:textId="77777777" w:rsidR="006F352B" w:rsidRPr="00CC017B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CC017B">
        <w:rPr>
          <w:rFonts w:eastAsia="Calibri"/>
          <w:b/>
          <w:bCs/>
          <w:color w:val="FFFFFF"/>
          <w:sz w:val="40"/>
          <w:szCs w:val="40"/>
        </w:rPr>
        <w:lastRenderedPageBreak/>
        <w:t>1. Design Philosophy</w:t>
      </w:r>
    </w:p>
    <w:p w14:paraId="619CFD58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5EB0011E" w14:textId="77777777" w:rsidR="006F352B" w:rsidRPr="00CC017B" w:rsidRDefault="00000000">
      <w:pPr>
        <w:pBdr>
          <w:left w:val="single" w:sz="14" w:space="0" w:color="C8A828"/>
        </w:pBdr>
        <w:shd w:val="clear" w:color="auto" w:fill="EEF2FF"/>
        <w:spacing w:before="120" w:after="120"/>
        <w:ind w:left="300" w:right="200"/>
        <w:rPr>
          <w:sz w:val="28"/>
          <w:szCs w:val="28"/>
        </w:rPr>
      </w:pPr>
      <w:r w:rsidRPr="00CC017B">
        <w:rPr>
          <w:rFonts w:eastAsia="Calibri"/>
          <w:b/>
          <w:bCs/>
          <w:color w:val="1A1A6E"/>
          <w:sz w:val="28"/>
          <w:szCs w:val="28"/>
        </w:rPr>
        <w:t>This platform is for researchers and economists. Design must feel like a Bloomberg terminal meets a research journal — professional, data-dense, trustworthy, and fast. The 26-year timeline with 6 colour-coded recession episodes is the centrepiece of the entire UI.</w:t>
      </w:r>
    </w:p>
    <w:p w14:paraId="2127C82C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0E370585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1.1 Design Principles</w:t>
      </w:r>
    </w:p>
    <w:p w14:paraId="6FDB885E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Data First — The 26-year chart with 6 recession shadings is the hero. Everything supports it.</w:t>
      </w:r>
    </w:p>
    <w:p w14:paraId="540B822C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Recession Episodes Are Visually Distinct — Each episode has its own colour used consistently across the entire platform.</w:t>
      </w:r>
    </w:p>
    <w:p w14:paraId="588DADEC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 xml:space="preserve">Proxy Data Is Transparent — Wherever pre-2011 CPI proxy or pre-2016 </w:t>
      </w:r>
      <w:proofErr w:type="spellStart"/>
      <w:r w:rsidRPr="00CC017B">
        <w:rPr>
          <w:rFonts w:eastAsia="Calibri"/>
          <w:color w:val="2D2D2D"/>
          <w:sz w:val="28"/>
          <w:szCs w:val="28"/>
        </w:rPr>
        <w:t>sent_mpc</w:t>
      </w:r>
      <w:proofErr w:type="spellEnd"/>
      <w:r w:rsidRPr="00CC017B">
        <w:rPr>
          <w:rFonts w:eastAsia="Calibri"/>
          <w:color w:val="2D2D2D"/>
          <w:sz w:val="28"/>
          <w:szCs w:val="28"/>
        </w:rPr>
        <w:t>=0.0 is used, the UI clearly labels it with a tooltip explaining why.</w:t>
      </w:r>
    </w:p>
    <w:p w14:paraId="4E560BB4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Trustworthy — Government and RBI data. Design signals credibility. No playful fonts or casual colours.</w:t>
      </w:r>
    </w:p>
    <w:p w14:paraId="560BD17B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Fast — 302-point timeline renders in under 2 seconds. Every interaction feels instant.</w:t>
      </w:r>
    </w:p>
    <w:p w14:paraId="1E703467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Accessible — WCAG 2.1 AA. Works for colour-blind users — recession episodes also use patterns not just colours.</w:t>
      </w:r>
    </w:p>
    <w:p w14:paraId="5197094A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2A4C4CBA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1.2 Six Recession Episode Colour System</w:t>
      </w:r>
    </w:p>
    <w:p w14:paraId="4C28442D" w14:textId="77777777" w:rsidR="006F352B" w:rsidRPr="00CC017B" w:rsidRDefault="00000000">
      <w:pPr>
        <w:pBdr>
          <w:left w:val="single" w:sz="14" w:space="0" w:color="C8A828"/>
        </w:pBdr>
        <w:shd w:val="clear" w:color="auto" w:fill="EEF2FF"/>
        <w:spacing w:before="120" w:after="120"/>
        <w:ind w:left="300" w:right="200"/>
        <w:rPr>
          <w:sz w:val="28"/>
          <w:szCs w:val="28"/>
        </w:rPr>
      </w:pPr>
      <w:r w:rsidRPr="00CC017B">
        <w:rPr>
          <w:rFonts w:eastAsia="Calibri"/>
          <w:b/>
          <w:bCs/>
          <w:color w:val="1A1A6E"/>
          <w:sz w:val="28"/>
          <w:szCs w:val="28"/>
        </w:rPr>
        <w:t>All 6 recession episodes have fixed colour codes. Used in timeline chart shading, episode badges, comparison headers, and all data tables throughout the platform.</w:t>
      </w:r>
    </w:p>
    <w:p w14:paraId="3FCC4C90" w14:textId="77777777" w:rsidR="006F352B" w:rsidRPr="00CC017B" w:rsidRDefault="006F352B">
      <w:pPr>
        <w:spacing w:before="80" w:after="80"/>
        <w:rPr>
          <w:sz w:val="28"/>
          <w:szCs w:val="28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1673"/>
        <w:gridCol w:w="2150"/>
        <w:gridCol w:w="1543"/>
        <w:gridCol w:w="2464"/>
      </w:tblGrid>
      <w:tr w:rsidR="006F352B" w:rsidRPr="00CC017B" w14:paraId="210539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1A6E"/>
          </w:tcPr>
          <w:p w14:paraId="1BA1FE77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Episode</w:t>
            </w:r>
          </w:p>
        </w:tc>
        <w:tc>
          <w:tcPr>
            <w:tcW w:w="1800" w:type="dxa"/>
            <w:shd w:val="clear" w:color="auto" w:fill="1A1A6E"/>
          </w:tcPr>
          <w:p w14:paraId="30ABE004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Period</w:t>
            </w:r>
          </w:p>
        </w:tc>
        <w:tc>
          <w:tcPr>
            <w:tcW w:w="2200" w:type="dxa"/>
            <w:shd w:val="clear" w:color="auto" w:fill="1A1A6E"/>
          </w:tcPr>
          <w:p w14:paraId="4CBDC98D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Cause</w:t>
            </w:r>
          </w:p>
        </w:tc>
        <w:tc>
          <w:tcPr>
            <w:tcW w:w="1600" w:type="dxa"/>
            <w:shd w:val="clear" w:color="auto" w:fill="1A1A6E"/>
          </w:tcPr>
          <w:p w14:paraId="27EA06BB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Hex Colour</w:t>
            </w:r>
          </w:p>
        </w:tc>
        <w:tc>
          <w:tcPr>
            <w:tcW w:w="2600" w:type="dxa"/>
            <w:shd w:val="clear" w:color="auto" w:fill="1A1A6E"/>
          </w:tcPr>
          <w:p w14:paraId="58110BF9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Pattern (for accessibility)</w:t>
            </w:r>
          </w:p>
        </w:tc>
      </w:tr>
      <w:tr w:rsidR="006F352B" w:rsidRPr="00CC017B" w14:paraId="6623F2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DF5E6"/>
          </w:tcPr>
          <w:p w14:paraId="60839DF5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1</w:t>
            </w:r>
          </w:p>
        </w:tc>
        <w:tc>
          <w:tcPr>
            <w:tcW w:w="1800" w:type="dxa"/>
            <w:shd w:val="clear" w:color="auto" w:fill="FDF5E6"/>
          </w:tcPr>
          <w:p w14:paraId="344FAB9A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Sep 2001–Mar 2002</w:t>
            </w:r>
          </w:p>
        </w:tc>
        <w:tc>
          <w:tcPr>
            <w:tcW w:w="2200" w:type="dxa"/>
            <w:shd w:val="clear" w:color="auto" w:fill="FDF5E6"/>
          </w:tcPr>
          <w:p w14:paraId="6F77067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Dot-com + 9/11</w:t>
            </w:r>
          </w:p>
        </w:tc>
        <w:tc>
          <w:tcPr>
            <w:tcW w:w="1600" w:type="dxa"/>
            <w:shd w:val="clear" w:color="auto" w:fill="FDF5E6"/>
          </w:tcPr>
          <w:p w14:paraId="4440D78E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#8B4513 — Brown</w:t>
            </w:r>
          </w:p>
        </w:tc>
        <w:tc>
          <w:tcPr>
            <w:tcW w:w="2600" w:type="dxa"/>
            <w:shd w:val="clear" w:color="auto" w:fill="FDF5E6"/>
          </w:tcPr>
          <w:p w14:paraId="069A3D07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Diagonal lines ////</w:t>
            </w:r>
          </w:p>
        </w:tc>
      </w:tr>
      <w:tr w:rsidR="006F352B" w:rsidRPr="00CC017B" w14:paraId="6F8096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0F0"/>
          </w:tcPr>
          <w:p w14:paraId="0C10C696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2</w:t>
            </w:r>
          </w:p>
        </w:tc>
        <w:tc>
          <w:tcPr>
            <w:tcW w:w="1800" w:type="dxa"/>
            <w:shd w:val="clear" w:color="auto" w:fill="FFF0F0"/>
          </w:tcPr>
          <w:p w14:paraId="7A9F1359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Oct 2008–Mar 2009</w:t>
            </w:r>
          </w:p>
        </w:tc>
        <w:tc>
          <w:tcPr>
            <w:tcW w:w="2200" w:type="dxa"/>
            <w:shd w:val="clear" w:color="auto" w:fill="FFF0F0"/>
          </w:tcPr>
          <w:p w14:paraId="43B639A3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Global Financial Crisis</w:t>
            </w:r>
          </w:p>
        </w:tc>
        <w:tc>
          <w:tcPr>
            <w:tcW w:w="1600" w:type="dxa"/>
            <w:shd w:val="clear" w:color="auto" w:fill="FFF0F0"/>
          </w:tcPr>
          <w:p w14:paraId="40CE093E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8A1010"/>
                <w:sz w:val="28"/>
                <w:szCs w:val="28"/>
              </w:rPr>
              <w:t>#DC143C — Crimson</w:t>
            </w:r>
          </w:p>
        </w:tc>
        <w:tc>
          <w:tcPr>
            <w:tcW w:w="2600" w:type="dxa"/>
            <w:shd w:val="clear" w:color="auto" w:fill="FFF0F0"/>
          </w:tcPr>
          <w:p w14:paraId="3B455FFF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Cross-hatch ####</w:t>
            </w:r>
          </w:p>
        </w:tc>
      </w:tr>
      <w:tr w:rsidR="006F352B" w:rsidRPr="00CC017B" w14:paraId="0EFE15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8DC"/>
          </w:tcPr>
          <w:p w14:paraId="331F3B90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3</w:t>
            </w:r>
          </w:p>
        </w:tc>
        <w:tc>
          <w:tcPr>
            <w:tcW w:w="1800" w:type="dxa"/>
            <w:shd w:val="clear" w:color="auto" w:fill="FFF8DC"/>
          </w:tcPr>
          <w:p w14:paraId="503CC912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Jun 2013–Sep 2013</w:t>
            </w:r>
          </w:p>
        </w:tc>
        <w:tc>
          <w:tcPr>
            <w:tcW w:w="2200" w:type="dxa"/>
            <w:shd w:val="clear" w:color="auto" w:fill="FFF8DC"/>
          </w:tcPr>
          <w:p w14:paraId="46FA9580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Taper tantrum</w:t>
            </w:r>
          </w:p>
        </w:tc>
        <w:tc>
          <w:tcPr>
            <w:tcW w:w="1600" w:type="dxa"/>
            <w:shd w:val="clear" w:color="auto" w:fill="FFF8DC"/>
          </w:tcPr>
          <w:p w14:paraId="164620C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#FF8C00 — Dark orange</w:t>
            </w:r>
          </w:p>
        </w:tc>
        <w:tc>
          <w:tcPr>
            <w:tcW w:w="2600" w:type="dxa"/>
            <w:shd w:val="clear" w:color="auto" w:fill="FFF8DC"/>
          </w:tcPr>
          <w:p w14:paraId="1B650F06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Dots ....</w:t>
            </w:r>
          </w:p>
        </w:tc>
      </w:tr>
      <w:tr w:rsidR="006F352B" w:rsidRPr="00CC017B" w14:paraId="31EFB7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5E6FF"/>
          </w:tcPr>
          <w:p w14:paraId="44914B2F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4</w:t>
            </w:r>
          </w:p>
        </w:tc>
        <w:tc>
          <w:tcPr>
            <w:tcW w:w="1800" w:type="dxa"/>
            <w:shd w:val="clear" w:color="auto" w:fill="F5E6FF"/>
          </w:tcPr>
          <w:p w14:paraId="14FE27AA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Nov 2016–Feb 2017</w:t>
            </w:r>
          </w:p>
        </w:tc>
        <w:tc>
          <w:tcPr>
            <w:tcW w:w="2200" w:type="dxa"/>
            <w:shd w:val="clear" w:color="auto" w:fill="F5E6FF"/>
          </w:tcPr>
          <w:p w14:paraId="75445336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Demonetization</w:t>
            </w:r>
          </w:p>
        </w:tc>
        <w:tc>
          <w:tcPr>
            <w:tcW w:w="1600" w:type="dxa"/>
            <w:shd w:val="clear" w:color="auto" w:fill="F5E6FF"/>
          </w:tcPr>
          <w:p w14:paraId="59393022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#9400D3 — Dark violet</w:t>
            </w:r>
          </w:p>
        </w:tc>
        <w:tc>
          <w:tcPr>
            <w:tcW w:w="2600" w:type="dxa"/>
            <w:shd w:val="clear" w:color="auto" w:fill="F5E6FF"/>
          </w:tcPr>
          <w:p w14:paraId="01F86963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Back-diagonal \\\\</w:t>
            </w:r>
          </w:p>
        </w:tc>
      </w:tr>
      <w:tr w:rsidR="006F352B" w:rsidRPr="00CC017B" w14:paraId="33E079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0E8"/>
          </w:tcPr>
          <w:p w14:paraId="544E87DA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5</w:t>
            </w:r>
          </w:p>
        </w:tc>
        <w:tc>
          <w:tcPr>
            <w:tcW w:w="1800" w:type="dxa"/>
            <w:shd w:val="clear" w:color="auto" w:fill="FFF0E8"/>
          </w:tcPr>
          <w:p w14:paraId="63BE9906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Jul 2019–Nov 2019</w:t>
            </w:r>
          </w:p>
        </w:tc>
        <w:tc>
          <w:tcPr>
            <w:tcW w:w="2200" w:type="dxa"/>
            <w:shd w:val="clear" w:color="auto" w:fill="FFF0E8"/>
          </w:tcPr>
          <w:p w14:paraId="22016B6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Pre-COVID slowdown</w:t>
            </w:r>
          </w:p>
        </w:tc>
        <w:tc>
          <w:tcPr>
            <w:tcW w:w="1600" w:type="dxa"/>
            <w:shd w:val="clear" w:color="auto" w:fill="FFF0E8"/>
          </w:tcPr>
          <w:p w14:paraId="2B82EBD2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#FF6347 — Tomato</w:t>
            </w:r>
          </w:p>
        </w:tc>
        <w:tc>
          <w:tcPr>
            <w:tcW w:w="2600" w:type="dxa"/>
            <w:shd w:val="clear" w:color="auto" w:fill="FFF0E8"/>
          </w:tcPr>
          <w:p w14:paraId="589DAC1B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Zigzag ^^^^</w:t>
            </w:r>
          </w:p>
        </w:tc>
      </w:tr>
      <w:tr w:rsidR="006F352B" w:rsidRPr="00CC017B" w14:paraId="7CF182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0F0"/>
          </w:tcPr>
          <w:p w14:paraId="459B461C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6</w:t>
            </w:r>
          </w:p>
        </w:tc>
        <w:tc>
          <w:tcPr>
            <w:tcW w:w="1800" w:type="dxa"/>
            <w:shd w:val="clear" w:color="auto" w:fill="FFF0F0"/>
          </w:tcPr>
          <w:p w14:paraId="70DD7BA8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Mar 2020–Oct 2020</w:t>
            </w:r>
          </w:p>
        </w:tc>
        <w:tc>
          <w:tcPr>
            <w:tcW w:w="2200" w:type="dxa"/>
            <w:shd w:val="clear" w:color="auto" w:fill="FFF0F0"/>
          </w:tcPr>
          <w:p w14:paraId="7BDDD3EA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COVID-19</w:t>
            </w:r>
          </w:p>
        </w:tc>
        <w:tc>
          <w:tcPr>
            <w:tcW w:w="1600" w:type="dxa"/>
            <w:shd w:val="clear" w:color="auto" w:fill="FFF0F0"/>
          </w:tcPr>
          <w:p w14:paraId="0817A9D4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8A1010"/>
                <w:sz w:val="28"/>
                <w:szCs w:val="28"/>
              </w:rPr>
              <w:t>#B02020 — Deep red</w:t>
            </w:r>
          </w:p>
        </w:tc>
        <w:tc>
          <w:tcPr>
            <w:tcW w:w="2600" w:type="dxa"/>
            <w:shd w:val="clear" w:color="auto" w:fill="FFF0F0"/>
          </w:tcPr>
          <w:p w14:paraId="0EDADA33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Solid fill</w:t>
            </w:r>
          </w:p>
        </w:tc>
      </w:tr>
    </w:tbl>
    <w:p w14:paraId="581A479D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6B3EB033" w14:textId="77777777" w:rsidR="006F352B" w:rsidRPr="00CC017B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CC017B">
        <w:rPr>
          <w:rFonts w:eastAsia="Calibri"/>
          <w:b/>
          <w:bCs/>
          <w:color w:val="FFFFFF"/>
          <w:sz w:val="40"/>
          <w:szCs w:val="40"/>
        </w:rPr>
        <w:t>2. Design System</w:t>
      </w:r>
    </w:p>
    <w:p w14:paraId="5EFA74A9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495A69F6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2.1 Core Colour Palette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5600"/>
      </w:tblGrid>
      <w:tr w:rsidR="006F352B" w:rsidRPr="00CC017B" w14:paraId="4A9564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A1A6E"/>
          </w:tcPr>
          <w:p w14:paraId="2C9FD1CB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Name</w:t>
            </w:r>
          </w:p>
        </w:tc>
        <w:tc>
          <w:tcPr>
            <w:tcW w:w="1600" w:type="dxa"/>
            <w:shd w:val="clear" w:color="auto" w:fill="1A1A6E"/>
          </w:tcPr>
          <w:p w14:paraId="0A4020E8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Hex</w:t>
            </w:r>
          </w:p>
        </w:tc>
        <w:tc>
          <w:tcPr>
            <w:tcW w:w="5600" w:type="dxa"/>
            <w:shd w:val="clear" w:color="auto" w:fill="1A1A6E"/>
          </w:tcPr>
          <w:p w14:paraId="593B14AF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Usage</w:t>
            </w:r>
          </w:p>
        </w:tc>
      </w:tr>
      <w:tr w:rsidR="006F352B" w:rsidRPr="00CC017B" w14:paraId="2DFEB4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</w:tcPr>
          <w:p w14:paraId="603B78A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Deep Navy</w:t>
            </w:r>
          </w:p>
        </w:tc>
        <w:tc>
          <w:tcPr>
            <w:tcW w:w="1600" w:type="dxa"/>
            <w:shd w:val="clear" w:color="auto" w:fill="E8F0FE"/>
          </w:tcPr>
          <w:p w14:paraId="64916A13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#1A1A6E</w:t>
            </w:r>
          </w:p>
        </w:tc>
        <w:tc>
          <w:tcPr>
            <w:tcW w:w="5600" w:type="dxa"/>
            <w:shd w:val="clear" w:color="auto" w:fill="E8F0FE"/>
          </w:tcPr>
          <w:p w14:paraId="399F43F4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Navigation bar, section headers, primary buttons, key data</w:t>
            </w:r>
          </w:p>
        </w:tc>
      </w:tr>
      <w:tr w:rsidR="006F352B" w:rsidRPr="00CC017B" w14:paraId="20B65E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8DC"/>
          </w:tcPr>
          <w:p w14:paraId="1F5D33DC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Gold</w:t>
            </w:r>
          </w:p>
        </w:tc>
        <w:tc>
          <w:tcPr>
            <w:tcW w:w="1600" w:type="dxa"/>
            <w:shd w:val="clear" w:color="auto" w:fill="FFF8DC"/>
          </w:tcPr>
          <w:p w14:paraId="559B4C79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#C8A828</w:t>
            </w:r>
          </w:p>
        </w:tc>
        <w:tc>
          <w:tcPr>
            <w:tcW w:w="5600" w:type="dxa"/>
            <w:shd w:val="clear" w:color="auto" w:fill="FFF8DC"/>
          </w:tcPr>
          <w:p w14:paraId="41D197B9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Accent — borders, highlights, secondary buttons. Never large backgrounds.</w:t>
            </w:r>
          </w:p>
        </w:tc>
      </w:tr>
      <w:tr w:rsidR="006F352B" w:rsidRPr="00CC017B" w14:paraId="68210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0F0"/>
          </w:tcPr>
          <w:p w14:paraId="0F63EE29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8A1010"/>
                <w:sz w:val="28"/>
                <w:szCs w:val="28"/>
              </w:rPr>
              <w:t>Alert Red</w:t>
            </w:r>
          </w:p>
        </w:tc>
        <w:tc>
          <w:tcPr>
            <w:tcW w:w="1600" w:type="dxa"/>
            <w:shd w:val="clear" w:color="auto" w:fill="FFF0F0"/>
          </w:tcPr>
          <w:p w14:paraId="07B44263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8A1010"/>
                <w:sz w:val="28"/>
                <w:szCs w:val="28"/>
              </w:rPr>
              <w:t>#DC3545</w:t>
            </w:r>
          </w:p>
        </w:tc>
        <w:tc>
          <w:tcPr>
            <w:tcW w:w="5600" w:type="dxa"/>
            <w:shd w:val="clear" w:color="auto" w:fill="FFF0F0"/>
          </w:tcPr>
          <w:p w14:paraId="296378E1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8A1010"/>
                <w:sz w:val="28"/>
                <w:szCs w:val="28"/>
              </w:rPr>
              <w:t>ALERT status badge. Episode 6 COVID chart colour.</w:t>
            </w:r>
          </w:p>
        </w:tc>
      </w:tr>
      <w:tr w:rsidR="006F352B" w:rsidRPr="00CC017B" w14:paraId="6A7EC6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BEB"/>
          </w:tcPr>
          <w:p w14:paraId="5687DB03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AA8800"/>
                <w:sz w:val="28"/>
                <w:szCs w:val="28"/>
              </w:rPr>
              <w:t>Watch Amber</w:t>
            </w:r>
          </w:p>
        </w:tc>
        <w:tc>
          <w:tcPr>
            <w:tcW w:w="1600" w:type="dxa"/>
            <w:shd w:val="clear" w:color="auto" w:fill="FFFBEB"/>
          </w:tcPr>
          <w:p w14:paraId="34E9E838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#F59E0B</w:t>
            </w:r>
          </w:p>
        </w:tc>
        <w:tc>
          <w:tcPr>
            <w:tcW w:w="5600" w:type="dxa"/>
            <w:shd w:val="clear" w:color="auto" w:fill="FFFBEB"/>
          </w:tcPr>
          <w:p w14:paraId="0C7E75E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WATCH status badge. Elevated risk.</w:t>
            </w:r>
          </w:p>
        </w:tc>
      </w:tr>
      <w:tr w:rsidR="006F352B" w:rsidRPr="00CC017B" w14:paraId="1D4BFB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FE8"/>
          </w:tcPr>
          <w:p w14:paraId="1C9DD881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1A5A1A"/>
                <w:sz w:val="28"/>
                <w:szCs w:val="28"/>
              </w:rPr>
              <w:t>Safe Green</w:t>
            </w:r>
          </w:p>
        </w:tc>
        <w:tc>
          <w:tcPr>
            <w:tcW w:w="1600" w:type="dxa"/>
            <w:shd w:val="clear" w:color="auto" w:fill="E8FFE8"/>
          </w:tcPr>
          <w:p w14:paraId="6E879684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1A5A1A"/>
                <w:sz w:val="28"/>
                <w:szCs w:val="28"/>
              </w:rPr>
              <w:t>#198754</w:t>
            </w:r>
          </w:p>
        </w:tc>
        <w:tc>
          <w:tcPr>
            <w:tcW w:w="5600" w:type="dxa"/>
            <w:shd w:val="clear" w:color="auto" w:fill="E8FFE8"/>
          </w:tcPr>
          <w:p w14:paraId="62A634FF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1A5A1A"/>
                <w:sz w:val="28"/>
                <w:szCs w:val="28"/>
              </w:rPr>
              <w:t>NORMAL status badge. Low risk. Positive sentiment.</w:t>
            </w:r>
          </w:p>
        </w:tc>
      </w:tr>
      <w:tr w:rsidR="006F352B" w:rsidRPr="00CC017B" w14:paraId="6DC81D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</w:tcPr>
          <w:p w14:paraId="070E3110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Off White</w:t>
            </w:r>
          </w:p>
        </w:tc>
        <w:tc>
          <w:tcPr>
            <w:tcW w:w="1600" w:type="dxa"/>
            <w:shd w:val="clear" w:color="auto" w:fill="F5F5F5"/>
          </w:tcPr>
          <w:p w14:paraId="467CEFBB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#F8F9FA</w:t>
            </w:r>
          </w:p>
        </w:tc>
        <w:tc>
          <w:tcPr>
            <w:tcW w:w="5600" w:type="dxa"/>
            <w:shd w:val="clear" w:color="auto" w:fill="F5F5F5"/>
          </w:tcPr>
          <w:p w14:paraId="4205A643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Page and card backgrounds.</w:t>
            </w:r>
          </w:p>
        </w:tc>
      </w:tr>
      <w:tr w:rsidR="006F352B" w:rsidRPr="00CC017B" w14:paraId="16570C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0F0F0"/>
          </w:tcPr>
          <w:p w14:paraId="31150498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Charcoal</w:t>
            </w:r>
          </w:p>
        </w:tc>
        <w:tc>
          <w:tcPr>
            <w:tcW w:w="1600" w:type="dxa"/>
            <w:shd w:val="clear" w:color="auto" w:fill="F0F0F0"/>
          </w:tcPr>
          <w:p w14:paraId="0E5E17C2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#2D2D2D</w:t>
            </w:r>
          </w:p>
        </w:tc>
        <w:tc>
          <w:tcPr>
            <w:tcW w:w="5600" w:type="dxa"/>
            <w:shd w:val="clear" w:color="auto" w:fill="F0F0F0"/>
          </w:tcPr>
          <w:p w14:paraId="4AC22D77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All body text and labels.</w:t>
            </w:r>
          </w:p>
        </w:tc>
      </w:tr>
      <w:tr w:rsidR="006F352B" w:rsidRPr="00CC017B" w14:paraId="37D54C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BEB"/>
          </w:tcPr>
          <w:p w14:paraId="248FA432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Proxy Yellow</w:t>
            </w:r>
          </w:p>
        </w:tc>
        <w:tc>
          <w:tcPr>
            <w:tcW w:w="1600" w:type="dxa"/>
            <w:shd w:val="clear" w:color="auto" w:fill="FFFBEB"/>
          </w:tcPr>
          <w:p w14:paraId="359AD23B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#FEF3C7</w:t>
            </w:r>
          </w:p>
        </w:tc>
        <w:tc>
          <w:tcPr>
            <w:tcW w:w="5600" w:type="dxa"/>
            <w:shd w:val="clear" w:color="auto" w:fill="FFFBEB"/>
          </w:tcPr>
          <w:p w14:paraId="0F7FE087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Background for cells/fields containing proxy or estimated data — signals caution to user.</w:t>
            </w:r>
          </w:p>
        </w:tc>
      </w:tr>
    </w:tbl>
    <w:p w14:paraId="0CDBD9DF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6941FB94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2.2 Typography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200"/>
        <w:gridCol w:w="1200"/>
        <w:gridCol w:w="2400"/>
      </w:tblGrid>
      <w:tr w:rsidR="006F352B" w:rsidRPr="00CC017B" w14:paraId="11CB7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A1A6E"/>
          </w:tcPr>
          <w:p w14:paraId="235D461E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Element</w:t>
            </w:r>
          </w:p>
        </w:tc>
        <w:tc>
          <w:tcPr>
            <w:tcW w:w="2000" w:type="dxa"/>
            <w:shd w:val="clear" w:color="auto" w:fill="1A1A6E"/>
          </w:tcPr>
          <w:p w14:paraId="4C57AF36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Font</w:t>
            </w:r>
          </w:p>
        </w:tc>
        <w:tc>
          <w:tcPr>
            <w:tcW w:w="1200" w:type="dxa"/>
            <w:shd w:val="clear" w:color="auto" w:fill="1A1A6E"/>
          </w:tcPr>
          <w:p w14:paraId="5AE97AF0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Size</w:t>
            </w:r>
          </w:p>
        </w:tc>
        <w:tc>
          <w:tcPr>
            <w:tcW w:w="1200" w:type="dxa"/>
            <w:shd w:val="clear" w:color="auto" w:fill="1A1A6E"/>
          </w:tcPr>
          <w:p w14:paraId="4A1E3E9A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Weight</w:t>
            </w:r>
          </w:p>
        </w:tc>
        <w:tc>
          <w:tcPr>
            <w:tcW w:w="2400" w:type="dxa"/>
            <w:shd w:val="clear" w:color="auto" w:fill="1A1A6E"/>
          </w:tcPr>
          <w:p w14:paraId="055465A0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Usage</w:t>
            </w:r>
          </w:p>
        </w:tc>
      </w:tr>
      <w:tr w:rsidR="006F352B" w:rsidRPr="00CC017B" w14:paraId="04860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4499AD5B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Page Title</w:t>
            </w:r>
          </w:p>
        </w:tc>
        <w:tc>
          <w:tcPr>
            <w:tcW w:w="2000" w:type="dxa"/>
            <w:shd w:val="clear" w:color="auto" w:fill="F5F5F5"/>
          </w:tcPr>
          <w:p w14:paraId="569C5034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Inter</w:t>
            </w:r>
          </w:p>
        </w:tc>
        <w:tc>
          <w:tcPr>
            <w:tcW w:w="1200" w:type="dxa"/>
            <w:shd w:val="clear" w:color="auto" w:fill="F5F5F5"/>
          </w:tcPr>
          <w:p w14:paraId="45BDB40E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2.5rem</w:t>
            </w:r>
          </w:p>
        </w:tc>
        <w:tc>
          <w:tcPr>
            <w:tcW w:w="1200" w:type="dxa"/>
            <w:shd w:val="clear" w:color="auto" w:fill="F5F5F5"/>
          </w:tcPr>
          <w:p w14:paraId="19B15CC6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700</w:t>
            </w:r>
          </w:p>
        </w:tc>
        <w:tc>
          <w:tcPr>
            <w:tcW w:w="2400" w:type="dxa"/>
            <w:shd w:val="clear" w:color="auto" w:fill="F5F5F5"/>
          </w:tcPr>
          <w:p w14:paraId="4440C9AF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Main heading on each page</w:t>
            </w:r>
          </w:p>
        </w:tc>
      </w:tr>
      <w:tr w:rsidR="006F352B" w:rsidRPr="00CC017B" w14:paraId="0F9D6B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524860C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Big Number</w:t>
            </w:r>
          </w:p>
        </w:tc>
        <w:tc>
          <w:tcPr>
            <w:tcW w:w="2000" w:type="dxa"/>
            <w:shd w:val="clear" w:color="auto" w:fill="FFFFFF"/>
          </w:tcPr>
          <w:p w14:paraId="05373FF9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JetBrains Mono</w:t>
            </w:r>
          </w:p>
        </w:tc>
        <w:tc>
          <w:tcPr>
            <w:tcW w:w="1200" w:type="dxa"/>
            <w:shd w:val="clear" w:color="auto" w:fill="FFFFFF"/>
          </w:tcPr>
          <w:p w14:paraId="339DDD1E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3rem</w:t>
            </w:r>
          </w:p>
        </w:tc>
        <w:tc>
          <w:tcPr>
            <w:tcW w:w="1200" w:type="dxa"/>
            <w:shd w:val="clear" w:color="auto" w:fill="FFFFFF"/>
          </w:tcPr>
          <w:p w14:paraId="4A38A170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700</w:t>
            </w:r>
          </w:p>
        </w:tc>
        <w:tc>
          <w:tcPr>
            <w:tcW w:w="2400" w:type="dxa"/>
            <w:shd w:val="clear" w:color="auto" w:fill="FFFFFF"/>
          </w:tcPr>
          <w:p w14:paraId="799621D9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P(recession)% hero score</w:t>
            </w:r>
          </w:p>
        </w:tc>
      </w:tr>
      <w:tr w:rsidR="006F352B" w:rsidRPr="00CC017B" w14:paraId="68C7A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2539CB8F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Timeline Year Labels</w:t>
            </w:r>
          </w:p>
        </w:tc>
        <w:tc>
          <w:tcPr>
            <w:tcW w:w="2000" w:type="dxa"/>
            <w:shd w:val="clear" w:color="auto" w:fill="F5F5F5"/>
          </w:tcPr>
          <w:p w14:paraId="3542E765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JetBrains Mono</w:t>
            </w:r>
          </w:p>
        </w:tc>
        <w:tc>
          <w:tcPr>
            <w:tcW w:w="1200" w:type="dxa"/>
            <w:shd w:val="clear" w:color="auto" w:fill="F5F5F5"/>
          </w:tcPr>
          <w:p w14:paraId="62B3DB3E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0.7rem</w:t>
            </w:r>
          </w:p>
        </w:tc>
        <w:tc>
          <w:tcPr>
            <w:tcW w:w="1200" w:type="dxa"/>
            <w:shd w:val="clear" w:color="auto" w:fill="F5F5F5"/>
          </w:tcPr>
          <w:p w14:paraId="28EEB34A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400</w:t>
            </w:r>
          </w:p>
        </w:tc>
        <w:tc>
          <w:tcPr>
            <w:tcW w:w="2400" w:type="dxa"/>
            <w:shd w:val="clear" w:color="auto" w:fill="F5F5F5"/>
          </w:tcPr>
          <w:p w14:paraId="6860E896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Year markers: 2000, 2001... 2026</w:t>
            </w:r>
          </w:p>
        </w:tc>
      </w:tr>
      <w:tr w:rsidR="006F352B" w:rsidRPr="00CC017B" w14:paraId="197824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4D521437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Body Text</w:t>
            </w:r>
          </w:p>
        </w:tc>
        <w:tc>
          <w:tcPr>
            <w:tcW w:w="2000" w:type="dxa"/>
            <w:shd w:val="clear" w:color="auto" w:fill="FFFFFF"/>
          </w:tcPr>
          <w:p w14:paraId="60DE5141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Inter</w:t>
            </w:r>
          </w:p>
        </w:tc>
        <w:tc>
          <w:tcPr>
            <w:tcW w:w="1200" w:type="dxa"/>
            <w:shd w:val="clear" w:color="auto" w:fill="FFFFFF"/>
          </w:tcPr>
          <w:p w14:paraId="4BE00B32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0.95rem</w:t>
            </w:r>
          </w:p>
        </w:tc>
        <w:tc>
          <w:tcPr>
            <w:tcW w:w="1200" w:type="dxa"/>
            <w:shd w:val="clear" w:color="auto" w:fill="FFFFFF"/>
          </w:tcPr>
          <w:p w14:paraId="6D1A5C2C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400</w:t>
            </w:r>
          </w:p>
        </w:tc>
        <w:tc>
          <w:tcPr>
            <w:tcW w:w="2400" w:type="dxa"/>
            <w:shd w:val="clear" w:color="auto" w:fill="FFFFFF"/>
          </w:tcPr>
          <w:p w14:paraId="274EEA1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Paragraphs, labels, explanations</w:t>
            </w:r>
          </w:p>
        </w:tc>
      </w:tr>
      <w:tr w:rsidR="006F352B" w:rsidRPr="00CC017B" w14:paraId="2F7C0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</w:tcPr>
          <w:p w14:paraId="3111347C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Proxy Label</w:t>
            </w:r>
          </w:p>
        </w:tc>
        <w:tc>
          <w:tcPr>
            <w:tcW w:w="2000" w:type="dxa"/>
            <w:shd w:val="clear" w:color="auto" w:fill="F5F5F5"/>
          </w:tcPr>
          <w:p w14:paraId="7C1733D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Inter</w:t>
            </w:r>
          </w:p>
        </w:tc>
        <w:tc>
          <w:tcPr>
            <w:tcW w:w="1200" w:type="dxa"/>
            <w:shd w:val="clear" w:color="auto" w:fill="F5F5F5"/>
          </w:tcPr>
          <w:p w14:paraId="212D95AE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0.75rem</w:t>
            </w:r>
          </w:p>
        </w:tc>
        <w:tc>
          <w:tcPr>
            <w:tcW w:w="1200" w:type="dxa"/>
            <w:shd w:val="clear" w:color="auto" w:fill="F5F5F5"/>
          </w:tcPr>
          <w:p w14:paraId="6CD3F95E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500</w:t>
            </w:r>
          </w:p>
        </w:tc>
        <w:tc>
          <w:tcPr>
            <w:tcW w:w="2400" w:type="dxa"/>
            <w:shd w:val="clear" w:color="auto" w:fill="F5F5F5"/>
          </w:tcPr>
          <w:p w14:paraId="1B127E17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WPI Proxy / No MPC Data labels in month detail</w:t>
            </w:r>
          </w:p>
        </w:tc>
      </w:tr>
    </w:tbl>
    <w:p w14:paraId="43C1F1A2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025FA441" w14:textId="77777777" w:rsidR="006F352B" w:rsidRPr="00CC017B" w:rsidRDefault="00000000">
      <w:pPr>
        <w:rPr>
          <w:sz w:val="28"/>
          <w:szCs w:val="28"/>
        </w:rPr>
      </w:pPr>
      <w:r w:rsidRPr="00CC017B">
        <w:rPr>
          <w:sz w:val="28"/>
          <w:szCs w:val="28"/>
        </w:rPr>
        <w:br w:type="page"/>
      </w:r>
    </w:p>
    <w:p w14:paraId="2A2D0145" w14:textId="77777777" w:rsidR="006F352B" w:rsidRPr="00CC017B" w:rsidRDefault="00000000">
      <w:pPr>
        <w:pStyle w:val="Heading1"/>
        <w:shd w:val="clear" w:color="auto" w:fill="1A1A6E"/>
        <w:spacing w:before="400" w:after="200"/>
        <w:ind w:left="200"/>
        <w:rPr>
          <w:sz w:val="36"/>
          <w:szCs w:val="36"/>
        </w:rPr>
      </w:pPr>
      <w:r w:rsidRPr="00CC017B">
        <w:rPr>
          <w:rFonts w:eastAsia="Calibri"/>
          <w:b/>
          <w:bCs/>
          <w:color w:val="FFFFFF"/>
          <w:sz w:val="36"/>
          <w:szCs w:val="36"/>
        </w:rPr>
        <w:lastRenderedPageBreak/>
        <w:t>3. Page-by-Page Specifications</w:t>
      </w:r>
    </w:p>
    <w:p w14:paraId="1B967BA1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77118582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3.1 Home Page — 26-Year Dashboard</w:t>
      </w:r>
    </w:p>
    <w:p w14:paraId="763BCB01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6EE7CC16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Navigation Bar</w:t>
      </w:r>
    </w:p>
    <w:p w14:paraId="4D8D6965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Left: India Recession Predictor logo</w:t>
      </w:r>
    </w:p>
    <w:p w14:paraId="451115D7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Centre: Dashboard | Timeline | Episodes | Documents | Forecast | Research</w:t>
      </w:r>
    </w:p>
    <w:p w14:paraId="3B7FC441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Right: Login | Register | Dark/Light toggle</w:t>
      </w:r>
    </w:p>
    <w:p w14:paraId="2F98C1B7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Sticky. Navy background. Gold 2px bottom border.</w:t>
      </w:r>
    </w:p>
    <w:p w14:paraId="124C43A1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12CB292B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Hero Section</w:t>
      </w:r>
    </w:p>
    <w:p w14:paraId="16F71A82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Left 60%: Heading 'India Recession Risk Monitor — 26 Years of Data'. Subheading 'January 2000 to present'. Last updated timestamp.</w:t>
      </w:r>
    </w:p>
    <w:p w14:paraId="20C0B66F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Right 40%: Large P(recession)% in JetBrains Mono. Status badge (colour-coded). Date label.</w:t>
      </w:r>
    </w:p>
    <w:p w14:paraId="1C23858F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Below: 4 metric cards — ~44 Recession Months | 6 Recession Episodes | 302 Months Trained | AUC-ROC 0.97</w:t>
      </w:r>
    </w:p>
    <w:p w14:paraId="19C7927F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184BD9EC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26-Year Timeline Chart</w:t>
      </w:r>
    </w:p>
    <w:p w14:paraId="30F3E6A9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 xml:space="preserve">Full-width </w:t>
      </w:r>
      <w:proofErr w:type="spellStart"/>
      <w:r w:rsidRPr="00CC017B">
        <w:rPr>
          <w:rFonts w:eastAsia="Calibri"/>
          <w:color w:val="2D2D2D"/>
          <w:sz w:val="28"/>
          <w:szCs w:val="28"/>
        </w:rPr>
        <w:t>Plotly</w:t>
      </w:r>
      <w:proofErr w:type="spellEnd"/>
      <w:r w:rsidRPr="00CC017B">
        <w:rPr>
          <w:rFonts w:eastAsia="Calibri"/>
          <w:color w:val="2D2D2D"/>
          <w:sz w:val="28"/>
          <w:szCs w:val="28"/>
        </w:rPr>
        <w:t xml:space="preserve"> chart — January 2000 to present. 302 data points.</w:t>
      </w:r>
    </w:p>
    <w:p w14:paraId="17E4B684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All 6 recession periods shaded with distinct colours + patterns (accessibility) + episode legend</w:t>
      </w:r>
    </w:p>
    <w:p w14:paraId="3C3AA69E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Year markers every year: 2000, 2001, 2002... 2026 on X axis</w:t>
      </w:r>
    </w:p>
    <w:p w14:paraId="3116CBDF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Red dashed line at 0.60 = Alert. Amber dashed at 0.20 = Watch.</w:t>
      </w:r>
    </w:p>
    <w:p w14:paraId="529806FF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Hover tooltip: Month, P(recession)%, Status, Recession episode name + cause if applicable, Proxy data warning if applicable</w:t>
      </w:r>
    </w:p>
    <w:p w14:paraId="2D514E70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Click any point → Month Detail Panel slides in from right</w:t>
      </w:r>
    </w:p>
    <w:p w14:paraId="233AE473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Zoom controls: 5Y | 10Y | All (26Y) buttons — default 5Y on desktop, 3Y on mobile</w:t>
      </w:r>
    </w:p>
    <w:p w14:paraId="255AC760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269F7F2D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Month Detail Panel</w:t>
      </w:r>
    </w:p>
    <w:p w14:paraId="4FDE97E5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Opens from right side on any month click — does not cover main chart</w:t>
      </w:r>
    </w:p>
    <w:p w14:paraId="29760F06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Header: Month, P(recession)%, Status badge, Recession episode badge if in recession period</w:t>
      </w:r>
    </w:p>
    <w:p w14:paraId="312B230F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If recession month: 'Episode 2 — Global Financial Crisis (Oct 2008–Mar 2009)' badge in episode colour</w:t>
      </w:r>
    </w:p>
    <w:p w14:paraId="5EECD408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13 indicator values as labelled rows — full names not variable names</w:t>
      </w:r>
    </w:p>
    <w:p w14:paraId="3E8F3217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lastRenderedPageBreak/>
        <w:t>Proxy data rows shown with yellow background and label 'CPI estimate (WPI-based)' or 'No MPC data — neutral assumed'</w:t>
      </w:r>
    </w:p>
    <w:p w14:paraId="16816783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5 agent scores with evidence text excerpts from FAISS</w:t>
      </w:r>
    </w:p>
    <w:p w14:paraId="7D6CC72E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proofErr w:type="spellStart"/>
      <w:r w:rsidRPr="00CC017B">
        <w:rPr>
          <w:rFonts w:eastAsia="Calibri"/>
          <w:color w:val="2D2D2D"/>
          <w:sz w:val="28"/>
          <w:szCs w:val="28"/>
        </w:rPr>
        <w:t>FinBERT</w:t>
      </w:r>
      <w:proofErr w:type="spellEnd"/>
      <w:r w:rsidRPr="00CC017B">
        <w:rPr>
          <w:rFonts w:eastAsia="Calibri"/>
          <w:color w:val="2D2D2D"/>
          <w:sz w:val="28"/>
          <w:szCs w:val="28"/>
        </w:rPr>
        <w:t xml:space="preserve"> score if MPC document available, else 'No MPC statement for this period'</w:t>
      </w:r>
    </w:p>
    <w:p w14:paraId="51223190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27D432E9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3.2 Episodes Page — New in v2.0</w:t>
      </w:r>
    </w:p>
    <w:p w14:paraId="12B1E712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4DFA4985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Episode Cards Grid</w:t>
      </w:r>
    </w:p>
    <w:p w14:paraId="15E3650F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6 cards in 2×3 grid (desktop) or vertical stack (mobile)</w:t>
      </w:r>
    </w:p>
    <w:p w14:paraId="4FA8BFF3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Each card: Episode number in episode colour | Period | Cause | Duration | Peak P(recession)% | Dominant indicator</w:t>
      </w:r>
    </w:p>
    <w:p w14:paraId="17D89C68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Click card → expands to show month-by-month probability chart for that episode with full context</w:t>
      </w:r>
    </w:p>
    <w:p w14:paraId="6BF4EE10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2E5DC311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Episode Comparator Tool</w:t>
      </w:r>
    </w:p>
    <w:p w14:paraId="5E112257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Two dropdowns at top of Episodes page — select any 2 of 6 episodes</w:t>
      </w:r>
    </w:p>
    <w:p w14:paraId="525F422A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'Compare' button generates side-by-side table</w:t>
      </w:r>
    </w:p>
    <w:p w14:paraId="2B7A27F1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Table: All 13 indicator names in left column, Episode A peak values in middle, Episode B peak values in right</w:t>
      </w:r>
    </w:p>
    <w:p w14:paraId="085B047F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Largest percentage difference between the two highlighted with gold border</w:t>
      </w:r>
    </w:p>
    <w:p w14:paraId="26C83B9A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Summary text: 'Key difference: In the 2008 GFC, yield spread compressed by 180bps. In COVID, IIP fell -57%. Different mechanisms, same outcome.'</w:t>
      </w:r>
    </w:p>
    <w:p w14:paraId="6AA35703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Export comparison as PDF button</w:t>
      </w:r>
    </w:p>
    <w:p w14:paraId="174E06A7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2761F21C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3.3 Research Portal</w:t>
      </w:r>
    </w:p>
    <w:p w14:paraId="7391F3E9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41472662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Overview Tab</w:t>
      </w:r>
    </w:p>
    <w:p w14:paraId="61985770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Welcome message with researcher name and institution</w:t>
      </w:r>
    </w:p>
    <w:p w14:paraId="2C5F5BB9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My Contributions: Documents uploaded, Data months contributed (e.g. '144 months Jan 2000–Dec 2011'), Reviews completed</w:t>
      </w:r>
    </w:p>
    <w:p w14:paraId="614EA198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Impact score: How much did my contributions change model recall or false alarm rate</w:t>
      </w:r>
    </w:p>
    <w:p w14:paraId="209A38CF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578228F3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Upload Data Tab — v2.0 Specific</w:t>
      </w:r>
    </w:p>
    <w:p w14:paraId="3769E49E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Date range selector showing Jan 2000 as minimum start</w:t>
      </w:r>
    </w:p>
    <w:p w14:paraId="74746247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Column mapping validator — maps uploaded columns to required feature names</w:t>
      </w:r>
    </w:p>
    <w:p w14:paraId="2FEB38AD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lastRenderedPageBreak/>
        <w:t>Gap detection section: Automatically identifies if CPI pre-2011 is present — shows yellow warning</w:t>
      </w:r>
    </w:p>
    <w:p w14:paraId="6DEA1A7D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proofErr w:type="spellStart"/>
      <w:r w:rsidRPr="00CC017B">
        <w:rPr>
          <w:rFonts w:eastAsia="Calibri"/>
          <w:color w:val="2D2D2D"/>
          <w:sz w:val="28"/>
          <w:szCs w:val="28"/>
        </w:rPr>
        <w:t>sent_mpc</w:t>
      </w:r>
      <w:proofErr w:type="spellEnd"/>
      <w:r w:rsidRPr="00CC017B">
        <w:rPr>
          <w:rFonts w:eastAsia="Calibri"/>
          <w:color w:val="2D2D2D"/>
          <w:sz w:val="28"/>
          <w:szCs w:val="28"/>
        </w:rPr>
        <w:t xml:space="preserve"> gap: Shows 'Months before Oct 2016 will be auto-filled with 0.0 (neutral)' notice</w:t>
      </w:r>
    </w:p>
    <w:p w14:paraId="49071EDA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Preview table showing first 5 rows with proxy flags highlighted</w:t>
      </w:r>
    </w:p>
    <w:p w14:paraId="31376B56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361D896D" w14:textId="77777777" w:rsidR="006F352B" w:rsidRPr="00CC017B" w:rsidRDefault="00000000">
      <w:pPr>
        <w:pStyle w:val="Heading3"/>
        <w:spacing w:before="200" w:after="100"/>
        <w:rPr>
          <w:sz w:val="28"/>
          <w:szCs w:val="28"/>
        </w:rPr>
      </w:pPr>
      <w:r w:rsidRPr="00CC017B">
        <w:rPr>
          <w:rFonts w:eastAsia="Calibri"/>
          <w:b/>
          <w:bCs/>
          <w:color w:val="C8A828"/>
          <w:sz w:val="28"/>
          <w:szCs w:val="28"/>
        </w:rPr>
        <w:t>Scenario Builder Tab</w:t>
      </w:r>
    </w:p>
    <w:p w14:paraId="262DE381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13 sliders with full indicator names (not variable names)</w:t>
      </w:r>
    </w:p>
    <w:p w14:paraId="497D9B96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Each slider: Shows current actual value as marker. Range: historical min to max from 302-month dataset.</w:t>
      </w:r>
    </w:p>
    <w:p w14:paraId="72C6AD85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Preset Scenarios: Load any of 6 recession episodes at their peak month values</w:t>
      </w:r>
    </w:p>
    <w:p w14:paraId="4AFBB3F6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Real-time prediction updates as sliders move — P(recession)%, status, agent scores</w:t>
      </w:r>
    </w:p>
    <w:p w14:paraId="3533CCE5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Save and Share button — generates URL encoding all 13 slider values</w:t>
      </w:r>
    </w:p>
    <w:p w14:paraId="1F482F95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2F56180F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3.4 Admin Panel</w:t>
      </w:r>
    </w:p>
    <w:p w14:paraId="14E5C261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4D5ECF4A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Sidebar: Dashboard | Users | Documents | Data | Model | Audit Log | Settings</w:t>
      </w:r>
    </w:p>
    <w:p w14:paraId="494331BC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Model tab: Current model — '302 months trained | 5 recession episodes in train set | rf_302m_v1.pkl'. Version history table. Rollback button.</w:t>
      </w:r>
    </w:p>
    <w:p w14:paraId="31D7C9B2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Data tab: All uploaded CSVs with date ranges and gap strategies used</w:t>
      </w:r>
    </w:p>
    <w:p w14:paraId="3E6187AF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Dashboard: Pending approvals, last retrain date, current model version, platform health</w:t>
      </w:r>
    </w:p>
    <w:p w14:paraId="3E9F0C22" w14:textId="77777777" w:rsidR="006F352B" w:rsidRDefault="006F352B">
      <w:pPr>
        <w:spacing w:before="80" w:after="80"/>
        <w:rPr>
          <w:sz w:val="28"/>
          <w:szCs w:val="28"/>
        </w:rPr>
      </w:pPr>
    </w:p>
    <w:p w14:paraId="5171C8C9" w14:textId="77777777" w:rsidR="00CC017B" w:rsidRDefault="00CC017B">
      <w:pPr>
        <w:spacing w:before="80" w:after="80"/>
        <w:rPr>
          <w:sz w:val="28"/>
          <w:szCs w:val="28"/>
        </w:rPr>
      </w:pPr>
    </w:p>
    <w:p w14:paraId="04F13119" w14:textId="77777777" w:rsidR="00CC017B" w:rsidRDefault="00CC017B">
      <w:pPr>
        <w:spacing w:before="80" w:after="80"/>
        <w:rPr>
          <w:sz w:val="28"/>
          <w:szCs w:val="28"/>
        </w:rPr>
      </w:pPr>
    </w:p>
    <w:p w14:paraId="63D61422" w14:textId="77777777" w:rsidR="00CC017B" w:rsidRDefault="00CC017B">
      <w:pPr>
        <w:spacing w:before="80" w:after="80"/>
        <w:rPr>
          <w:sz w:val="28"/>
          <w:szCs w:val="28"/>
        </w:rPr>
      </w:pPr>
    </w:p>
    <w:p w14:paraId="7BDF481A" w14:textId="77777777" w:rsidR="00CC017B" w:rsidRDefault="00CC017B">
      <w:pPr>
        <w:spacing w:before="80" w:after="80"/>
        <w:rPr>
          <w:sz w:val="28"/>
          <w:szCs w:val="28"/>
        </w:rPr>
      </w:pPr>
    </w:p>
    <w:p w14:paraId="410415FD" w14:textId="77777777" w:rsidR="00CC017B" w:rsidRDefault="00CC017B">
      <w:pPr>
        <w:spacing w:before="80" w:after="80"/>
        <w:rPr>
          <w:sz w:val="28"/>
          <w:szCs w:val="28"/>
        </w:rPr>
      </w:pPr>
    </w:p>
    <w:p w14:paraId="3F4D966A" w14:textId="77777777" w:rsidR="00CC017B" w:rsidRDefault="00CC017B">
      <w:pPr>
        <w:spacing w:before="80" w:after="80"/>
        <w:rPr>
          <w:sz w:val="28"/>
          <w:szCs w:val="28"/>
        </w:rPr>
      </w:pPr>
    </w:p>
    <w:p w14:paraId="1ECA921E" w14:textId="77777777" w:rsidR="00CC017B" w:rsidRDefault="00CC017B">
      <w:pPr>
        <w:spacing w:before="80" w:after="80"/>
        <w:rPr>
          <w:sz w:val="28"/>
          <w:szCs w:val="28"/>
        </w:rPr>
      </w:pPr>
    </w:p>
    <w:p w14:paraId="291E03B5" w14:textId="77777777" w:rsidR="00CC017B" w:rsidRDefault="00CC017B">
      <w:pPr>
        <w:spacing w:before="80" w:after="80"/>
        <w:rPr>
          <w:sz w:val="28"/>
          <w:szCs w:val="28"/>
        </w:rPr>
      </w:pPr>
    </w:p>
    <w:p w14:paraId="159746B2" w14:textId="77777777" w:rsidR="00CC017B" w:rsidRDefault="00CC017B">
      <w:pPr>
        <w:spacing w:before="80" w:after="80"/>
        <w:rPr>
          <w:sz w:val="28"/>
          <w:szCs w:val="28"/>
        </w:rPr>
      </w:pPr>
    </w:p>
    <w:p w14:paraId="2E0581E3" w14:textId="77777777" w:rsidR="00CC017B" w:rsidRDefault="00CC017B">
      <w:pPr>
        <w:spacing w:before="80" w:after="80"/>
        <w:rPr>
          <w:sz w:val="28"/>
          <w:szCs w:val="28"/>
        </w:rPr>
      </w:pPr>
    </w:p>
    <w:p w14:paraId="616EB355" w14:textId="77777777" w:rsidR="00CC017B" w:rsidRDefault="00CC017B">
      <w:pPr>
        <w:spacing w:before="80" w:after="80"/>
        <w:rPr>
          <w:sz w:val="28"/>
          <w:szCs w:val="28"/>
        </w:rPr>
      </w:pPr>
    </w:p>
    <w:p w14:paraId="0C16307A" w14:textId="77777777" w:rsidR="00CC017B" w:rsidRDefault="00CC017B">
      <w:pPr>
        <w:spacing w:before="80" w:after="80"/>
        <w:rPr>
          <w:sz w:val="28"/>
          <w:szCs w:val="28"/>
        </w:rPr>
      </w:pPr>
    </w:p>
    <w:p w14:paraId="3F33AFA4" w14:textId="77777777" w:rsidR="00CC017B" w:rsidRDefault="00CC017B">
      <w:pPr>
        <w:spacing w:before="80" w:after="80"/>
        <w:rPr>
          <w:sz w:val="28"/>
          <w:szCs w:val="28"/>
        </w:rPr>
      </w:pPr>
    </w:p>
    <w:p w14:paraId="5F2F1498" w14:textId="77777777" w:rsidR="00CC017B" w:rsidRPr="00CC017B" w:rsidRDefault="00CC017B">
      <w:pPr>
        <w:spacing w:before="80" w:after="80"/>
        <w:rPr>
          <w:sz w:val="28"/>
          <w:szCs w:val="28"/>
        </w:rPr>
      </w:pPr>
    </w:p>
    <w:p w14:paraId="76A139BB" w14:textId="77777777" w:rsidR="006F352B" w:rsidRPr="00CC017B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CC017B">
        <w:rPr>
          <w:rFonts w:eastAsia="Calibri"/>
          <w:b/>
          <w:bCs/>
          <w:color w:val="FFFFFF"/>
          <w:sz w:val="40"/>
          <w:szCs w:val="40"/>
        </w:rPr>
        <w:lastRenderedPageBreak/>
        <w:t>4. Responsive Design</w:t>
      </w:r>
    </w:p>
    <w:p w14:paraId="2230C2C8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43AD3245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4.1 Breakpoints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5600"/>
      </w:tblGrid>
      <w:tr w:rsidR="006F352B" w:rsidRPr="00CC017B" w14:paraId="421068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A1A6E"/>
          </w:tcPr>
          <w:p w14:paraId="666E6312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Breakpoint</w:t>
            </w:r>
          </w:p>
        </w:tc>
        <w:tc>
          <w:tcPr>
            <w:tcW w:w="1600" w:type="dxa"/>
            <w:shd w:val="clear" w:color="auto" w:fill="1A1A6E"/>
          </w:tcPr>
          <w:p w14:paraId="33DB99DC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Width</w:t>
            </w:r>
          </w:p>
        </w:tc>
        <w:tc>
          <w:tcPr>
            <w:tcW w:w="5600" w:type="dxa"/>
            <w:shd w:val="clear" w:color="auto" w:fill="1A1A6E"/>
          </w:tcPr>
          <w:p w14:paraId="0AAA4B1E" w14:textId="77777777" w:rsidR="006F352B" w:rsidRPr="00CC017B" w:rsidRDefault="00000000">
            <w:pPr>
              <w:jc w:val="center"/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FFFFFF"/>
                <w:sz w:val="28"/>
                <w:szCs w:val="28"/>
              </w:rPr>
              <w:t>Key Changes for 26-Year Timeline</w:t>
            </w:r>
          </w:p>
        </w:tc>
      </w:tr>
      <w:tr w:rsidR="006F352B" w:rsidRPr="00CC017B" w14:paraId="60B7DB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</w:tcPr>
          <w:p w14:paraId="0A7B9154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Mobile</w:t>
            </w:r>
          </w:p>
        </w:tc>
        <w:tc>
          <w:tcPr>
            <w:tcW w:w="1600" w:type="dxa"/>
            <w:shd w:val="clear" w:color="auto" w:fill="F5F5F5"/>
          </w:tcPr>
          <w:p w14:paraId="4182FA97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&lt; 768px</w:t>
            </w:r>
          </w:p>
        </w:tc>
        <w:tc>
          <w:tcPr>
            <w:tcW w:w="5600" w:type="dxa"/>
            <w:shd w:val="clear" w:color="auto" w:fill="F5F5F5"/>
          </w:tcPr>
          <w:p w14:paraId="58D439B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Timeline shows last 3 years by default. Swipe left to go back — each swipe = 2 years. Hamburger menu. Episode cards stack vertically.</w:t>
            </w:r>
          </w:p>
        </w:tc>
      </w:tr>
      <w:tr w:rsidR="006F352B" w:rsidRPr="00CC017B" w14:paraId="48258E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</w:tcPr>
          <w:p w14:paraId="085B884C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Tablet</w:t>
            </w:r>
          </w:p>
        </w:tc>
        <w:tc>
          <w:tcPr>
            <w:tcW w:w="1600" w:type="dxa"/>
            <w:shd w:val="clear" w:color="auto" w:fill="FFFFFF"/>
          </w:tcPr>
          <w:p w14:paraId="3A8887C7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768px–1024px</w:t>
            </w:r>
          </w:p>
        </w:tc>
        <w:tc>
          <w:tcPr>
            <w:tcW w:w="5600" w:type="dxa"/>
            <w:shd w:val="clear" w:color="auto" w:fill="FFFFFF"/>
          </w:tcPr>
          <w:p w14:paraId="22CDB1AA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Timeline shows 10 years by default. Navigation stays visible. Episode cards in 2 columns.</w:t>
            </w:r>
          </w:p>
        </w:tc>
      </w:tr>
      <w:tr w:rsidR="006F352B" w:rsidRPr="00CC017B" w14:paraId="1E3E63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</w:tcPr>
          <w:p w14:paraId="63D73E8D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b/>
                <w:bCs/>
                <w:color w:val="2D2D2D"/>
                <w:sz w:val="28"/>
                <w:szCs w:val="28"/>
              </w:rPr>
              <w:t>Desktop</w:t>
            </w:r>
          </w:p>
        </w:tc>
        <w:tc>
          <w:tcPr>
            <w:tcW w:w="1600" w:type="dxa"/>
            <w:shd w:val="clear" w:color="auto" w:fill="F5F5F5"/>
          </w:tcPr>
          <w:p w14:paraId="53878076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>&gt; 1024px</w:t>
            </w:r>
          </w:p>
        </w:tc>
        <w:tc>
          <w:tcPr>
            <w:tcW w:w="5600" w:type="dxa"/>
            <w:shd w:val="clear" w:color="auto" w:fill="F5F5F5"/>
          </w:tcPr>
          <w:p w14:paraId="10581586" w14:textId="77777777" w:rsidR="006F352B" w:rsidRPr="00CC017B" w:rsidRDefault="00000000">
            <w:pPr>
              <w:rPr>
                <w:sz w:val="28"/>
                <w:szCs w:val="28"/>
              </w:rPr>
            </w:pPr>
            <w:r w:rsidRPr="00CC017B">
              <w:rPr>
                <w:rFonts w:eastAsia="Calibri"/>
                <w:color w:val="2D2D2D"/>
                <w:sz w:val="28"/>
                <w:szCs w:val="28"/>
              </w:rPr>
              <w:t xml:space="preserve">Full 26-year timeline visible. All </w:t>
            </w:r>
            <w:proofErr w:type="gramStart"/>
            <w:r w:rsidRPr="00CC017B">
              <w:rPr>
                <w:rFonts w:eastAsia="Calibri"/>
                <w:color w:val="2D2D2D"/>
                <w:sz w:val="28"/>
                <w:szCs w:val="28"/>
              </w:rPr>
              <w:t>6 episode</w:t>
            </w:r>
            <w:proofErr w:type="gramEnd"/>
            <w:r w:rsidRPr="00CC017B">
              <w:rPr>
                <w:rFonts w:eastAsia="Calibri"/>
                <w:color w:val="2D2D2D"/>
                <w:sz w:val="28"/>
                <w:szCs w:val="28"/>
              </w:rPr>
              <w:t xml:space="preserve"> shadings with legend. Month detail panel opens without covering chart.</w:t>
            </w:r>
          </w:p>
        </w:tc>
      </w:tr>
    </w:tbl>
    <w:p w14:paraId="5A74BF4A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4BDB61CF" w14:textId="77777777" w:rsidR="006F352B" w:rsidRPr="00CC017B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CC017B">
        <w:rPr>
          <w:rFonts w:eastAsia="Calibri"/>
          <w:b/>
          <w:bCs/>
          <w:color w:val="1A1A6E"/>
          <w:sz w:val="36"/>
          <w:szCs w:val="36"/>
        </w:rPr>
        <w:t>4.2 Proxy Data UI Rules</w:t>
      </w:r>
    </w:p>
    <w:p w14:paraId="3A441991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Pre-2011 CPI values: Shown with yellow background in all tables and month detail panels</w:t>
      </w:r>
    </w:p>
    <w:p w14:paraId="6195A192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Tooltip on yellow cell: 'This value is estimated using WPI (Wholesale Price Index) as a proxy for CPI. The current CPI series began in January 2011.'</w:t>
      </w:r>
    </w:p>
    <w:p w14:paraId="44644C55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 xml:space="preserve">Pre-2016 </w:t>
      </w:r>
      <w:proofErr w:type="spellStart"/>
      <w:r w:rsidRPr="00CC017B">
        <w:rPr>
          <w:rFonts w:eastAsia="Calibri"/>
          <w:color w:val="2D2D2D"/>
          <w:sz w:val="28"/>
          <w:szCs w:val="28"/>
        </w:rPr>
        <w:t>sent_mpc</w:t>
      </w:r>
      <w:proofErr w:type="spellEnd"/>
      <w:r w:rsidRPr="00CC017B">
        <w:rPr>
          <w:rFonts w:eastAsia="Calibri"/>
          <w:color w:val="2D2D2D"/>
          <w:sz w:val="28"/>
          <w:szCs w:val="28"/>
        </w:rPr>
        <w:t>: Shown as '0.00 (no data)' in episode tables</w:t>
      </w:r>
    </w:p>
    <w:p w14:paraId="56D1411A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 xml:space="preserve">Tooltip on </w:t>
      </w:r>
      <w:proofErr w:type="spellStart"/>
      <w:r w:rsidRPr="00CC017B">
        <w:rPr>
          <w:rFonts w:eastAsia="Calibri"/>
          <w:color w:val="2D2D2D"/>
          <w:sz w:val="28"/>
          <w:szCs w:val="28"/>
        </w:rPr>
        <w:t>sent_mpc</w:t>
      </w:r>
      <w:proofErr w:type="spellEnd"/>
      <w:r w:rsidRPr="00CC017B">
        <w:rPr>
          <w:rFonts w:eastAsia="Calibri"/>
          <w:color w:val="2D2D2D"/>
          <w:sz w:val="28"/>
          <w:szCs w:val="28"/>
        </w:rPr>
        <w:t xml:space="preserve"> for pre-2016: 'No RBI MPC statements available for this period. The MPC was established in October 2016.'</w:t>
      </w:r>
    </w:p>
    <w:p w14:paraId="34BB75B0" w14:textId="77777777" w:rsidR="006F352B" w:rsidRPr="00CC017B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CC017B">
        <w:rPr>
          <w:rFonts w:eastAsia="Calibri"/>
          <w:color w:val="2D2D2D"/>
          <w:sz w:val="28"/>
          <w:szCs w:val="28"/>
        </w:rPr>
        <w:t>Proxy flag clearly shown in PDF export reports as data footnote</w:t>
      </w:r>
    </w:p>
    <w:p w14:paraId="169EA25A" w14:textId="77777777" w:rsidR="006F352B" w:rsidRPr="00CC017B" w:rsidRDefault="006F352B">
      <w:pPr>
        <w:spacing w:before="80" w:after="80"/>
        <w:rPr>
          <w:sz w:val="28"/>
          <w:szCs w:val="28"/>
        </w:rPr>
      </w:pPr>
    </w:p>
    <w:p w14:paraId="5EC72020" w14:textId="77777777" w:rsidR="006F352B" w:rsidRPr="00CC017B" w:rsidRDefault="00000000">
      <w:pPr>
        <w:pBdr>
          <w:top w:val="single" w:sz="6" w:space="0" w:color="C8A828"/>
        </w:pBdr>
        <w:spacing w:before="200" w:after="60"/>
        <w:jc w:val="center"/>
        <w:rPr>
          <w:sz w:val="28"/>
          <w:szCs w:val="28"/>
        </w:rPr>
      </w:pPr>
      <w:r w:rsidRPr="00CC017B">
        <w:rPr>
          <w:rFonts w:eastAsia="Calibri"/>
          <w:color w:val="666666"/>
          <w:sz w:val="28"/>
          <w:szCs w:val="28"/>
        </w:rPr>
        <w:t xml:space="preserve">India Recession Predictor Research </w:t>
      </w:r>
      <w:proofErr w:type="gramStart"/>
      <w:r w:rsidRPr="00CC017B">
        <w:rPr>
          <w:rFonts w:eastAsia="Calibri"/>
          <w:color w:val="666666"/>
          <w:sz w:val="28"/>
          <w:szCs w:val="28"/>
        </w:rPr>
        <w:t>Platform  |</w:t>
      </w:r>
      <w:proofErr w:type="gramEnd"/>
      <w:r w:rsidRPr="00CC017B">
        <w:rPr>
          <w:rFonts w:eastAsia="Calibri"/>
          <w:color w:val="666666"/>
          <w:sz w:val="28"/>
          <w:szCs w:val="28"/>
        </w:rPr>
        <w:t xml:space="preserve">  </w:t>
      </w:r>
      <w:proofErr w:type="gramStart"/>
      <w:r w:rsidRPr="00CC017B">
        <w:rPr>
          <w:rFonts w:eastAsia="Calibri"/>
          <w:color w:val="666666"/>
          <w:sz w:val="28"/>
          <w:szCs w:val="28"/>
        </w:rPr>
        <w:t>v2.0  |</w:t>
      </w:r>
      <w:proofErr w:type="gramEnd"/>
      <w:r w:rsidRPr="00CC017B">
        <w:rPr>
          <w:rFonts w:eastAsia="Calibri"/>
          <w:color w:val="666666"/>
          <w:sz w:val="28"/>
          <w:szCs w:val="28"/>
        </w:rPr>
        <w:t xml:space="preserve">  302 months (Jan 2000–Feb 2026</w:t>
      </w:r>
      <w:proofErr w:type="gramStart"/>
      <w:r w:rsidRPr="00CC017B">
        <w:rPr>
          <w:rFonts w:eastAsia="Calibri"/>
          <w:color w:val="666666"/>
          <w:sz w:val="28"/>
          <w:szCs w:val="28"/>
        </w:rPr>
        <w:t>)  |</w:t>
      </w:r>
      <w:proofErr w:type="gramEnd"/>
      <w:r w:rsidRPr="00CC017B">
        <w:rPr>
          <w:rFonts w:eastAsia="Calibri"/>
          <w:color w:val="666666"/>
          <w:sz w:val="28"/>
          <w:szCs w:val="28"/>
        </w:rPr>
        <w:t xml:space="preserve">  6 Recession Episodes</w:t>
      </w:r>
    </w:p>
    <w:sectPr w:rsidR="006F352B" w:rsidRPr="00CC017B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5D9D"/>
    <w:multiLevelType w:val="hybridMultilevel"/>
    <w:tmpl w:val="4A5E7C24"/>
    <w:lvl w:ilvl="0" w:tplc="E146B43E">
      <w:start w:val="1"/>
      <w:numFmt w:val="bullet"/>
      <w:lvlText w:val="●"/>
      <w:lvlJc w:val="left"/>
      <w:pPr>
        <w:ind w:left="720" w:hanging="360"/>
      </w:pPr>
    </w:lvl>
    <w:lvl w:ilvl="1" w:tplc="2E8AAD54">
      <w:start w:val="1"/>
      <w:numFmt w:val="bullet"/>
      <w:lvlText w:val="○"/>
      <w:lvlJc w:val="left"/>
      <w:pPr>
        <w:ind w:left="1440" w:hanging="360"/>
      </w:pPr>
    </w:lvl>
    <w:lvl w:ilvl="2" w:tplc="1BE2F5FA">
      <w:start w:val="1"/>
      <w:numFmt w:val="bullet"/>
      <w:lvlText w:val="■"/>
      <w:lvlJc w:val="left"/>
      <w:pPr>
        <w:ind w:left="2160" w:hanging="360"/>
      </w:pPr>
    </w:lvl>
    <w:lvl w:ilvl="3" w:tplc="39CEDEFA">
      <w:start w:val="1"/>
      <w:numFmt w:val="bullet"/>
      <w:lvlText w:val="●"/>
      <w:lvlJc w:val="left"/>
      <w:pPr>
        <w:ind w:left="2880" w:hanging="360"/>
      </w:pPr>
    </w:lvl>
    <w:lvl w:ilvl="4" w:tplc="D4D81226">
      <w:start w:val="1"/>
      <w:numFmt w:val="bullet"/>
      <w:lvlText w:val="○"/>
      <w:lvlJc w:val="left"/>
      <w:pPr>
        <w:ind w:left="3600" w:hanging="360"/>
      </w:pPr>
    </w:lvl>
    <w:lvl w:ilvl="5" w:tplc="815ACF2E">
      <w:start w:val="1"/>
      <w:numFmt w:val="bullet"/>
      <w:lvlText w:val="■"/>
      <w:lvlJc w:val="left"/>
      <w:pPr>
        <w:ind w:left="4320" w:hanging="360"/>
      </w:pPr>
    </w:lvl>
    <w:lvl w:ilvl="6" w:tplc="9C0036CA">
      <w:start w:val="1"/>
      <w:numFmt w:val="bullet"/>
      <w:lvlText w:val="●"/>
      <w:lvlJc w:val="left"/>
      <w:pPr>
        <w:ind w:left="5040" w:hanging="360"/>
      </w:pPr>
    </w:lvl>
    <w:lvl w:ilvl="7" w:tplc="5884152E">
      <w:start w:val="1"/>
      <w:numFmt w:val="bullet"/>
      <w:lvlText w:val="●"/>
      <w:lvlJc w:val="left"/>
      <w:pPr>
        <w:ind w:left="5760" w:hanging="360"/>
      </w:pPr>
    </w:lvl>
    <w:lvl w:ilvl="8" w:tplc="CBB805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C90473"/>
    <w:multiLevelType w:val="hybridMultilevel"/>
    <w:tmpl w:val="AD925D6E"/>
    <w:lvl w:ilvl="0" w:tplc="D1F2E098">
      <w:start w:val="1"/>
      <w:numFmt w:val="bullet"/>
      <w:lvlText w:val="•"/>
      <w:lvlJc w:val="left"/>
      <w:pPr>
        <w:ind w:left="400" w:hanging="200"/>
      </w:pPr>
    </w:lvl>
    <w:lvl w:ilvl="1" w:tplc="B0788F42">
      <w:start w:val="1"/>
      <w:numFmt w:val="bullet"/>
      <w:lvlText w:val="◦"/>
      <w:lvlJc w:val="left"/>
      <w:pPr>
        <w:ind w:left="700" w:hanging="200"/>
      </w:pPr>
    </w:lvl>
    <w:lvl w:ilvl="2" w:tplc="63CA9CFA">
      <w:numFmt w:val="decimal"/>
      <w:lvlText w:val=""/>
      <w:lvlJc w:val="left"/>
    </w:lvl>
    <w:lvl w:ilvl="3" w:tplc="8F620E58">
      <w:numFmt w:val="decimal"/>
      <w:lvlText w:val=""/>
      <w:lvlJc w:val="left"/>
    </w:lvl>
    <w:lvl w:ilvl="4" w:tplc="851ADDC2">
      <w:numFmt w:val="decimal"/>
      <w:lvlText w:val=""/>
      <w:lvlJc w:val="left"/>
    </w:lvl>
    <w:lvl w:ilvl="5" w:tplc="ECE6E906">
      <w:numFmt w:val="decimal"/>
      <w:lvlText w:val=""/>
      <w:lvlJc w:val="left"/>
    </w:lvl>
    <w:lvl w:ilvl="6" w:tplc="44C4831E">
      <w:numFmt w:val="decimal"/>
      <w:lvlText w:val=""/>
      <w:lvlJc w:val="left"/>
    </w:lvl>
    <w:lvl w:ilvl="7" w:tplc="B09A8590">
      <w:numFmt w:val="decimal"/>
      <w:lvlText w:val=""/>
      <w:lvlJc w:val="left"/>
    </w:lvl>
    <w:lvl w:ilvl="8" w:tplc="6040146C">
      <w:numFmt w:val="decimal"/>
      <w:lvlText w:val=""/>
      <w:lvlJc w:val="left"/>
    </w:lvl>
  </w:abstractNum>
  <w:num w:numId="1" w16cid:durableId="1286040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52B"/>
    <w:rsid w:val="00623E19"/>
    <w:rsid w:val="006F352B"/>
    <w:rsid w:val="00832115"/>
    <w:rsid w:val="00AC33E7"/>
    <w:rsid w:val="00CC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CFBD"/>
  <w15:docId w15:val="{CC3B4032-B591-4DD6-81C1-9B4995AF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A4110-BD76-4EFC-8523-0900F7429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1249</Words>
  <Characters>7124</Characters>
  <Application>Microsoft Office Word</Application>
  <DocSecurity>0</DocSecurity>
  <Lines>59</Lines>
  <Paragraphs>16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Ratan Sharma</cp:lastModifiedBy>
  <cp:revision>4</cp:revision>
  <dcterms:created xsi:type="dcterms:W3CDTF">2026-07-29T20:13:00Z</dcterms:created>
  <dcterms:modified xsi:type="dcterms:W3CDTF">2026-08-02T18:14:00Z</dcterms:modified>
</cp:coreProperties>
</file>