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i w:val="0"/>
          <w:color w:val="2E74B5"/>
          <w:sz w:val="18"/>
        </w:rPr>
        <w:t>PRODUCT REVIEW</w:t>
      </w:r>
    </w:p>
    <w:p>
      <w:pPr>
        <w:keepNext/>
        <w:spacing w:before="0" w:after="60"/>
      </w:pPr>
      <w:r>
        <w:rPr>
          <w:rFonts w:ascii="Calibri" w:hAnsi="Calibri"/>
          <w:b/>
          <w:i w:val="0"/>
          <w:color w:val="111827"/>
          <w:sz w:val="46"/>
        </w:rPr>
        <w:t>FullSpectrum Feature Summary</w:t>
      </w:r>
    </w:p>
    <w:p>
      <w:pPr>
        <w:keepNext/>
        <w:spacing w:before="0" w:after="100"/>
      </w:pPr>
      <w:r>
        <w:rPr>
          <w:rFonts w:ascii="Calibri" w:hAnsi="Calibri"/>
          <w:b w:val="0"/>
          <w:i w:val="0"/>
          <w:color w:val="5B6573"/>
          <w:sz w:val="26"/>
        </w:rPr>
        <w:t>Local-Z, gradients, and surface painting</w:t>
      </w:r>
    </w:p>
    <w:p>
      <w:pPr>
        <w:keepNext/>
        <w:spacing w:before="0" w:after="200"/>
      </w:pPr>
      <w:r>
        <w:rPr>
          <w:rFonts w:ascii="Calibri" w:hAnsi="Calibri"/>
          <w:b/>
          <w:i w:val="0"/>
          <w:color w:val="5B6573"/>
          <w:sz w:val="19"/>
        </w:rPr>
        <w:t>Audience: Product Management   |   Purpose: Feature overview   |   25 August 2026</w:t>
      </w:r>
    </w:p>
    <w:p>
      <w:pPr>
        <w:keepNext/>
        <w:spacing w:before="0" w:after="20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This feature set reduces configuration friction in mixed-filament workflows, makes layer-height behavior more predictable, and expands control over visible surface results.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980"/>
        <w:gridCol w:w="4500"/>
        <w:gridCol w:w="2880"/>
      </w:tblGrid>
      <w:tr>
        <w:trPr>
          <w:tblHeader w:val="true"/>
        </w:trPr>
        <w:tc>
          <w:tcPr>
            <w:tcW w:type="dxa" w:w="19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FEATURE</w:t>
            </w:r>
          </w:p>
        </w:tc>
        <w:tc>
          <w:tcPr>
            <w:tcW w:type="dxa" w:w="4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WHAT CHANGED</w:t>
            </w:r>
          </w:p>
        </w:tc>
        <w:tc>
          <w:tcPr>
            <w:tcW w:type="dxa" w:w="28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PRODUCT VALUE</w:t>
            </w:r>
          </w:p>
        </w:tc>
      </w:tr>
      <w:tr>
        <w:tc>
          <w:tcPr>
            <w:tcW w:type="dxa" w:w="19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01</w:t>
              <w:br/>
            </w: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First-layer height alignment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 SML / Local-Z workflows, the first object layer now follows the configured Initial layer height. If it is subdivided, the combined passes still equal that height.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Predictable first-layer thickness and adhesion, with consistent behavior across standard and mixed-filament prints.</w:t>
            </w:r>
          </w:p>
        </w:tc>
      </w:tr>
      <w:tr>
        <w:tc>
          <w:tcPr>
            <w:tcW w:type="dxa" w:w="19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02</w:t>
              <w:br/>
            </w: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Printer-defined Local-Z ceiling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The separate Local-Z upper-height setting has been removed. The upper bound now comes from the printer's maximum layer height for the active filament or extruder.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Fewer settings to manage and a single, printer-aware safety limit.</w:t>
            </w:r>
          </w:p>
        </w:tc>
      </w:tr>
      <w:tr>
        <w:tc>
          <w:tcPr>
            <w:tcW w:type="dxa" w:w="19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03</w:t>
              <w:br/>
            </w: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Independent gradient cadence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Gradients can use Local-Z automatically and have their own Gradient Local-Z layer height. Users no longer need to increase the model's process layer height or enable SML just to activate a gradient.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Fine geometry and smooth color transitions can be tuned independently, reducing setup friction.</w:t>
            </w:r>
          </w:p>
        </w:tc>
      </w:tr>
      <w:tr>
        <w:tc>
          <w:tcPr>
            <w:tcW w:type="dxa" w:w="19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04</w:t>
              <w:br/>
            </w: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Surface depth for mixed filaments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 surface-only option controls how deeply facet-painted physical, mixed, or gradient filament regions extend into the wall shell, instead of recoloring the full volume.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More predictable surface coloration, less internal material mixing, and better control of appearance versus material use.</w:t>
            </w:r>
          </w:p>
        </w:tc>
      </w:tr>
      <w:tr>
        <w:tc>
          <w:tcPr>
            <w:tcW w:type="dxa" w:w="19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05</w:t>
              <w:br/>
            </w: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Rectangle and polygon painting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Rectangle and polygon selection tools complement brush-based painting. Rectangle covers large areas quickly; polygon creates precise, editable boundaries around irregular regions.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Faster painting of large faces and cleaner control on complex shapes.</w:t>
            </w:r>
          </w:p>
        </w:tc>
      </w:tr>
    </w:tbl>
    <w:p>
      <w:pPr>
        <w:spacing w:before="200" w:after="0" w:line="264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Product story: </w:t>
      </w:r>
      <w:r>
        <w:rPr>
          <w:rFonts w:ascii="Calibri" w:hAnsi="Calibri"/>
          <w:b w:val="0"/>
          <w:i w:val="0"/>
          <w:color w:val="1F2937"/>
          <w:sz w:val="20"/>
        </w:rPr>
        <w:t>printer limits define safe behavior, gradients work independently, and surface painting gains both depth and selection control.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B6573"/>
        <w:sz w:val="17"/>
      </w:rPr>
      <w:t>Internal product review  |  25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Calibri" w:hAnsi="Calibri"/>
        <w:b/>
        <w:i w:val="0"/>
        <w:color w:val="5B6573"/>
        <w:sz w:val="17"/>
      </w:rPr>
      <w:t>PRODUCT FEATURE SUMMARY</w:t>
    </w:r>
    <w:r>
      <w:rPr>
        <w:rFonts w:ascii="Calibri" w:hAnsi="Calibri"/>
        <w:b/>
        <w:i w:val="0"/>
        <w:color w:val="5B6573"/>
        <w:sz w:val="17"/>
      </w:rPr>
      <w:tab/>
      <w:t>FULLSPECTRUM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FullSpectrum Feature Summary</dc:title>
  <dc:subject>Product manager feature list for Local-Z, gradients, and surface painting</dc:subject>
  <dc:creator>Snapmaker</dc:creator>
  <cp:keywords>FullSpectrum, Local-Z, gradient, mixed filament, surface painting</cp:keywords>
  <dc:description>Prepared for internal product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