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Euroclear B2B CIAM Persona Model and Validation</w:t>
      </w:r>
    </w:p>
    <w:p>
      <w:pPr>
        <w:pStyle w:val="Subtitle"/>
      </w:pPr>
      <w:r>
        <w:t>Deliverable 1   |   Proposed target baseline   |   Version 0.2</w:t>
      </w:r>
    </w:p>
    <w:p>
      <w:r>
        <w:t>Prepared for the Architecture Board</w:t>
        <w:br/>
        <w:t>Prepared for joint review by Enterprise Integration Architecture and Enterprise Security Architecture</w:t>
        <w:br/>
        <w:t>Review date 7 October 2026</w:t>
      </w:r>
    </w:p>
    <w:p>
      <w:pPr>
        <w:pStyle w:val="Heading1"/>
      </w:pPr>
      <w:r>
        <w:t>1 Executive recommendation</w:t>
      </w:r>
    </w:p>
    <w:p>
      <w:r>
        <w:t>Approve the revised persona model in principle, subject to the decisions in Section 9. The supplied baseline covers the principal external client, internal operator, privileged administrator and automated identity use cases. It is a useful starting point, but its claim of exhaustiveness is not yet demonstrated. Several entries describe access profiles or lifecycle states rather than distinct personas.</w:t>
      </w:r>
    </w:p>
    <w:p>
      <w:r>
        <w:t>Retain the eleven supplied identifiers for traceability. Organise them as six core persona families with explicit entity access profiles, commercial attributes, operating modes and migration states. This prevents billing status, federation method or network location from becoming an unintended source of privilege.</w:t>
      </w:r>
    </w:p>
    <w:p>
      <w:pPr>
        <w:pStyle w:val="Heading2"/>
      </w:pPr>
      <w:r>
        <w:t>Changes requiring Board attention</w:t>
      </w:r>
    </w:p>
    <w:p>
      <w:pPr>
        <w:pStyle w:val="ListBullet"/>
      </w:pPr>
      <w:r>
        <w:t>Complete the population model for Nordics and distinguish inclusive population intersections from exact, mutually exclusive reporting cohorts.</w:t>
      </w:r>
    </w:p>
    <w:p>
      <w:pPr>
        <w:pStyle w:val="ListBullet"/>
      </w:pPr>
      <w:r>
        <w:t>Separate human authentication assurance from machine credential controls. AAL3 is not established merely by use of mTLS, private key JWT or a hardware token.</w:t>
      </w:r>
    </w:p>
    <w:p>
      <w:pPr>
        <w:pStyle w:val="ListBullet"/>
      </w:pPr>
      <w:r>
        <w:t>Scope every entitlement and delegated administration relationship to the client organisation, Euroclear legal entity, application, resource and environment.</w:t>
      </w:r>
    </w:p>
    <w:p>
      <w:pPr>
        <w:pStyle w:val="ListBullet"/>
      </w:pPr>
      <w:r>
        <w:t>Keep workforce credentials authoritative in workforce IDAM. Preserve both operator and represented client identities during approved support access.</w:t>
      </w:r>
    </w:p>
    <w:p>
      <w:pPr>
        <w:pStyle w:val="ListBullet"/>
      </w:pPr>
      <w:r>
        <w:t>Treat non-billable classification and legacy coexistence as governed attributes or states, with no automatic relaxation of security controls.</w:t>
      </w:r>
    </w:p>
    <w:p>
      <w:pPr>
        <w:pStyle w:val="Heading2"/>
      </w:pPr>
      <w:r>
        <w:t>Validation basis and limits</w:t>
      </w:r>
    </w:p>
    <w:p>
      <w:r>
        <w:t>This is a design validation of the context supplied in this conversation, cross-checked against the public standards listed in Section 10. It is not validation of deployed Euroclear controls, a compliance attestation, or confirmation of channel capabilities. Internal policies, legal-entity registers, contracts, application roles and implementation evidence were not supplied. Proposed requirements in this document remain subject to Euroclear approval.</w:t>
      </w:r>
    </w:p>
    <w:p>
      <w:r>
        <w:t>Scope is persona and population architecture. Detailed authentication sequences, Apps 1–5 token schemas, impersonation protocols and migration synchronisation designs remain Deliverables 2–5.</w:t>
      </w:r>
    </w:p>
    <w:p>
      <w:pPr>
        <w:pStyle w:val="Heading1"/>
        <w:pageBreakBefore/>
      </w:pPr>
      <w:r>
        <w:t>2 Validation findings and proposed corrections</w:t>
      </w:r>
    </w:p>
    <w:p>
      <w:r>
        <w:t>The following findings distinguish model defects from decisions that require internal evidence. Priority indicates architectural impact rather than a measured operational risk rating.</w:t>
      </w:r>
    </w:p>
    <w:tbl>
      <w:tblPr>
        <w:tblW w:type="auto" w:w="0"/>
        <w:jc w:val="center"/>
        <w:tblLayout w:type="fixed"/>
        <w:tblLook w:firstColumn="1" w:firstRow="1" w:lastColumn="0" w:lastRow="0" w:noHBand="0" w:noVBand="1" w:val="04A0"/>
      </w:tblPr>
      <w:tblGrid>
        <w:gridCol w:w="2088"/>
        <w:gridCol w:w="3672"/>
        <w:gridCol w:w="4464"/>
      </w:tblGrid>
      <w:tr>
        <w:trPr>
          <w:cantSplit/>
          <w:tblHeader/>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445C"/>
          </w:tcPr>
          <w:p>
            <w:pPr>
              <w:spacing w:after="40" w:line="240" w:lineRule="auto"/>
            </w:pPr>
            <w:r>
              <w:rPr>
                <w:b/>
                <w:color w:val="FFFFFF"/>
                <w:sz w:val="20"/>
              </w:rPr>
              <w:t>Finding</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445C"/>
          </w:tcPr>
          <w:p>
            <w:pPr>
              <w:spacing w:after="40" w:line="240" w:lineRule="auto"/>
            </w:pPr>
            <w:r>
              <w:rPr>
                <w:b/>
                <w:color w:val="FFFFFF"/>
                <w:sz w:val="20"/>
              </w:rPr>
              <w:t>Assessment</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445C"/>
          </w:tcPr>
          <w:p>
            <w:pPr>
              <w:spacing w:after="40" w:line="240" w:lineRule="auto"/>
            </w:pPr>
            <w:r>
              <w:rPr>
                <w:b/>
                <w:color w:val="FFFFFF"/>
                <w:sz w:val="20"/>
              </w:rPr>
              <w:t>Proposed correction</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F01 Population coverage</w:t>
              <w:br/>
              <w:t>High</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Nordics is a base group but absent from the derived cohorts. EB and EUI overlap is also absent.</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Use an extensible entity membership set. Include every non-empty family combination for reporting; confirm individual legal entities.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F02 Cohort meaning</w:t>
              <w:br/>
              <w:t>High</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EB ∩ ESES includes users also in EUI or Nordics unless exclusions are stated.</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Separate inclusive intersections from exact cohorts. Multi-entity membership never grants rights by itself.</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F03 Mixed taxonomy</w:t>
              <w:br/>
              <w:t>High</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Single/multi-entity, non-billable, impersonation and UAM/JIT entries overlap core personas.</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Use independent profile, mode, commercial and lifecycle fields. Retain original identifiers as mappings.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F04 Assurance semantics</w:t>
              <w:br/>
              <w:t>High</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Machine mTLS and private key JWT are labelled AAL3; WebAuthn and TOTP labels are underspecified.</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Use human AAL targets with verified evidence and a separate proposed machine control profile. [R1, R4, R5]</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F05 Domain separation</w:t>
              <w:br/>
              <w:t>High</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Workforce IDAM sync may be read as credential replication into CIAM.</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Federate workforce authentication; provision only approved references and context entitlements. Keep privileged administration separate.</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F06 Billing scope</w:t>
              <w:br/>
              <w:t>Medium</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One global billable flag can conflict across entity, service and contract.</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Store effective-dated commercial classification at the applicable relationship scope. Do not derive permission from billing.</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F07 Coverage assertion</w:t>
              <w:br/>
              <w:t>Medium</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Generic workloads, partner operators, recovery and emergency access are not explicit.</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Map these scenarios to existing families or propose additions after application and operational discovery.</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F08 Protocol meaning</w:t>
              <w:br/>
              <w:t>High</w:t>
            </w:r>
          </w:p>
        </w:tc>
        <w:tc>
          <w:tcPr>
            <w:tcW w:type="dxa" w:w="36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SCIM ingestion, SWIFT registration and token exchange can be mistaken for authority grants.</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Provisioning and directory records do not establish access rights. Approve trust, entitlement ownership and actor-aware policies separately. [R3, R6]</w:t>
            </w:r>
          </w:p>
        </w:tc>
      </w:tr>
    </w:tbl>
    <w:p>
      <w:pPr>
        <w:spacing w:after="0"/>
      </w:pPr>
    </w:p>
    <w:p>
      <w:pPr>
        <w:pStyle w:val="Heading1"/>
        <w:pageBreakBefore/>
      </w:pPr>
      <w:r>
        <w:t>3 Population and domain model</w:t>
      </w:r>
    </w:p>
    <w:p>
      <w:pPr>
        <w:pStyle w:val="Heading2"/>
      </w:pPr>
      <w:r>
        <w:t>Client organisation and Euroclear entity are separate axes</w:t>
      </w:r>
    </w:p>
    <w:p>
      <w:r>
        <w:t>A client organisation is the external institution or delegated service organisation to which an identity belongs. A Euroclear legal entity is the entity providing the service and defining its control obligations. Tenant boundaries must explicitly bind these axes. ESES, EUI and Nordics are supplied grouping labels; their precise mapping to legal-entity identifiers must be confirmed against an approved register.</w:t>
      </w:r>
    </w:p>
    <w:p>
      <w:r>
        <w:t>Use an immutable subject reference within each identity domain and record client organisation memberships separately. A person may legitimately represent several client organisations. Each session selects an authorised organisation and each request identifies its entity and resource context. A correlation record across domains or entities must not imply shared credentials, shared entitlements or shared personal data.</w:t>
      </w:r>
    </w:p>
    <w:p>
      <w:pPr>
        <w:pStyle w:val="Heading2"/>
      </w:pPr>
      <w:r>
        <w:t>Inclusive intersections and exact cohorts</w:t>
      </w:r>
    </w:p>
    <w:p>
      <w:r>
        <w:t>An inclusive EB ∩ ESES population contains identities with both memberships, including identities with additional memberships. An exact EB and ESES cohort contains identities whose membership set is exactly {EB, ESES}. “EB Only” means membership in EB and no other in-scope family. Declare whether the membership describes service eligibility or current granted access; use current approved access for access reporting.</w:t>
      </w:r>
    </w:p>
    <w:p>
      <w:r>
        <w:t>With the four supplied families there are 15 possible non-empty exact membership combinations. These are model possibilities, not a claim that all cohorts exist in Euroclear.</w:t>
      </w:r>
    </w:p>
    <w:tbl>
      <w:tblPr>
        <w:tblW w:type="auto" w:w="0"/>
        <w:jc w:val="center"/>
        <w:tblLayout w:type="fixed"/>
        <w:tblLook w:firstColumn="1" w:firstRow="1" w:lastColumn="0" w:lastRow="0" w:noHBand="0" w:noVBand="1" w:val="04A0"/>
      </w:tblPr>
      <w:tblGrid>
        <w:gridCol w:w="1800"/>
        <w:gridCol w:w="8424"/>
      </w:tblGrid>
      <w:tr>
        <w:trPr>
          <w:cantSplit/>
          <w:tblHeader/>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445C"/>
          </w:tcPr>
          <w:p>
            <w:pPr>
              <w:spacing w:after="40" w:line="240" w:lineRule="auto"/>
            </w:pPr>
            <w:r>
              <w:rPr>
                <w:b/>
                <w:color w:val="FFFFFF"/>
                <w:sz w:val="20"/>
              </w:rPr>
              <w:t>Membership size</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445C"/>
          </w:tcPr>
          <w:p>
            <w:pPr>
              <w:spacing w:after="40" w:line="240" w:lineRule="auto"/>
            </w:pPr>
            <w:r>
              <w:rPr>
                <w:b/>
                <w:color w:val="FFFFFF"/>
                <w:sz w:val="20"/>
              </w:rPr>
              <w:t>Exact family combinations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1 family</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EB; ESES; EUI; Nordics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2 families</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EB + ESES; EB + EUI; EB + Nordics; ESES + EUI; ESES + Nordics; EUI + Nordics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3 families</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EB + ESES + EUI; EB + ESES + Nordics; EB + EUI + Nordics; ESES + EUI + Nordics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4 families</w:t>
            </w:r>
          </w:p>
        </w:tc>
        <w:tc>
          <w:tcPr>
            <w:tcW w:type="dxa" w:w="84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EB + ESES + EUI + Nordics</w:t>
            </w:r>
          </w:p>
        </w:tc>
      </w:tr>
    </w:tbl>
    <w:p>
      <w:pPr>
        <w:spacing w:after="0"/>
      </w:pPr>
    </w:p>
    <w:p>
      <w:r>
        <w:t>At legal-entity level the model must remain extensible. Family summaries may aggregate several legal-entity memberships; they cannot replace entity-specific authorisation or override an entity restriction.</w:t>
      </w:r>
    </w:p>
    <w:p>
      <w:pPr>
        <w:pStyle w:val="Heading2"/>
      </w:pPr>
      <w:r>
        <w:t>Commercial classification</w:t>
      </w:r>
    </w:p>
    <w:p>
      <w:r>
        <w:t>Preserve Billable and Non-Billable as explicit approved values. Associate each value with the relevant subject or organisation relationship, legal entity, service or contract, environment, validity interval and authoritative commercial owner. Record the reason for Non-Billable status. Where the source is incomplete, use a pending classification state and prevent commercial processing until resolved; pending status must not silently become Non-Billable.</w:t>
      </w:r>
    </w:p>
    <w:p>
      <w:pPr>
        <w:pStyle w:val="Heading2"/>
      </w:pPr>
      <w:r>
        <w:t>Isolation rule</w:t>
      </w:r>
    </w:p>
    <w:p>
      <w:r>
        <w:t>A membership makes an identity eligible for policy evaluation. Actual access requires an approved entitlement for the requested organisation, entity, application, resource and action, together with adequate session assurance and any separation-of-duties checks. Cross-entity activity requires explicit rights in each target domain. A resource label alone cannot establish the caller’s entity context.</w:t>
      </w:r>
    </w:p>
    <w:p>
      <w:pPr>
        <w:pStyle w:val="Heading1"/>
        <w:pageBreakBefore/>
      </w:pPr>
      <w:r>
        <w:t>4 External client personas and access profiles</w:t>
      </w:r>
    </w:p>
    <w:p>
      <w:r>
        <w:t>Two core families cover external people: External Client User and Delegated Client Administrator. Their access profiles and commercial classification are independent. Privileged client administration must be activated in a distinct context from financial business operations.</w:t>
      </w:r>
    </w:p>
    <w:p>
      <w:pPr>
        <w:pStyle w:val="Heading2"/>
      </w:pPr>
      <w:r>
        <w:t>EXT-ADM Delegated Client Administrator</w:t>
      </w:r>
    </w:p>
    <w:p>
      <w:r>
        <w:t>Core persona family. Manages client organisation users, approved entitlement assignments and provisioning integrations within a bounded delegation.</w:t>
      </w:r>
    </w:p>
    <w:p>
      <w:r>
        <w:t>Identity and lifecycle. An individually accountable person, sponsored by the client organisation and approved through Euroclear onboarding. Record delegation scope, approver, validity and successor. Revoke delegated rights on departure or mandate expiry.</w:t>
      </w:r>
    </w:p>
    <w:p>
      <w:r>
        <w:t>Access and controls. Internet or BT Radianz where supported. Proposed human target AAL3 for administration. Prevent self-expansion of delegation, cross-tenant administration and granting rights beyond the client mandate. Apply maker-checker approval where entitlement risk requires it.</w:t>
      </w:r>
    </w:p>
    <w:p>
      <w:pPr>
        <w:pStyle w:val="Heading2"/>
      </w:pPr>
      <w:r>
        <w:t>EXT-USR-S Single Entity Client User</w:t>
      </w:r>
    </w:p>
    <w:p>
      <w:r>
        <w:t>Access profile of External Client User. Performs approved business actions within one Euroclear entity context.</w:t>
      </w:r>
    </w:p>
    <w:p>
      <w:r>
        <w:t>Identity and lifecycle. Created through approved delegated administration, SCIM or federation/JIT only after matching to an authorised organisation relationship. Federation issuer and subject mapping must be controlled; an email address alone is insufficient for account linking.</w:t>
      </w:r>
    </w:p>
    <w:p>
      <w:r>
        <w:t>Access and controls. Internet or BT Radianz where supported. Proposed baseline AAL2 with AAL3 for designated sensitive actions or applications. Product roles, transaction limits and maker/checker separation are entitlements, not additional identity types.</w:t>
      </w:r>
    </w:p>
    <w:p>
      <w:pPr>
        <w:pStyle w:val="Heading2"/>
      </w:pPr>
      <w:r>
        <w:t>EXT-USR-M Multi Entity Client User</w:t>
      </w:r>
    </w:p>
    <w:p>
      <w:r>
        <w:t>Access profile of External Client User. Performs approved operations across two or more Euroclear entity contexts.</w:t>
      </w:r>
    </w:p>
    <w:p>
      <w:r>
        <w:t>Identity and lifecycle. Use explicit per-entity memberships and grants. Select the organisation and entity context for each operation. Removing one membership must not delete valid access to other entities.</w:t>
      </w:r>
    </w:p>
    <w:p>
      <w:r>
        <w:t>Access and controls. Internet or BT Radianz where supported. Retain the supplied AAL3 target as a proposed policy. ABAC may evaluate entity membership and ReBAC may evaluate delegation relationships; neither may infer all permissions from an intersection label.</w:t>
      </w:r>
    </w:p>
    <w:p>
      <w:pPr>
        <w:pStyle w:val="Heading2"/>
      </w:pPr>
      <w:r>
        <w:t>EXT-USR-NB Non Billable Client User</w:t>
      </w:r>
    </w:p>
    <w:p>
      <w:r>
        <w:t>Commercial and purpose profile. Covers approved observer, regulator or test use cases under the External Client User family.</w:t>
      </w:r>
    </w:p>
    <w:p>
      <w:r>
        <w:t>Identity and lifecycle. Record purpose, sponsor, classification source and expiry. Separate test identities and environments from production identities and data. A regulator’s mandate and data access require explicit approval.</w:t>
      </w:r>
    </w:p>
    <w:p>
      <w:r>
        <w:t>Access and controls. Use the assurance required by the action and data sensitivity. The supplied AAL2 target is a baseline proposal, not a ceiling. Non-Billable status grants no rights and provides no exemption from AAL3 or privileged controls.</w:t>
      </w:r>
    </w:p>
    <w:p>
      <w:pPr>
        <w:pStyle w:val="Heading1"/>
        <w:pageBreakBefore/>
      </w:pPr>
      <w:r>
        <w:t>5 Workforce personas and operating modes</w:t>
      </w:r>
    </w:p>
    <w:p>
      <w:r>
        <w:t>Three core families cover internal people: Workforce Operator, Internal Business Administrator and Platform Administrator. Workforce IDAM remains the authentication and employment-status authority; CIAM holds approved external-context relationships or trusted references. No workforce password replication is proposed.</w:t>
      </w:r>
    </w:p>
    <w:p>
      <w:pPr>
        <w:pStyle w:val="Heading2"/>
      </w:pPr>
      <w:r>
        <w:t>INT-MOD-CLI Internal Staff Acting as Client</w:t>
      </w:r>
    </w:p>
    <w:p>
      <w:r>
        <w:t>Operating mode of Workforce Operator. Performs validation or operational tasks in an explicitly approved client context.</w:t>
      </w:r>
    </w:p>
    <w:p>
      <w:r>
        <w:t>Identity and lifecycle. Keep the operator’s own workforce identity as the accountable actor. Use a separately approved simulated or test client identity where needed. Real client representation uses INT-MOD-IMP controls.</w:t>
      </w:r>
    </w:p>
    <w:p>
      <w:r>
        <w:t>Access and controls. Corporate network or BT Radianz where approved. Proposed AAL3 target. Restrict production access and transactions to an approved mandate; test mode cannot bypass entity restrictions or access live financial payloads by default.</w:t>
      </w:r>
    </w:p>
    <w:p>
      <w:pPr>
        <w:pStyle w:val="Heading2"/>
      </w:pPr>
      <w:r>
        <w:t>INT-MOD-IMP Internal Staff Acting with Impersonation</w:t>
      </w:r>
    </w:p>
    <w:p>
      <w:r>
        <w:t>Operating mode of Workforce Operator. Provides time-limited support within a client user’s approved context.</w:t>
      </w:r>
    </w:p>
    <w:p>
      <w:r>
        <w:t>Identity and lifecycle. Authenticate the operator through workforce IDAM, validate an active service ticket and authorisation, and record both represented subject and current actor. RFC 8693 defines token exchange and the act claim, but does not itself authorise support access. [R3]</w:t>
      </w:r>
    </w:p>
    <w:p>
      <w:r>
        <w:t>Access and controls. Corporate network or BT Radianz where approved. Proposed AAL3 plus fresh reauthentication or transaction-specific step-up. Step-up is a control, not AAL4. Intersect operator support authority with the client’s grants and support-policy restrictions. Default to read-only; deny settlement release, entitlement changes and credential recovery unless separately approved.</w:t>
      </w:r>
    </w:p>
    <w:p>
      <w:pPr>
        <w:pStyle w:val="Heading2"/>
      </w:pPr>
      <w:r>
        <w:t>INT-MOD-ADM Internal Staff Acting as Admin</w:t>
      </w:r>
    </w:p>
    <w:p>
      <w:r>
        <w:t>Core family of Internal Business Administrator. Manages client organisation records and approved business entitlement administration.</w:t>
      </w:r>
    </w:p>
    <w:p>
      <w:r>
        <w:t>Identity and lifecycle. Workforce-sponsored assignment with business owner approval, entity scope, periodic review and removal on transfer or departure. “Global” denotes a governed administrative remit rather than universal data access.</w:t>
      </w:r>
    </w:p>
    <w:p>
      <w:r>
        <w:t>Access and controls. Approved internal administration channel. Proposed AAL3 target. Separate client onboarding, entitlement approval and financial business actions. Enforce entity-specific mandates and dual approval for high-risk changes.</w:t>
      </w:r>
    </w:p>
    <w:p>
      <w:pPr>
        <w:pStyle w:val="Heading2"/>
      </w:pPr>
      <w:r>
        <w:t>INT-MOD-SFT Internal Staff Software Administrator</w:t>
      </w:r>
    </w:p>
    <w:p>
      <w:r>
        <w:t>Core family of Platform Administrator. Operates CIAM infrastructure, configuration and software through privileged access management.</w:t>
      </w:r>
    </w:p>
    <w:p>
      <w:r>
        <w:t>Identity and lifecycle. Named workforce identity, separate privileged account or session, PAM-controlled elevation and time-limited assignment. Service accounts used by automation belong to the workload family.</w:t>
      </w:r>
    </w:p>
    <w:p>
      <w:r>
        <w:t>Access and controls. Isolated privileged administration channel. Proposed AAL3 target. No routine access to financial transaction payloads. Because platform control can enable indirect data access, use separation of duties, controlled deployments, independently retained audit and governed emergency elevation.</w:t>
      </w:r>
    </w:p>
    <w:p>
      <w:pPr>
        <w:pStyle w:val="Heading1"/>
        <w:pageBreakBefore/>
      </w:pPr>
      <w:r>
        <w:t>6 Workload personas and transition state</w:t>
      </w:r>
    </w:p>
    <w:p>
      <w:r>
        <w:t>One core family covers Non Human Workloads. Financial engines and SCIM provisioning clients are specialised profiles. Machine credentials need their own policy; human AAL labels should not be assigned to these workloads merely because cryptographic authentication is used.</w:t>
      </w:r>
    </w:p>
    <w:p>
      <w:pPr>
        <w:pStyle w:val="Heading2"/>
      </w:pPr>
      <w:r>
        <w:t>NHI-SWF-SYS Automated Financial System</w:t>
      </w:r>
    </w:p>
    <w:p>
      <w:r>
        <w:t>Profile of Non Human Workload. Executes approved straight-through processing for clearing or settlement.</w:t>
      </w:r>
    </w:p>
    <w:p>
      <w:r>
        <w:t>Identity and lifecycle. Assign a unique identity per workload, client organisation, environment and required entity trust boundary. Register the owning organisation, accountable technical and business owners, certificate bindings and allowed message or API operations. SWIFT directory data is an input to validation, not sufficient evidence of authorisation.</w:t>
      </w:r>
    </w:p>
    <w:p>
      <w:r>
        <w:t>Access and controls. SWIFTnet or BT Radianz where applicable. For an OAuth API, propose mTLS client authentication plus certificate-bound tokens and protected keys. Native SWIFT services require their approved security mechanism and message-to-identity mapping; OAuth availability must be verified. Preserve independent financial mandate and transaction-integrity controls.</w:t>
      </w:r>
    </w:p>
    <w:p>
      <w:pPr>
        <w:pStyle w:val="Heading2"/>
      </w:pPr>
      <w:r>
        <w:t>NHI-SCM-API Enterprise SCIM Ingestion Client</w:t>
      </w:r>
    </w:p>
    <w:p>
      <w:r>
        <w:t>Profile of Non Human Workload. Provisions approved users and groups from a client organisation’s identity governance system.</w:t>
      </w:r>
    </w:p>
    <w:p>
      <w:r>
        <w:t>Identity and lifecycle. Register each integration separately with an organisation and environment owner. Permit only agreed SCIM resources and attributes. Maintain credential rotation, revocation, idempotent reconciliation and audit of provisioning changes. SCIM is a provisioning protocol, not interactive SSO. [R6]</w:t>
      </w:r>
    </w:p>
    <w:p>
      <w:r>
        <w:t>Access and controls. Internet or BT Radianz where supported. Propose mTLS or private key JWT client authentication. Require an approved sender-constrained token mechanism separately: private key JWT alone does not bind an access token to its sender. Constrain tenant scope, attribute authority and escalation through group changes. [R4, R5]</w:t>
      </w:r>
    </w:p>
    <w:p>
      <w:pPr>
        <w:pStyle w:val="Heading2"/>
      </w:pPr>
      <w:r>
        <w:t>TRN-UAM-JIT Coexistence Legacy User</w:t>
      </w:r>
    </w:p>
    <w:p>
      <w:r>
        <w:t>Temporary lifecycle state applied to a core persona. Allows controlled coexistence while an eligible legacy identity is migrated.</w:t>
      </w:r>
    </w:p>
    <w:p>
      <w:r>
        <w:t>Identity and lifecycle. Bind a verified legacy identifier to a target identity and approved organisation membership. Record origin, migration state, linkage evidence and authoritative store by attribute. JIT account creation must not recreate revoked rights or convert every legacy grant into an approved target grant.</w:t>
      </w:r>
    </w:p>
    <w:p>
      <w:r>
        <w:t>Access and controls. Internet or BT Radianz where applicable. Retain AAL2 as a proposed minimum for eligible user journeys. Access requiring AAL3 remains blocked until suitable authentication is completed. Legacy authentication is not assurance uplift. Define coexistence exit criteria in Deliverable 5.</w:t>
      </w:r>
    </w:p>
    <w:p>
      <w:pPr>
        <w:pStyle w:val="Heading2"/>
      </w:pPr>
      <w:r>
        <w:t>Additional workload coverage</w:t>
      </w:r>
    </w:p>
    <w:p>
      <w:r>
        <w:t>Application service accounts, integration jobs, reporting bots and infrastructure automation fit the Non Human Workload family. Propose NHI-APP-SVC as an additional catalogue profile if discovery confirms these use cases. Distinguish client-owned workloads from Euroclear-owned workloads through ownership and trust-domain attributes; do not reuse a single financial engine identity for unrelated automation.</w:t>
      </w:r>
    </w:p>
    <w:p>
      <w:pPr>
        <w:pStyle w:val="Heading1"/>
        <w:pageBreakBefore/>
      </w:pPr>
      <w:r>
        <w:t>7 Minimum identity and context attributes</w:t>
      </w:r>
    </w:p>
    <w:p>
      <w:r>
        <w:t>This logical attribute model is a proposal for identity records and policy inputs, not the Apps 1–5 token schema. Emit only claims needed by the intended audience and purpose. Keep stable identity attributes separate from session evidence and mutable entitlements.</w:t>
      </w:r>
    </w:p>
    <w:tbl>
      <w:tblPr>
        <w:tblW w:type="auto" w:w="0"/>
        <w:jc w:val="center"/>
        <w:tblLayout w:type="fixed"/>
        <w:tblLook w:firstColumn="1" w:firstRow="1" w:lastColumn="0" w:lastRow="0" w:noHBand="0" w:noVBand="1" w:val="04A0"/>
      </w:tblPr>
      <w:tblGrid>
        <w:gridCol w:w="1944"/>
        <w:gridCol w:w="5256"/>
        <w:gridCol w:w="3024"/>
      </w:tblGrid>
      <w:tr>
        <w:trPr>
          <w:cantSplit/>
          <w:tblHeader/>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445C"/>
          </w:tcPr>
          <w:p>
            <w:pPr>
              <w:spacing w:after="40" w:line="240" w:lineRule="auto"/>
            </w:pPr>
            <w:r>
              <w:rPr>
                <w:b/>
                <w:color w:val="FFFFFF"/>
                <w:sz w:val="20"/>
              </w:rPr>
              <w:t>Attribute group</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445C"/>
          </w:tcPr>
          <w:p>
            <w:pPr>
              <w:spacing w:after="40" w:line="240" w:lineRule="auto"/>
            </w:pPr>
            <w:r>
              <w:rPr>
                <w:b/>
                <w:color w:val="FFFFFF"/>
                <w:sz w:val="20"/>
              </w:rPr>
              <w:t>Required information</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445C"/>
          </w:tcPr>
          <w:p>
            <w:pPr>
              <w:spacing w:after="40" w:line="240" w:lineRule="auto"/>
            </w:pPr>
            <w:r>
              <w:rPr>
                <w:b/>
                <w:color w:val="FFFFFF"/>
                <w:sz w:val="20"/>
              </w:rPr>
              <w:t>Proposed authority</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Subject and domain</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Immutable subject ID; human or workload; core family; identity issuer and domain</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CIAM, workforce IDAM or workload registry</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External relationship</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Client organisation ID; membership status; sponsor; delegated service relationship</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Approved organisation register and onboarding</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Entity context</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Legal-entity IDs; family mapping; selected entity; grant validity</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Approved legal-entity register and entitlement owner</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Access profile</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Single or multi-entity; product roles; resource and action grants; limits</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Entity or application entitlement owner</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Commercial relationship</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Billable or Non-Billable; scope; reason; contract; effective dates</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Commercial or billing authority</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Operating mode</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Self, simulated client, represented client, business admin or platform admin</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Approved access policy and session service</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Assurance evidence</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Authentication context, method, time; evidence mapping; accepted AAL for humans</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Trusted verifier or contracted federation issuer</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Workload controls</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Client ID; key/certificate binding; credential expiry; permitted audiences</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Workload registry, PKI and authorisation server</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Actor and subject</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Represented subject; current actor and issuer; support authority; ticket reference</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Workforce IDAM and approved support workflow</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Lifecycle and migration</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Active/suspended/expired; source; legacy link; migration state; review date</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Declared lifecycle and attribute owners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Environment</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Production, test or other approved environment; workload deployment context</w:t>
            </w:r>
          </w:p>
        </w:tc>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Environment and application owner</w:t>
            </w:r>
          </w:p>
        </w:tc>
      </w:tr>
    </w:tbl>
    <w:p>
      <w:pPr>
        <w:spacing w:after="0"/>
      </w:pPr>
    </w:p>
    <w:p>
      <w:pPr>
        <w:pStyle w:val="Heading2"/>
      </w:pPr>
      <w:r>
        <w:t>Attribute governance and request evaluation</w:t>
      </w:r>
    </w:p>
    <w:p>
      <w:r>
        <w:t>Declare one authoritative writer for each governed attribute and scope. Client SCIM may propose organisation users and allowed groups; it must not set workforce status, arbitrary entity rights, trusted assurance, billable status or its own administration mandate. Reject or quarantine conflicting updates and retain their provenance.</w:t>
      </w:r>
    </w:p>
    <w:p>
      <w:r>
        <w:t>For each request, policy evaluation checks active status, selected organisation, entity membership, resource labels, approved action, environment and assurance. Unknown tenant or entity context results in denial. Entitlement revocation must reach the enforcement points within an agreed service objective; token lifetime and cache invalidation must support that objective.</w:t>
      </w:r>
    </w:p>
    <w:p>
      <w:r>
        <w:t>A client identity and workforce identity may have an approved correlation link, while retaining separate credentials and entitlement domains. Never merge the accounts solely because their email addresses match.</w:t>
      </w:r>
    </w:p>
    <w:p>
      <w:pPr>
        <w:pStyle w:val="Heading1"/>
        <w:pageBreakBefore/>
      </w:pPr>
      <w:r>
        <w:t>8 Assurance channels and lifecycle controls</w:t>
      </w:r>
    </w:p>
    <w:p>
      <w:pPr>
        <w:pStyle w:val="Heading2"/>
      </w:pPr>
      <w:r>
        <w:t>Human assurance and federation</w:t>
      </w:r>
    </w:p>
    <w:p>
      <w:r>
        <w:t>NIST AAL describes the strength of a human authentication transaction. AAL2 requires two factors; TOTP alone is insufficient. AAL3 requires two factors and phishing-resistant public-key authentication with a non-exportable key. Synced passkeys cannot meet AAL3. Hardware token branding alone does not prove conformance. [R1]</w:t>
      </w:r>
    </w:p>
    <w:p>
      <w:r>
        <w:t>Propose phishing-resistant authentication as the preferred human method. Where AAL3 is required, validate the authenticator and complete verifier, session, recovery and cryptographic requirements; certificate possession alone is insufficient. Account recovery must not create a route around the required assurance. [R1]</w:t>
      </w:r>
    </w:p>
    <w:p>
      <w:r>
        <w:t>For BYOID, assess authentication assurance and federation assurance separately. Accept issuer context only through a documented trust agreement and verified mapping; the presence of SAML or OIDC does not prove AAL3. [R2]</w:t>
      </w:r>
    </w:p>
    <w:p>
      <w:pPr>
        <w:pStyle w:val="Heading2"/>
      </w:pPr>
      <w:r>
        <w:t>Channel eligibility and enforcement</w:t>
      </w:r>
    </w:p>
    <w:tbl>
      <w:tblPr>
        <w:tblW w:type="auto" w:w="0"/>
        <w:jc w:val="center"/>
        <w:tblLayout w:type="fixed"/>
        <w:tblLook w:firstColumn="1" w:firstRow="1" w:lastColumn="0" w:lastRow="0" w:noHBand="0" w:noVBand="1" w:val="04A0"/>
      </w:tblPr>
      <w:tblGrid>
        <w:gridCol w:w="1800"/>
        <w:gridCol w:w="3744"/>
        <w:gridCol w:w="4680"/>
      </w:tblGrid>
      <w:tr>
        <w:trPr>
          <w:cantSplit/>
          <w:tblHeader/>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445C"/>
          </w:tcPr>
          <w:p>
            <w:pPr>
              <w:spacing w:after="40" w:line="240" w:lineRule="auto"/>
            </w:pPr>
            <w:r>
              <w:rPr>
                <w:b/>
                <w:color w:val="FFFFFF"/>
                <w:sz w:val="20"/>
              </w:rPr>
              <w:t>Channel</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445C"/>
          </w:tcPr>
          <w:p>
            <w:pPr>
              <w:spacing w:after="40" w:line="240" w:lineRule="auto"/>
            </w:pPr>
            <w:r>
              <w:rPr>
                <w:b/>
                <w:color w:val="FFFFFF"/>
                <w:sz w:val="20"/>
              </w:rPr>
              <w:t>Eligible supplied uses</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445C"/>
          </w:tcPr>
          <w:p>
            <w:pPr>
              <w:spacing w:after="40" w:line="240" w:lineRule="auto"/>
            </w:pPr>
            <w:r>
              <w:rPr>
                <w:b/>
                <w:color w:val="FFFFFF"/>
                <w:sz w:val="20"/>
              </w:rPr>
              <w:t>Proposed enforcement rule</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Internet</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External people; SCIM; eligible legacy users</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Require the persona and action assurance policy; isolate public, provisioning and administration endpoints.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BT Radianz</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External people; approved operators; financial and SCIM workloads</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Private connectivity does not lower identity or entitlement requirements. Validate application and protocol support.</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SWIFTnet</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Automated financial systems</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Apply approved SWIFT trust and message controls. Use the separate workload profile for supported OAuth APIs.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Corporate and private networks</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Approved workforce context operations</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Require workforce authentication, explicit CIAM-context grants and actor-aware policies.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Administration networks</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Business and platform administrators</w:t>
            </w:r>
          </w:p>
        </w:tc>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Separate business and privileged channels; require approved elevation and independent audit.</w:t>
            </w:r>
          </w:p>
        </w:tc>
      </w:tr>
    </w:tbl>
    <w:p>
      <w:pPr>
        <w:spacing w:after="0"/>
      </w:pPr>
    </w:p>
    <w:p>
      <w:pPr>
        <w:pStyle w:val="Heading2"/>
      </w:pPr>
      <w:r>
        <w:t>Lifecycle controls for every family</w:t>
      </w:r>
    </w:p>
    <w:p>
      <w:r>
        <w:t>Onboarding verifies organisation sponsorship or employment/workload ownership, registers credentials through an approved process, and obtains scoped entitlement approval. Changes of organisation, entity mandate or role trigger reassessment. Suspension, departure, mandate expiry and credential compromise trigger removal or restriction of grants, relevant sessions and credentials.</w:t>
      </w:r>
    </w:p>
    <w:p>
      <w:r>
        <w:t>Propose periodic entitlement and delegation recertification, expiry for test/observer access, and workload-owner attestation. Set frequencies and revocation objectives with the responsible business and security owners. Emergency access requires named attribution, time limits, recorded justification and independent review; it is an exceptional operating mode, not a permanent persona bypass.</w:t>
      </w:r>
    </w:p>
    <w:p>
      <w:pPr>
        <w:pStyle w:val="Heading1"/>
        <w:pageBreakBefore/>
      </w:pPr>
      <w:r>
        <w:t>9 Coverage validation and Board decisions</w:t>
      </w:r>
    </w:p>
    <w:p>
      <w:pPr>
        <w:pStyle w:val="Heading2"/>
      </w:pPr>
      <w:r>
        <w:t>Scenarios to confirm before declaring completeness</w:t>
      </w:r>
    </w:p>
    <w:tbl>
      <w:tblPr>
        <w:tblW w:type="auto" w:w="0"/>
        <w:jc w:val="center"/>
        <w:tblLayout w:type="fixed"/>
        <w:tblLook w:firstColumn="1" w:firstRow="1" w:lastColumn="0" w:lastRow="0" w:noHBand="0" w:noVBand="1" w:val="04A0"/>
      </w:tblPr>
      <w:tblGrid>
        <w:gridCol w:w="3168"/>
        <w:gridCol w:w="3600"/>
        <w:gridCol w:w="3456"/>
      </w:tblGrid>
      <w:tr>
        <w:trPr>
          <w:cantSplit/>
          <w:tblHeader/>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445C"/>
          </w:tcPr>
          <w:p>
            <w:pPr>
              <w:spacing w:after="40" w:line="240" w:lineRule="auto"/>
            </w:pPr>
            <w:r>
              <w:rPr>
                <w:b/>
                <w:color w:val="FFFFFF"/>
                <w:sz w:val="20"/>
              </w:rPr>
              <w:t>Scenario</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445C"/>
          </w:tcPr>
          <w:p>
            <w:pPr>
              <w:spacing w:after="40" w:line="240" w:lineRule="auto"/>
            </w:pPr>
            <w:r>
              <w:rPr>
                <w:b/>
                <w:color w:val="FFFFFF"/>
                <w:sz w:val="20"/>
              </w:rPr>
              <w:t>Model mapping</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445C"/>
          </w:tcPr>
          <w:p>
            <w:pPr>
              <w:spacing w:after="40" w:line="240" w:lineRule="auto"/>
            </w:pPr>
            <w:r>
              <w:rPr>
                <w:b/>
                <w:color w:val="FFFFFF"/>
                <w:sz w:val="20"/>
              </w:rPr>
              <w:t>Evidence needed</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Client user also administers users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External user plus EXT-ADM context</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Separate activation and delegated mandate</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One person represents two institutions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Separate organisation memberships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Explicit context selection and no cross-tenant leakage</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Client uses several Nordics entities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Multi-entity profile with legal-entity IDs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Approved family-to-entity mapping</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Outsourced provider acts for a client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External family plus delegation relationship</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Provider-to-client mandate and actor accountability</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Regulator, auditor or test observer</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External user plus purpose and billing attributes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Sponsor, permitted data and expiry</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Support and credential recovery</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Workforce operator modes</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Support boundaries and independent recovery authority</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Unattended job or generic service</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Workload family; proposed NHI-APP-SVC</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Owner, credential boundary and permitted APIs</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Emergency platform access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Platform admin with emergency mode</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40" w:line="240" w:lineRule="auto"/>
            </w:pPr>
            <w:r>
              <w:rPr>
                <w:b w:val="0"/>
                <w:color w:val="000000"/>
                <w:sz w:val="20"/>
              </w:rPr>
              <w:t>PAM procedure, duration and independent review</w:t>
            </w:r>
          </w:p>
        </w:tc>
      </w:tr>
      <w:tr>
        <w:trPr>
          <w:cantSplit/>
        </w:trPr>
        <w:tc>
          <w:tcPr>
            <w:tcW w:type="dxa" w:w="31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Legacy account with revoked rights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TRN-UAM-JIT lifecycle state</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0" w:lineRule="auto"/>
            </w:pPr>
            <w:r>
              <w:rPr>
                <w:b w:val="0"/>
                <w:color w:val="000000"/>
                <w:sz w:val="20"/>
              </w:rPr>
              <w:t>JIT denies restored grants and mismatched links</w:t>
            </w:r>
          </w:p>
        </w:tc>
      </w:tr>
    </w:tbl>
    <w:p>
      <w:pPr>
        <w:spacing w:after="0"/>
      </w:pPr>
    </w:p>
    <w:p>
      <w:pPr>
        <w:pStyle w:val="Heading2"/>
      </w:pPr>
      <w:r>
        <w:t>Requested decisions</w:t>
      </w:r>
    </w:p>
    <w:p>
      <w:r>
        <w:t>D01 Approve six core families and retain all eleven baseline IDs as persona, profile, mode or state mappings. Confirm additional catalogue IDs for generic workloads and third-party operators.</w:t>
      </w:r>
    </w:p>
    <w:p>
      <w:r>
        <w:t>D02 Approve extensible entity membership, including Nordics, and the distinction between inclusive intersections and exact cohorts. Nominate entity and client-organisation register owners.</w:t>
      </w:r>
    </w:p>
    <w:p>
      <w:r>
        <w:t>D03 Endorse the proposed human assurance targets and separate workload controls for detailed assessment in Deliverable 2. Confirm approved authenticators, federation trust criteria and action-specific exceptions.</w:t>
      </w:r>
    </w:p>
    <w:p>
      <w:r>
        <w:t>D04 Confirm workforce/CIAM authority boundaries, delegated administration scope and support-access prohibitions. Nominate approvers for sensitive actions and emergency access.</w:t>
      </w:r>
    </w:p>
    <w:p>
      <w:r>
        <w:t>D05 Confirm scoped commercial classification, attribute ownership, lifecycle service objectives and coexistence exit criteria. Record approved exceptions with owner, compensating controls and expiry.</w:t>
      </w:r>
    </w:p>
    <w:p>
      <w:pPr>
        <w:pStyle w:val="Heading2"/>
      </w:pPr>
      <w:r>
        <w:t>Acceptance evidence</w:t>
      </w:r>
    </w:p>
    <w:p>
      <w:r>
        <w:t>Record Board decisions and owners, confirm entity and organisation mappings, and check scenario coverage against the application inventory. Before implementation approval, demonstrate cross-tenant denial, per-entity revocation, prevention of delegated privilege escalation and preservation of both support identities. These checks are proposed and have not been executed.</w:t>
      </w:r>
    </w:p>
    <w:p>
      <w:pPr>
        <w:pStyle w:val="Heading1"/>
        <w:pageBreakBefore/>
      </w:pPr>
      <w:r>
        <w:t>10 References and review record</w:t>
      </w:r>
    </w:p>
    <w:p>
      <w:r>
        <w:t>Standards were consulted on 7 October 2026. The source context is the eleven-persona baseline and project scope supplied by the Enterprise Integration Architect in this conversation. Euroclear-specific statements derived from that context have not been independently confirmed.</w:t>
      </w:r>
    </w:p>
    <w:p>
      <w:pPr>
        <w:pStyle w:val="Heading2"/>
      </w:pPr>
      <w:r>
        <w:t>R1 NIST SP 800 63B 4 Authentication and Authenticator Management</w:t>
      </w:r>
    </w:p>
    <w:p>
      <w:r>
        <w:t>Section 2 and Appendix B. Basis for separating two-factor, phishing-resistant and non-exportable-key requirements from shorthand authenticator labels.</w:t>
      </w:r>
    </w:p>
    <w:p>
      <w:r>
        <w:rPr>
          <w:sz w:val="18"/>
        </w:rPr>
        <w:t>https://pages.nist.gov/800-63-4/sp800-63b.html</w:t>
      </w:r>
    </w:p>
    <w:p>
      <w:pPr>
        <w:pStyle w:val="Heading2"/>
      </w:pPr>
      <w:r>
        <w:t>R2 NIST SP 800 63C 4 Federation and Assertions</w:t>
      </w:r>
    </w:p>
    <w:p>
      <w:r>
        <w:t>Federation assurance and trust agreements. Authentication assurance and federation assurance require separate assessment.</w:t>
      </w:r>
    </w:p>
    <w:p>
      <w:r>
        <w:rPr>
          <w:sz w:val="18"/>
        </w:rPr>
        <w:t>https://pages.nist.gov/800-63-4/sp800-63c.html</w:t>
      </w:r>
    </w:p>
    <w:p>
      <w:pPr>
        <w:pStyle w:val="Heading2"/>
      </w:pPr>
      <w:r>
        <w:t>R3 IETF RFC 8693 OAuth 2 0 Token Exchange</w:t>
      </w:r>
    </w:p>
    <w:p>
      <w:r>
        <w:t>Sections 1, 2 and 4.1. Defines token exchange semantics and identification of the current actor; local authorisation remains necessary.</w:t>
      </w:r>
    </w:p>
    <w:p>
      <w:r>
        <w:rPr>
          <w:sz w:val="18"/>
        </w:rPr>
        <w:t>https://www.rfc-editor.org/rfc/rfc8693.html</w:t>
      </w:r>
    </w:p>
    <w:p>
      <w:pPr>
        <w:pStyle w:val="Heading2"/>
      </w:pPr>
      <w:r>
        <w:t>R4 IETF RFC 8705 Mutual TLS Client Authentication and Certificate Bound Access Tokens</w:t>
      </w:r>
    </w:p>
    <w:p>
      <w:r>
        <w:t>Sections 2 and 3. Client authentication and certificate-bound tokens are separate, complementary mechanisms.</w:t>
      </w:r>
    </w:p>
    <w:p>
      <w:r>
        <w:rPr>
          <w:sz w:val="18"/>
        </w:rPr>
        <w:t>https://www.rfc-editor.org/rfc/rfc8705.html</w:t>
      </w:r>
    </w:p>
    <w:p>
      <w:pPr>
        <w:pStyle w:val="Heading2"/>
      </w:pPr>
      <w:r>
        <w:t>R5 IETF RFC 7523 JWT Profile for OAuth Client Authentication and Authorisation Grants</w:t>
      </w:r>
    </w:p>
    <w:p>
      <w:r>
        <w:t>Sections 2.2 and 3.2. Supports JWT-based client authentication; it does not by itself constrain the resulting access token sender.</w:t>
      </w:r>
    </w:p>
    <w:p>
      <w:r>
        <w:rPr>
          <w:sz w:val="18"/>
        </w:rPr>
        <w:t>https://www.rfc-editor.org/rfc/rfc7523.html</w:t>
      </w:r>
    </w:p>
    <w:p>
      <w:pPr>
        <w:pStyle w:val="Heading2"/>
      </w:pPr>
      <w:r>
        <w:t>R6 IETF RFC 7644 System for Cross Domain Identity Management Protocol</w:t>
      </w:r>
    </w:p>
    <w:p>
      <w:r>
        <w:t>Sections 1, 2 and 3. SCIM supports identity resource provisioning and requires an independently secured and authorised service.</w:t>
      </w:r>
    </w:p>
    <w:p>
      <w:r>
        <w:rPr>
          <w:sz w:val="18"/>
        </w:rPr>
        <w:t>https://www.rfc-editor.org/rfc/rfc7644.html</w:t>
      </w:r>
    </w:p>
    <w:p>
      <w:pPr>
        <w:pStyle w:val="Heading2"/>
      </w:pPr>
      <w:r>
        <w:t>Review record</w:t>
      </w:r>
    </w:p>
    <w:p>
      <w:r>
        <w:t>Document status: Draft for Architecture Board review.</w:t>
        <w:br/>
        <w:t>Decision status: No Board decisions or approvals recorded.</w:t>
        <w:br/>
        <w:t>Suggested reviewers: Enterprise Security Architecture; Enterprise Integration Architecture; CIAM product owner; Workforce IDAM and PAM owners; legal-entity business owners; commercial classification owner; SWIFT and network service owners.</w:t>
        <w:br/>
        <w:t>Open evidence: Application inventory, policy standards, legal-entity register, federation agreements, delegated mandates and operational control procedures.</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Draft for review   •   7 October 2026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EUROCLEAR   |   B2B CIAM   |   ARCHITECTURE BOARD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Euroclear B2B CIAM Persona Model and Validation</dc:title>
  <dc:subject>Deliverable 1 architecture board review</dc:subject>
  <dc:creator>Enterprise Architecture</dc:creator>
  <cp:keywords>CIAM, personas, legal entity isolation, assurance, identity governance</cp:keywords>
  <dc:description>generated by python-docx</dc:description>
  <cp:lastModifiedBy/>
  <cp:revision>1</cp:revision>
  <dcterms:created xsi:type="dcterms:W3CDTF">2013-12-23T23:15:00Z</dcterms:created>
  <dcterms:modified xsi:type="dcterms:W3CDTF">2013-12-23T23:15:00Z</dcterms:modified>
  <cp:category/>
</cp:coreProperties>
</file>