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Lumora Labs Model Selection Policy</w:t>
      </w:r>
    </w:p>
    <w:p>
      <w:r>
        <w:t>Model Selection Policy - version 2.0 - effective 2026-09-01. Owner: Model Review Board (chair: Nadia Ferreira).</w:t>
      </w:r>
    </w:p>
    <w:p>
      <w:pPr>
        <w:pStyle w:val="Heading1"/>
      </w:pPr>
      <w:r>
        <w:t>1. Purpose</w:t>
      </w:r>
    </w:p>
    <w:p>
      <w:r>
        <w:t>This policy defines which class of model may be used for each type of use case, the maximum spend per 1,000 requests, and who approves exceptions. It refers to models by tier, not by vendor or product name, so that the policy stays valid when individual models are replaced.</w:t>
      </w:r>
    </w:p>
    <w:p>
      <w:pPr>
        <w:pStyle w:val="Heading1"/>
      </w:pPr>
      <w:r>
        <w:t>2. Model tiers</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Description</w:t>
            </w:r>
          </w:p>
        </w:tc>
        <w:tc>
          <w:tcPr>
            <w:tcW w:type="dxa" w:w="2880"/>
          </w:tcPr>
          <w:p>
            <w:r>
              <w:t>Hosting</w:t>
            </w:r>
          </w:p>
        </w:tc>
      </w:tr>
      <w:tr>
        <w:tc>
          <w:tcPr>
            <w:tcW w:type="dxa" w:w="2880"/>
          </w:tcPr>
          <w:p>
            <w:r>
              <w:t>Tier-1</w:t>
            </w:r>
          </w:p>
        </w:tc>
        <w:tc>
          <w:tcPr>
            <w:tcW w:type="dxa" w:w="2880"/>
          </w:tcPr>
          <w:p>
            <w:r>
              <w:t>Largest, most capable hosted LLM</w:t>
            </w:r>
          </w:p>
        </w:tc>
        <w:tc>
          <w:tcPr>
            <w:tcW w:type="dxa" w:w="2880"/>
          </w:tcPr>
          <w:p>
            <w:r>
              <w:t>Hosted by an external provider</w:t>
            </w:r>
          </w:p>
        </w:tc>
      </w:tr>
      <w:tr>
        <w:tc>
          <w:tcPr>
            <w:tcW w:type="dxa" w:w="2880"/>
          </w:tcPr>
          <w:p>
            <w:r>
              <w:t>Tier-2</w:t>
            </w:r>
          </w:p>
        </w:tc>
        <w:tc>
          <w:tcPr>
            <w:tcW w:type="dxa" w:w="2880"/>
          </w:tcPr>
          <w:p>
            <w:r>
              <w:t>Mid-size hosted LLM, lower cost and latency</w:t>
            </w:r>
          </w:p>
        </w:tc>
        <w:tc>
          <w:tcPr>
            <w:tcW w:type="dxa" w:w="2880"/>
          </w:tcPr>
          <w:p>
            <w:r>
              <w:t>Hosted externally</w:t>
            </w:r>
          </w:p>
        </w:tc>
      </w:tr>
      <w:tr>
        <w:tc>
          <w:tcPr>
            <w:tcW w:type="dxa" w:w="2880"/>
          </w:tcPr>
          <w:p>
            <w:r>
              <w:t>Tier-3</w:t>
            </w:r>
          </w:p>
        </w:tc>
        <w:tc>
          <w:tcPr>
            <w:tcW w:type="dxa" w:w="2880"/>
          </w:tcPr>
          <w:p>
            <w:r>
              <w:t>Small open-weight model</w:t>
            </w:r>
          </w:p>
        </w:tc>
        <w:tc>
          <w:tcPr>
            <w:tcW w:type="dxa" w:w="2880"/>
          </w:tcPr>
          <w:p>
            <w:r>
              <w:t>Self-hosted on Lumora infrastructure</w:t>
            </w:r>
          </w:p>
        </w:tc>
      </w:tr>
    </w:tbl>
    <w:p>
      <w:pPr>
        <w:pStyle w:val="Heading1"/>
      </w:pPr>
      <w:r>
        <w:t>3. Approved tier per use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Use case</w:t>
            </w:r>
          </w:p>
        </w:tc>
        <w:tc>
          <w:tcPr>
            <w:tcW w:type="dxa" w:w="2160"/>
          </w:tcPr>
          <w:p>
            <w:r>
              <w:t>Approved model tier</w:t>
            </w:r>
          </w:p>
        </w:tc>
        <w:tc>
          <w:tcPr>
            <w:tcW w:type="dxa" w:w="2160"/>
          </w:tcPr>
          <w:p>
            <w:r>
              <w:t>Max cost per 1K requests</w:t>
            </w:r>
          </w:p>
        </w:tc>
        <w:tc>
          <w:tcPr>
            <w:tcW w:type="dxa" w:w="2160"/>
          </w:tcPr>
          <w:p>
            <w:r>
              <w:t>Approval owner</w:t>
            </w:r>
          </w:p>
        </w:tc>
      </w:tr>
      <w:tr>
        <w:tc>
          <w:tcPr>
            <w:tcW w:type="dxa" w:w="2160"/>
          </w:tcPr>
          <w:p>
            <w:r>
              <w:t>Customer-facing chat assistant</w:t>
            </w:r>
          </w:p>
        </w:tc>
        <w:tc>
          <w:tcPr>
            <w:tcW w:type="dxa" w:w="2160"/>
          </w:tcPr>
          <w:p>
            <w:r>
              <w:t>Tier-1</w:t>
            </w:r>
          </w:p>
        </w:tc>
        <w:tc>
          <w:tcPr>
            <w:tcW w:type="dxa" w:w="2160"/>
          </w:tcPr>
          <w:p>
            <w:r>
              <w:t>USD 35.00</w:t>
            </w:r>
          </w:p>
        </w:tc>
        <w:tc>
          <w:tcPr>
            <w:tcW w:type="dxa" w:w="2160"/>
          </w:tcPr>
          <w:p>
            <w:r>
              <w:t>Model Review Board</w:t>
            </w:r>
          </w:p>
        </w:tc>
      </w:tr>
      <w:tr>
        <w:tc>
          <w:tcPr>
            <w:tcW w:type="dxa" w:w="2160"/>
          </w:tcPr>
          <w:p>
            <w:r>
              <w:t>Internal knowledge Q&amp;A (RAG)</w:t>
            </w:r>
          </w:p>
        </w:tc>
        <w:tc>
          <w:tcPr>
            <w:tcW w:type="dxa" w:w="2160"/>
          </w:tcPr>
          <w:p>
            <w:r>
              <w:t>Tier-2</w:t>
            </w:r>
          </w:p>
        </w:tc>
        <w:tc>
          <w:tcPr>
            <w:tcW w:type="dxa" w:w="2160"/>
          </w:tcPr>
          <w:p>
            <w:r>
              <w:t>USD 10.00</w:t>
            </w:r>
          </w:p>
        </w:tc>
        <w:tc>
          <w:tcPr>
            <w:tcW w:type="dxa" w:w="2160"/>
          </w:tcPr>
          <w:p>
            <w:r>
              <w:t>Head of AI Engineering</w:t>
            </w:r>
          </w:p>
        </w:tc>
      </w:tr>
      <w:tr>
        <w:tc>
          <w:tcPr>
            <w:tcW w:type="dxa" w:w="2160"/>
          </w:tcPr>
          <w:p>
            <w:r>
              <w:t>Document summarisation</w:t>
            </w:r>
          </w:p>
        </w:tc>
        <w:tc>
          <w:tcPr>
            <w:tcW w:type="dxa" w:w="2160"/>
          </w:tcPr>
          <w:p>
            <w:r>
              <w:t>Tier-3</w:t>
            </w:r>
          </w:p>
        </w:tc>
        <w:tc>
          <w:tcPr>
            <w:tcW w:type="dxa" w:w="2160"/>
          </w:tcPr>
          <w:p>
            <w:r>
              <w:t>USD 3.00</w:t>
            </w:r>
          </w:p>
        </w:tc>
        <w:tc>
          <w:tcPr>
            <w:tcW w:type="dxa" w:w="2160"/>
          </w:tcPr>
          <w:p>
            <w:r>
              <w:t>Squad tech lead</w:t>
            </w:r>
          </w:p>
        </w:tc>
      </w:tr>
      <w:tr>
        <w:tc>
          <w:tcPr>
            <w:tcW w:type="dxa" w:w="2160"/>
          </w:tcPr>
          <w:p>
            <w:r>
              <w:t>Document classification</w:t>
            </w:r>
          </w:p>
        </w:tc>
        <w:tc>
          <w:tcPr>
            <w:tcW w:type="dxa" w:w="2160"/>
          </w:tcPr>
          <w:p>
            <w:r>
              <w:t>Tier-3</w:t>
            </w:r>
          </w:p>
        </w:tc>
        <w:tc>
          <w:tcPr>
            <w:tcW w:type="dxa" w:w="2160"/>
          </w:tcPr>
          <w:p>
            <w:r>
              <w:t>USD 1.00</w:t>
            </w:r>
          </w:p>
        </w:tc>
        <w:tc>
          <w:tcPr>
            <w:tcW w:type="dxa" w:w="2160"/>
          </w:tcPr>
          <w:p>
            <w:r>
              <w:t>Squad tech lead</w:t>
            </w:r>
          </w:p>
        </w:tc>
      </w:tr>
      <w:tr>
        <w:tc>
          <w:tcPr>
            <w:tcW w:type="dxa" w:w="2160"/>
          </w:tcPr>
          <w:p>
            <w:r>
              <w:t>Code assistance</w:t>
            </w:r>
          </w:p>
        </w:tc>
        <w:tc>
          <w:tcPr>
            <w:tcW w:type="dxa" w:w="2160"/>
          </w:tcPr>
          <w:p>
            <w:r>
              <w:t>Tier-1</w:t>
            </w:r>
          </w:p>
        </w:tc>
        <w:tc>
          <w:tcPr>
            <w:tcW w:type="dxa" w:w="2160"/>
          </w:tcPr>
          <w:p>
            <w:r>
              <w:t>USD 25.00</w:t>
            </w:r>
          </w:p>
        </w:tc>
        <w:tc>
          <w:tcPr>
            <w:tcW w:type="dxa" w:w="2160"/>
          </w:tcPr>
          <w:p>
            <w:r>
              <w:t>Head of AI Engineering</w:t>
            </w:r>
          </w:p>
        </w:tc>
      </w:tr>
      <w:tr>
        <w:tc>
          <w:tcPr>
            <w:tcW w:type="dxa" w:w="2160"/>
          </w:tcPr>
          <w:p>
            <w:r>
              <w:t>LLM-as-judge evaluation</w:t>
            </w:r>
          </w:p>
        </w:tc>
        <w:tc>
          <w:tcPr>
            <w:tcW w:type="dxa" w:w="2160"/>
          </w:tcPr>
          <w:p>
            <w:r>
              <w:t>Tier-1</w:t>
            </w:r>
          </w:p>
        </w:tc>
        <w:tc>
          <w:tcPr>
            <w:tcW w:type="dxa" w:w="2160"/>
          </w:tcPr>
          <w:p>
            <w:r>
              <w:t>USD 30.00</w:t>
            </w:r>
          </w:p>
        </w:tc>
        <w:tc>
          <w:tcPr>
            <w:tcW w:type="dxa" w:w="2160"/>
          </w:tcPr>
          <w:p>
            <w:r>
              <w:t>Evaluation Lead</w:t>
            </w:r>
          </w:p>
        </w:tc>
      </w:tr>
      <w:tr>
        <w:tc>
          <w:tcPr>
            <w:tcW w:type="dxa" w:w="2160"/>
          </w:tcPr>
          <w:p>
            <w:r>
              <w:t>Embeddings</w:t>
            </w:r>
          </w:p>
        </w:tc>
        <w:tc>
          <w:tcPr>
            <w:tcW w:type="dxa" w:w="2160"/>
          </w:tcPr>
          <w:p>
            <w:r>
              <w:t>Tier-3</w:t>
            </w:r>
          </w:p>
        </w:tc>
        <w:tc>
          <w:tcPr>
            <w:tcW w:type="dxa" w:w="2160"/>
          </w:tcPr>
          <w:p>
            <w:r>
              <w:t>USD 0.20</w:t>
            </w:r>
          </w:p>
        </w:tc>
        <w:tc>
          <w:tcPr>
            <w:tcW w:type="dxa" w:w="2160"/>
          </w:tcPr>
          <w:p>
            <w:r>
              <w:t>ML Platform lead</w:t>
            </w:r>
          </w:p>
        </w:tc>
      </w:tr>
      <w:tr>
        <w:tc>
          <w:tcPr>
            <w:tcW w:type="dxa" w:w="2160"/>
          </w:tcPr>
          <w:p>
            <w:r>
              <w:t>Agentic workflows</w:t>
            </w:r>
          </w:p>
        </w:tc>
        <w:tc>
          <w:tcPr>
            <w:tcW w:type="dxa" w:w="2160"/>
          </w:tcPr>
          <w:p>
            <w:r>
              <w:t>Tier-1</w:t>
            </w:r>
          </w:p>
        </w:tc>
        <w:tc>
          <w:tcPr>
            <w:tcW w:type="dxa" w:w="2160"/>
          </w:tcPr>
          <w:p>
            <w:r>
              <w:t>USD 60.00</w:t>
            </w:r>
          </w:p>
        </w:tc>
        <w:tc>
          <w:tcPr>
            <w:tcW w:type="dxa" w:w="2160"/>
          </w:tcPr>
          <w:p>
            <w:r>
              <w:t>Model Review Board</w:t>
            </w:r>
          </w:p>
        </w:tc>
      </w:tr>
    </w:tbl>
    <w:p>
      <w:r>
        <w:t>Costs are measured in US dollars at the Lumora Gateway and include input and output tokens. A use case not listed in the table requires approval by the Model Review Board before any production traffic.</w:t>
      </w:r>
    </w:p>
    <w:p>
      <w:pPr>
        <w:pStyle w:val="Heading1"/>
      </w:pPr>
      <w:r>
        <w:t>4. Rules</w:t>
      </w:r>
    </w:p>
    <w:p>
      <w:pPr>
        <w:pStyle w:val="ListBullet"/>
      </w:pPr>
      <w:r>
        <w:t>A lower tier than the approved tier may always be used if the evaluation release gates are still met.</w:t>
      </w:r>
    </w:p>
    <w:p>
      <w:pPr>
        <w:pStyle w:val="ListBullet"/>
      </w:pPr>
      <w:r>
        <w:t>Using a higher tier, or exceeding the cost cap, requires approval by the Model Review Board.</w:t>
      </w:r>
    </w:p>
    <w:p>
      <w:pPr>
        <w:pStyle w:val="ListBullet"/>
      </w:pPr>
      <w:r>
        <w:t>Data classified as Confidential-Restricted may only be processed by Tier-3 self-hosted models.</w:t>
      </w:r>
    </w:p>
    <w:p>
      <w:pPr>
        <w:pStyle w:val="ListBullet"/>
      </w:pPr>
      <w:r>
        <w:t>This policy is reviewed every quarter.</w:t>
      </w:r>
    </w:p>
    <w:p>
      <w:pPr>
        <w:pStyle w:val="ListBullet"/>
      </w:pPr>
      <w:r>
        <w:t>Agentic workflows must also follow the limits in the Agent Design Patterns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