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Lumora Labs AI Engineering Handbook</w:t>
      </w:r>
    </w:p>
    <w:p>
      <w:r>
        <w:t>AI Engineering Handbook - version 3.2 - effective 2026-03-15. Owner: Nadia Ferreira, Head of AI Engineering.</w:t>
      </w:r>
    </w:p>
    <w:p>
      <w:pPr>
        <w:pStyle w:val="Heading1"/>
      </w:pPr>
      <w:r>
        <w:t>1. About the team</w:t>
      </w:r>
    </w:p>
    <w:p>
      <w:r>
        <w:t>The AI Engineering team at Lumora Labs builds and operates the company's LLM-based features: retrieval-augmented assistants, document processing pipelines and agentic workflows. The team has 18 engineers organised in two squads: the Retrieval squad and the Agents squad. A shared ML Platform group runs the model gateway, the vector infrastructure and the evaluation pipeline.</w:t>
      </w:r>
    </w:p>
    <w:p>
      <w:pPr>
        <w:pStyle w:val="Heading1"/>
      </w:pPr>
      <w:r>
        <w:t>2. Roles and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Person</w:t>
            </w:r>
          </w:p>
        </w:tc>
        <w:tc>
          <w:tcPr>
            <w:tcW w:type="dxa" w:w="2880"/>
          </w:tcPr>
          <w:p>
            <w:r>
              <w:t>Responsibilities</w:t>
            </w:r>
          </w:p>
        </w:tc>
      </w:tr>
      <w:tr>
        <w:tc>
          <w:tcPr>
            <w:tcW w:type="dxa" w:w="2880"/>
          </w:tcPr>
          <w:p>
            <w:r>
              <w:t>Head of AI Engineering</w:t>
            </w:r>
          </w:p>
        </w:tc>
        <w:tc>
          <w:tcPr>
            <w:tcW w:type="dxa" w:w="2880"/>
          </w:tcPr>
          <w:p>
            <w:r>
              <w:t>Nadia Ferreira</w:t>
            </w:r>
          </w:p>
        </w:tc>
        <w:tc>
          <w:tcPr>
            <w:tcW w:type="dxa" w:w="2880"/>
          </w:tcPr>
          <w:p>
            <w:r>
              <w:t>Team direction, chairs the Model Review Board, incident escalation for AI-SEV1</w:t>
            </w:r>
          </w:p>
        </w:tc>
      </w:tr>
      <w:tr>
        <w:tc>
          <w:tcPr>
            <w:tcW w:type="dxa" w:w="2880"/>
          </w:tcPr>
          <w:p>
            <w:r>
              <w:t>Retrieval squad tech lead</w:t>
            </w:r>
          </w:p>
        </w:tc>
        <w:tc>
          <w:tcPr>
            <w:tcW w:type="dxa" w:w="2880"/>
          </w:tcPr>
          <w:p>
            <w:r>
              <w:t>Mateo Lindqvist</w:t>
            </w:r>
          </w:p>
        </w:tc>
        <w:tc>
          <w:tcPr>
            <w:tcW w:type="dxa" w:w="2880"/>
          </w:tcPr>
          <w:p>
            <w:r>
              <w:t>RAG architecture, owner of the RAG Design Guide</w:t>
            </w:r>
          </w:p>
        </w:tc>
      </w:tr>
      <w:tr>
        <w:tc>
          <w:tcPr>
            <w:tcW w:type="dxa" w:w="2880"/>
          </w:tcPr>
          <w:p>
            <w:r>
              <w:t>Agents squad tech lead</w:t>
            </w:r>
          </w:p>
        </w:tc>
        <w:tc>
          <w:tcPr>
            <w:tcW w:type="dxa" w:w="2880"/>
          </w:tcPr>
          <w:p>
            <w:r>
              <w:t>Ravi Menon</w:t>
            </w:r>
          </w:p>
        </w:tc>
        <w:tc>
          <w:tcPr>
            <w:tcW w:type="dxa" w:w="2880"/>
          </w:tcPr>
          <w:p>
            <w:r>
              <w:t>Agent architecture, owner of the Agent Design Patterns guide</w:t>
            </w:r>
          </w:p>
        </w:tc>
      </w:tr>
      <w:tr>
        <w:tc>
          <w:tcPr>
            <w:tcW w:type="dxa" w:w="2880"/>
          </w:tcPr>
          <w:p>
            <w:r>
              <w:t>Evaluation Lead</w:t>
            </w:r>
          </w:p>
        </w:tc>
        <w:tc>
          <w:tcPr>
            <w:tcW w:type="dxa" w:w="2880"/>
          </w:tcPr>
          <w:p>
            <w:r>
              <w:t>Tomasz Wierzbicki</w:t>
            </w:r>
          </w:p>
        </w:tc>
        <w:tc>
          <w:tcPr>
            <w:tcW w:type="dxa" w:w="2880"/>
          </w:tcPr>
          <w:p>
            <w:r>
              <w:t>Golden sets, LLM-as-judge, release gates, owner of the Evaluation Playbook</w:t>
            </w:r>
          </w:p>
        </w:tc>
      </w:tr>
      <w:tr>
        <w:tc>
          <w:tcPr>
            <w:tcW w:type="dxa" w:w="2880"/>
          </w:tcPr>
          <w:p>
            <w:r>
              <w:t>AI Safety &amp; Governance Lead</w:t>
            </w:r>
          </w:p>
        </w:tc>
        <w:tc>
          <w:tcPr>
            <w:tcW w:type="dxa" w:w="2880"/>
          </w:tcPr>
          <w:p>
            <w:r>
              <w:t>Keiko Arai</w:t>
            </w:r>
          </w:p>
        </w:tc>
        <w:tc>
          <w:tcPr>
            <w:tcW w:type="dxa" w:w="2880"/>
          </w:tcPr>
          <w:p>
            <w:r>
              <w:t>Guardrails, red-teaming, owner of the LLMOps Incident Runbook</w:t>
            </w:r>
          </w:p>
        </w:tc>
      </w:tr>
      <w:tr>
        <w:tc>
          <w:tcPr>
            <w:tcW w:type="dxa" w:w="2880"/>
          </w:tcPr>
          <w:p>
            <w:r>
              <w:t>ML Platform lead</w:t>
            </w:r>
          </w:p>
        </w:tc>
        <w:tc>
          <w:tcPr>
            <w:tcW w:type="dxa" w:w="2880"/>
          </w:tcPr>
          <w:p>
            <w:r>
              <w:t>Lena Okafor</w:t>
            </w:r>
          </w:p>
        </w:tc>
        <w:tc>
          <w:tcPr>
            <w:tcW w:type="dxa" w:w="2880"/>
          </w:tcPr>
          <w:p>
            <w:r>
              <w:t>Lumora Gateway, vector infrastructure, embedding service, cost dashboards</w:t>
            </w:r>
          </w:p>
        </w:tc>
      </w:tr>
    </w:tbl>
    <w:p>
      <w:r>
        <w:t>The Model Review Board (MRB) approves the use of models for new use cases and any spend above the caps in the Model Selection Policy. It is chaired by the Head of AI Engineering and meets every second Thursday.</w:t>
      </w:r>
    </w:p>
    <w:p>
      <w:pPr>
        <w:pStyle w:val="Heading1"/>
      </w:pPr>
      <w:r>
        <w:t>3. LLM fundamentals</w:t>
      </w:r>
    </w:p>
    <w:p>
      <w:r>
        <w:t>A large language model (LLM) is a neural network, almost always a transformer, trained to predict the next token in a sequence. Tokens are sub-word units produced by a tokenizer; in English text one token is on average about three quarters of a word, so token counts, not word counts, determine cost and context usage.</w:t>
      </w:r>
    </w:p>
    <w:p>
      <w:r>
        <w:t>The context window is the maximum number of tokens the model can attend to in one request, counting both the input (system prompt, instructions, retrieved documents, conversation history) and the generated output. Content beyond the window is not seen at all, and very long contexts can reduce how reliably the model uses information placed in the middle.</w:t>
      </w:r>
    </w:p>
    <w:p>
      <w:r>
        <w:t>Generation is a sampling process. Temperature rescales the probability distribution over the next token: low values make output more deterministic, high values make it more varied. Top-p (nucleus) sampling restricts sampling to the smallest set of tokens whose cumulative probability exceeds p. Even at temperature 0, outputs from hosted models are not guaranteed to be bit-for-bit reproducible.</w:t>
      </w:r>
    </w:p>
    <w:p>
      <w:r>
        <w:t>A hallucination is output that is fluent but not supported by the input or by fact. LLMs have no built-in notion of truth; they produce plausible continuations. Grounding answers in retrieved documents, requiring citations and allowing the model to abstain are the main mitigations used by the team.</w:t>
      </w:r>
    </w:p>
    <w:p>
      <w:r>
        <w:t>An embedding is a fixed-length vector representation of a text, produced by an embedding model, such that semantically similar texts have nearby vectors. Embeddings power semantic search and are described in detail in the RAG Design Guide.</w:t>
      </w:r>
    </w:p>
    <w:p>
      <w:pPr>
        <w:pStyle w:val="Heading1"/>
      </w:pPr>
      <w:r>
        <w:t>4. Prompt engineering standards</w:t>
      </w:r>
    </w:p>
    <w:p>
      <w:pPr>
        <w:pStyle w:val="ListBullet"/>
      </w:pPr>
      <w:r>
        <w:t>Prompts are code. Every production prompt lives in the repository under the prompts/ directory and is reviewed like any other change.</w:t>
      </w:r>
    </w:p>
    <w:p>
      <w:pPr>
        <w:pStyle w:val="ListBullet"/>
      </w:pPr>
      <w:r>
        <w:t>Every prompt has an identifier of the form PRM-&lt;squad&gt;-&lt;number&gt;, for example PRM-RET-014, and a version number that is logged with every model call.</w:t>
      </w:r>
    </w:p>
    <w:p>
      <w:pPr>
        <w:pStyle w:val="ListBullet"/>
      </w:pPr>
      <w:r>
        <w:t>The system prompt must state the role, the task, the allowed sources of information and the exact output format.</w:t>
      </w:r>
    </w:p>
    <w:p>
      <w:pPr>
        <w:pStyle w:val="ListBullet"/>
      </w:pPr>
      <w:r>
        <w:t>Use structured output (a JSON schema) whenever the result is consumed by code.</w:t>
      </w:r>
    </w:p>
    <w:p>
      <w:pPr>
        <w:pStyle w:val="ListBullet"/>
      </w:pPr>
      <w:r>
        <w:t>Default temperature is 0.2 for extraction, classification and question answering. Creative tasks may use up to 0.7. Temperatures above 1.0 are not allowed in production.</w:t>
      </w:r>
    </w:p>
    <w:p>
      <w:pPr>
        <w:pStyle w:val="ListBullet"/>
      </w:pPr>
      <w:r>
        <w:t>Few-shot prompts may contain at most 5 examples; examples must not contain real customer data.</w:t>
      </w:r>
    </w:p>
    <w:p>
      <w:pPr>
        <w:pStyle w:val="ListBullet"/>
      </w:pPr>
      <w:r>
        <w:t>Delimit untrusted content (user input, retrieved documents, tool output) clearly and instruct the model to treat it as data, not instructions.</w:t>
      </w:r>
    </w:p>
    <w:p>
      <w:pPr>
        <w:pStyle w:val="ListBullet"/>
      </w:pPr>
      <w:r>
        <w:t>A prompt change must be evaluated on the golden set before merge. No release-gate metric may drop by more than 2 points compared with the current production version.</w:t>
      </w:r>
    </w:p>
    <w:p>
      <w:pPr>
        <w:pStyle w:val="Heading1"/>
      </w:pPr>
      <w:r>
        <w:t>5. Calling models</w:t>
      </w:r>
    </w:p>
    <w:p>
      <w:r>
        <w:t>All model calls go through the Lumora Gateway, run by the ML Platform group. The gateway enforces authentication, per-feature budgets and logging. Client code must set a timeout of 30 seconds and may retry at most 2 times with exponential backoff. Direct calls to model providers from application code are not allowed.</w:t>
      </w:r>
    </w:p>
    <w:p>
      <w:pPr>
        <w:pStyle w:val="Heading1"/>
      </w:pPr>
      <w:r>
        <w:t>6. Code review rules</w:t>
      </w:r>
    </w:p>
    <w:p>
      <w:pPr>
        <w:pStyle w:val="ListBullet"/>
      </w:pPr>
      <w:r>
        <w:t>Every pull request needs at least one approval. Changes to prompts, retrieval configuration or agent tools need two approvals, one of them from a squad tech lead.</w:t>
      </w:r>
    </w:p>
    <w:p>
      <w:pPr>
        <w:pStyle w:val="ListBullet"/>
      </w:pPr>
      <w:r>
        <w:t>Pull requests that change prompts or retrieval configuration must link the evaluation report produced by the CI evaluation job.</w:t>
      </w:r>
    </w:p>
    <w:p>
      <w:pPr>
        <w:pStyle w:val="ListBullet"/>
      </w:pPr>
      <w:r>
        <w:t>Pull requests should stay under 400 changed lines, excluding generated files and test fixtures.</w:t>
      </w:r>
    </w:p>
    <w:p>
      <w:pPr>
        <w:pStyle w:val="ListBullet"/>
      </w:pPr>
      <w:r>
        <w:t>Secrets such as API keys must never be committed; the secret scanner blocks the merge if one is detected.</w:t>
      </w:r>
    </w:p>
    <w:p>
      <w:pPr>
        <w:pStyle w:val="ListBullet"/>
      </w:pPr>
      <w:r>
        <w:t>Unit tests must not call hosted models. Use fake models and fake embedders so tests are deterministic and free.</w:t>
      </w:r>
    </w:p>
    <w:p>
      <w:pPr>
        <w:pStyle w:val="ListBullet"/>
      </w:pPr>
      <w:r>
        <w:t>Deterministic logic (parsing, scoring, formatting) is written in plain code and unit-tested; it is never delegated to a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