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rFonts w:ascii="Aptos" w:hAnsi="Aptos"/>
          <w:b/>
          <w:color w:val="A67C2E"/>
          <w:sz w:val="16"/>
        </w:rPr>
        <w:t>ENTERPRISE IMPLEMENTATION BLUEPRINT</w:t>
      </w:r>
    </w:p>
    <w:p>
      <w:pPr>
        <w:spacing w:after="160"/>
      </w:pPr>
      <w:r>
        <w:rPr>
          <w:rFonts w:ascii="Aptos Display" w:hAnsi="Aptos Display"/>
          <w:b/>
          <w:color w:val="102A4C"/>
          <w:sz w:val="54"/>
        </w:rPr>
        <w:t>Greenfield AI Governance</w:t>
        <w:br/>
        <w:t>Implementation Blueprint</w:t>
      </w:r>
    </w:p>
    <w:p>
      <w:r>
        <w:rPr>
          <w:rFonts w:ascii="Aptos" w:hAnsi="Aptos"/>
          <w:b w:val="0"/>
          <w:color w:val="5F6F7E"/>
          <w:sz w:val="24"/>
        </w:rPr>
        <w:t>An enterprise-neutral operating model for moving from executive mandate to governed production, assurance, and continuous improvement.</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498"/>
            <w:vAlign w:val="center"/>
            <w:shd w:fill="EEF2F5"/>
          </w:tcPr>
          <w:p>
            <w:pPr>
              <w:spacing w:after="40"/>
            </w:pPr>
            <w:r/>
            <w:r>
              <w:rPr>
                <w:rFonts w:ascii="Aptos" w:hAnsi="Aptos"/>
                <w:b/>
                <w:color w:val="102A4C"/>
                <w:sz w:val="18"/>
              </w:rPr>
              <w:t>10</w:t>
            </w:r>
          </w:p>
        </w:tc>
        <w:tc>
          <w:tcPr>
            <w:tcW w:type="dxa" w:w="2498"/>
            <w:vAlign w:val="center"/>
            <w:shd w:fill="EEF2F5"/>
          </w:tcPr>
          <w:p>
            <w:pPr>
              <w:spacing w:after="40"/>
            </w:pPr>
            <w:r/>
            <w:r>
              <w:rPr>
                <w:rFonts w:ascii="Aptos" w:hAnsi="Aptos"/>
                <w:b/>
                <w:color w:val="102A4C"/>
                <w:sz w:val="18"/>
              </w:rPr>
              <w:t>4</w:t>
            </w:r>
          </w:p>
        </w:tc>
        <w:tc>
          <w:tcPr>
            <w:tcW w:type="dxa" w:w="2498"/>
            <w:vAlign w:val="center"/>
            <w:shd w:fill="EEF2F5"/>
          </w:tcPr>
          <w:p>
            <w:pPr>
              <w:spacing w:after="40"/>
            </w:pPr>
            <w:r/>
            <w:r>
              <w:rPr>
                <w:rFonts w:ascii="Aptos" w:hAnsi="Aptos"/>
                <w:b/>
                <w:color w:val="102A4C"/>
                <w:sz w:val="18"/>
              </w:rPr>
              <w:t>8</w:t>
            </w:r>
          </w:p>
        </w:tc>
        <w:tc>
          <w:tcPr>
            <w:tcW w:type="dxa" w:w="2498"/>
            <w:vAlign w:val="center"/>
            <w:shd w:fill="EEF2F5"/>
          </w:tcPr>
          <w:p>
            <w:pPr>
              <w:spacing w:after="40"/>
            </w:pPr>
            <w:r/>
            <w:r>
              <w:rPr>
                <w:rFonts w:ascii="Aptos" w:hAnsi="Aptos"/>
                <w:b/>
                <w:color w:val="102A4C"/>
                <w:sz w:val="18"/>
              </w:rPr>
              <w:t>3</w:t>
            </w:r>
          </w:p>
        </w:tc>
      </w:tr>
      <w:tr>
        <w:tc>
          <w:tcPr>
            <w:tcW w:type="dxa" w:w="2498"/>
            <w:vAlign w:val="center"/>
            <w:shd w:fill="EEF2F5"/>
          </w:tcPr>
          <w:p>
            <w:pPr>
              <w:spacing w:after="40"/>
            </w:pPr>
            <w:r/>
            <w:r>
              <w:rPr>
                <w:rFonts w:ascii="Aptos" w:hAnsi="Aptos"/>
                <w:b w:val="0"/>
                <w:color w:val="5F6F7E"/>
                <w:sz w:val="18"/>
              </w:rPr>
              <w:t>implementation stages</w:t>
            </w:r>
          </w:p>
        </w:tc>
        <w:tc>
          <w:tcPr>
            <w:tcW w:type="dxa" w:w="2498"/>
            <w:vAlign w:val="center"/>
            <w:shd w:fill="EEF2F5"/>
          </w:tcPr>
          <w:p>
            <w:pPr>
              <w:spacing w:after="40"/>
            </w:pPr>
            <w:r/>
            <w:r>
              <w:rPr>
                <w:rFonts w:ascii="Aptos" w:hAnsi="Aptos"/>
                <w:b w:val="0"/>
                <w:color w:val="5F6F7E"/>
                <w:sz w:val="18"/>
              </w:rPr>
              <w:t>governance tiers</w:t>
            </w:r>
          </w:p>
        </w:tc>
        <w:tc>
          <w:tcPr>
            <w:tcW w:type="dxa" w:w="2498"/>
            <w:vAlign w:val="center"/>
            <w:shd w:fill="EEF2F5"/>
          </w:tcPr>
          <w:p>
            <w:pPr>
              <w:spacing w:after="40"/>
            </w:pPr>
            <w:r/>
            <w:r>
              <w:rPr>
                <w:rFonts w:ascii="Aptos" w:hAnsi="Aptos"/>
                <w:b w:val="0"/>
                <w:color w:val="5F6F7E"/>
                <w:sz w:val="18"/>
              </w:rPr>
              <w:t>lifecycle gates</w:t>
            </w:r>
          </w:p>
        </w:tc>
        <w:tc>
          <w:tcPr>
            <w:tcW w:type="dxa" w:w="2498"/>
            <w:vAlign w:val="center"/>
            <w:shd w:fill="EEF2F5"/>
          </w:tcPr>
          <w:p>
            <w:pPr>
              <w:spacing w:after="40"/>
            </w:pPr>
            <w:r/>
            <w:r>
              <w:rPr>
                <w:rFonts w:ascii="Aptos" w:hAnsi="Aptos"/>
                <w:b w:val="0"/>
                <w:color w:val="5F6F7E"/>
                <w:sz w:val="18"/>
              </w:rPr>
              <w:t>lines of assurance</w:t>
            </w:r>
          </w:p>
        </w:tc>
      </w:tr>
    </w:tbl>
    <w:p>
      <w:pPr>
        <w:pStyle w:val="Heading1"/>
      </w:pPr>
      <w:r>
        <w:t>How to use this blueprint</w:t>
      </w:r>
    </w:p>
    <w:p>
      <w:r>
        <w:t>Use the stages as governed workstreams, not a strictly linear project plan. Strategy and discovery establish the mandate; operating model, policy, risk and architecture convert it into controls; lifecycle, enablement and assurance make those controls repeatable. Tailor depth to risk, but retain accountable ownership and auditable decisions.</w:t>
      </w:r>
    </w:p>
    <w:p>
      <w:pPr>
        <w:pStyle w:val="Heading1"/>
      </w:pPr>
      <w:r>
        <w:t>Ratheesh Technology implementation model</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498"/>
            <w:vAlign w:val="center"/>
            <w:shd w:fill="102A4C"/>
          </w:tcPr>
          <w:p>
            <w:pPr>
              <w:spacing w:after="40"/>
            </w:pPr>
            <w:r/>
            <w:r>
              <w:rPr>
                <w:rFonts w:ascii="Aptos" w:hAnsi="Aptos"/>
                <w:b/>
                <w:color w:val="FFFFFF"/>
                <w:sz w:val="18"/>
              </w:rPr>
              <w:t>Mandate</w:t>
            </w:r>
          </w:p>
        </w:tc>
        <w:tc>
          <w:tcPr>
            <w:tcW w:type="dxa" w:w="2498"/>
            <w:vAlign w:val="center"/>
            <w:shd w:fill="102A4C"/>
          </w:tcPr>
          <w:p>
            <w:pPr>
              <w:spacing w:after="40"/>
            </w:pPr>
            <w:r/>
            <w:r>
              <w:rPr>
                <w:rFonts w:ascii="Aptos" w:hAnsi="Aptos"/>
                <w:b/>
                <w:color w:val="FFFFFF"/>
                <w:sz w:val="18"/>
              </w:rPr>
              <w:t>Mobilize</w:t>
            </w:r>
          </w:p>
        </w:tc>
        <w:tc>
          <w:tcPr>
            <w:tcW w:type="dxa" w:w="2498"/>
            <w:vAlign w:val="center"/>
            <w:shd w:fill="102A4C"/>
          </w:tcPr>
          <w:p>
            <w:pPr>
              <w:spacing w:after="40"/>
            </w:pPr>
            <w:r/>
            <w:r>
              <w:rPr>
                <w:rFonts w:ascii="Aptos" w:hAnsi="Aptos"/>
                <w:b/>
                <w:color w:val="FFFFFF"/>
                <w:sz w:val="18"/>
              </w:rPr>
              <w:t>Control</w:t>
            </w:r>
          </w:p>
        </w:tc>
        <w:tc>
          <w:tcPr>
            <w:tcW w:type="dxa" w:w="2498"/>
            <w:vAlign w:val="center"/>
            <w:shd w:fill="102A4C"/>
          </w:tcPr>
          <w:p>
            <w:pPr>
              <w:spacing w:after="40"/>
            </w:pPr>
            <w:r/>
            <w:r>
              <w:rPr>
                <w:rFonts w:ascii="Aptos" w:hAnsi="Aptos"/>
                <w:b/>
                <w:color w:val="FFFFFF"/>
                <w:sz w:val="18"/>
              </w:rPr>
              <w:t>Prove</w:t>
            </w:r>
          </w:p>
        </w:tc>
      </w:tr>
      <w:tr>
        <w:tc>
          <w:tcPr>
            <w:tcW w:type="dxa" w:w="2498"/>
            <w:vAlign w:val="center"/>
            <w:shd w:fill="FFFFFF"/>
          </w:tcPr>
          <w:p>
            <w:pPr>
              <w:spacing w:after="40"/>
            </w:pPr>
            <w:r/>
            <w:r>
              <w:rPr>
                <w:rFonts w:ascii="Aptos" w:hAnsi="Aptos"/>
                <w:b w:val="0"/>
                <w:color w:val="172D42"/>
                <w:sz w:val="18"/>
              </w:rPr>
              <w:t>Strategy and appetite</w:t>
            </w:r>
          </w:p>
        </w:tc>
        <w:tc>
          <w:tcPr>
            <w:tcW w:type="dxa" w:w="2498"/>
            <w:vAlign w:val="center"/>
            <w:shd w:fill="FFFFFF"/>
          </w:tcPr>
          <w:p>
            <w:pPr>
              <w:spacing w:after="40"/>
            </w:pPr>
            <w:r/>
            <w:r>
              <w:rPr>
                <w:rFonts w:ascii="Aptos" w:hAnsi="Aptos"/>
                <w:b w:val="0"/>
                <w:color w:val="172D42"/>
                <w:sz w:val="18"/>
              </w:rPr>
              <w:t>Inventory and baseline</w:t>
            </w:r>
          </w:p>
        </w:tc>
        <w:tc>
          <w:tcPr>
            <w:tcW w:type="dxa" w:w="2498"/>
            <w:vAlign w:val="center"/>
            <w:shd w:fill="FFFFFF"/>
          </w:tcPr>
          <w:p>
            <w:pPr>
              <w:spacing w:after="40"/>
            </w:pPr>
            <w:r/>
            <w:r>
              <w:rPr>
                <w:rFonts w:ascii="Aptos" w:hAnsi="Aptos"/>
                <w:b w:val="0"/>
                <w:color w:val="172D42"/>
                <w:sz w:val="18"/>
              </w:rPr>
              <w:t>Policy and standards</w:t>
            </w:r>
          </w:p>
        </w:tc>
        <w:tc>
          <w:tcPr>
            <w:tcW w:type="dxa" w:w="2498"/>
            <w:vAlign w:val="center"/>
            <w:shd w:fill="FFFFFF"/>
          </w:tcPr>
          <w:p>
            <w:pPr>
              <w:spacing w:after="40"/>
            </w:pPr>
            <w:r/>
            <w:r>
              <w:rPr>
                <w:rFonts w:ascii="Aptos" w:hAnsi="Aptos"/>
                <w:b w:val="0"/>
                <w:color w:val="172D42"/>
                <w:sz w:val="18"/>
              </w:rPr>
              <w:t>Monitoring and assurance</w:t>
            </w:r>
          </w:p>
        </w:tc>
      </w:tr>
      <w:tr>
        <w:tc>
          <w:tcPr>
            <w:tcW w:type="dxa" w:w="2498"/>
            <w:vAlign w:val="center"/>
            <w:shd w:fill="FFFFFF"/>
          </w:tcPr>
          <w:p>
            <w:pPr>
              <w:spacing w:after="40"/>
            </w:pPr>
            <w:r/>
            <w:r>
              <w:rPr>
                <w:rFonts w:ascii="Aptos" w:hAnsi="Aptos"/>
                <w:b w:val="0"/>
                <w:color w:val="172D42"/>
                <w:sz w:val="18"/>
              </w:rPr>
              <w:t>Executive authority</w:t>
            </w:r>
          </w:p>
        </w:tc>
        <w:tc>
          <w:tcPr>
            <w:tcW w:type="dxa" w:w="2498"/>
            <w:vAlign w:val="center"/>
            <w:shd w:fill="FFFFFF"/>
          </w:tcPr>
          <w:p>
            <w:pPr>
              <w:spacing w:after="40"/>
            </w:pPr>
            <w:r/>
            <w:r>
              <w:rPr>
                <w:rFonts w:ascii="Aptos" w:hAnsi="Aptos"/>
                <w:b w:val="0"/>
                <w:color w:val="172D42"/>
                <w:sz w:val="18"/>
              </w:rPr>
              <w:t>Operating model</w:t>
            </w:r>
          </w:p>
        </w:tc>
        <w:tc>
          <w:tcPr>
            <w:tcW w:type="dxa" w:w="2498"/>
            <w:vAlign w:val="center"/>
            <w:shd w:fill="FFFFFF"/>
          </w:tcPr>
          <w:p>
            <w:pPr>
              <w:spacing w:after="40"/>
            </w:pPr>
            <w:r/>
            <w:r>
              <w:rPr>
                <w:rFonts w:ascii="Aptos" w:hAnsi="Aptos"/>
                <w:b w:val="0"/>
                <w:color w:val="172D42"/>
                <w:sz w:val="18"/>
              </w:rPr>
              <w:t>Risk and lifecycle gates</w:t>
            </w:r>
          </w:p>
        </w:tc>
        <w:tc>
          <w:tcPr>
            <w:tcW w:type="dxa" w:w="2498"/>
            <w:vAlign w:val="center"/>
            <w:shd w:fill="FFFFFF"/>
          </w:tcPr>
          <w:p>
            <w:pPr>
              <w:spacing w:after="40"/>
            </w:pPr>
            <w:r/>
            <w:r>
              <w:rPr>
                <w:rFonts w:ascii="Aptos" w:hAnsi="Aptos"/>
                <w:b w:val="0"/>
                <w:color w:val="172D42"/>
                <w:sz w:val="18"/>
              </w:rPr>
              <w:t>Independent challenge</w:t>
            </w:r>
          </w:p>
        </w:tc>
      </w:tr>
      <w:tr>
        <w:tc>
          <w:tcPr>
            <w:tcW w:type="dxa" w:w="2498"/>
            <w:vAlign w:val="center"/>
            <w:shd w:fill="FFFFFF"/>
          </w:tcPr>
          <w:p>
            <w:pPr>
              <w:spacing w:after="40"/>
            </w:pPr>
            <w:r/>
            <w:r>
              <w:rPr>
                <w:rFonts w:ascii="Aptos" w:hAnsi="Aptos"/>
                <w:b w:val="0"/>
                <w:color w:val="172D42"/>
                <w:sz w:val="18"/>
              </w:rPr>
              <w:t>Scope and funding</w:t>
            </w:r>
          </w:p>
        </w:tc>
        <w:tc>
          <w:tcPr>
            <w:tcW w:type="dxa" w:w="2498"/>
            <w:vAlign w:val="center"/>
            <w:shd w:fill="FFFFFF"/>
          </w:tcPr>
          <w:p>
            <w:pPr>
              <w:spacing w:after="40"/>
            </w:pPr>
            <w:r/>
            <w:r>
              <w:rPr>
                <w:rFonts w:ascii="Aptos" w:hAnsi="Aptos"/>
                <w:b w:val="0"/>
                <w:color w:val="172D42"/>
                <w:sz w:val="18"/>
              </w:rPr>
              <w:t>RACI and decision rights</w:t>
            </w:r>
          </w:p>
        </w:tc>
        <w:tc>
          <w:tcPr>
            <w:tcW w:type="dxa" w:w="2498"/>
            <w:vAlign w:val="center"/>
            <w:shd w:fill="FFFFFF"/>
          </w:tcPr>
          <w:p>
            <w:pPr>
              <w:spacing w:after="40"/>
            </w:pPr>
            <w:r/>
            <w:r>
              <w:rPr>
                <w:rFonts w:ascii="Aptos" w:hAnsi="Aptos"/>
                <w:b w:val="0"/>
                <w:color w:val="172D42"/>
                <w:sz w:val="18"/>
              </w:rPr>
              <w:t>Architecture and security</w:t>
            </w:r>
          </w:p>
        </w:tc>
        <w:tc>
          <w:tcPr>
            <w:tcW w:type="dxa" w:w="2498"/>
            <w:vAlign w:val="center"/>
            <w:shd w:fill="FFFFFF"/>
          </w:tcPr>
          <w:p>
            <w:pPr>
              <w:spacing w:after="40"/>
            </w:pPr>
            <w:r/>
            <w:r>
              <w:rPr>
                <w:rFonts w:ascii="Aptos" w:hAnsi="Aptos"/>
                <w:b w:val="0"/>
                <w:color w:val="172D42"/>
                <w:sz w:val="18"/>
              </w:rPr>
              <w:t>Improvement backlog</w:t>
            </w:r>
          </w:p>
        </w:tc>
      </w:tr>
      <w:tr>
        <w:tc>
          <w:tcPr>
            <w:tcW w:type="dxa" w:w="2498"/>
            <w:vAlign w:val="center"/>
            <w:shd w:fill="FFFFFF"/>
          </w:tcPr>
          <w:p>
            <w:pPr>
              <w:spacing w:after="40"/>
            </w:pPr>
            <w:r/>
            <w:r>
              <w:rPr>
                <w:rFonts w:ascii="Aptos" w:hAnsi="Aptos"/>
                <w:b w:val="0"/>
                <w:color w:val="172D42"/>
                <w:sz w:val="18"/>
              </w:rPr>
              <w:t>Outcome: permission to act</w:t>
            </w:r>
          </w:p>
        </w:tc>
        <w:tc>
          <w:tcPr>
            <w:tcW w:type="dxa" w:w="2498"/>
            <w:vAlign w:val="center"/>
            <w:shd w:fill="FFFFFF"/>
          </w:tcPr>
          <w:p>
            <w:pPr>
              <w:spacing w:after="40"/>
            </w:pPr>
            <w:r/>
            <w:r>
              <w:rPr>
                <w:rFonts w:ascii="Aptos" w:hAnsi="Aptos"/>
                <w:b w:val="0"/>
                <w:color w:val="172D42"/>
                <w:sz w:val="18"/>
              </w:rPr>
              <w:t>Outcome: capability to govern</w:t>
            </w:r>
          </w:p>
        </w:tc>
        <w:tc>
          <w:tcPr>
            <w:tcW w:type="dxa" w:w="2498"/>
            <w:vAlign w:val="center"/>
            <w:shd w:fill="FFFFFF"/>
          </w:tcPr>
          <w:p>
            <w:pPr>
              <w:spacing w:after="40"/>
            </w:pPr>
            <w:r/>
            <w:r>
              <w:rPr>
                <w:rFonts w:ascii="Aptos" w:hAnsi="Aptos"/>
                <w:b w:val="0"/>
                <w:color w:val="172D42"/>
                <w:sz w:val="18"/>
              </w:rPr>
              <w:t>Outcome: bounded production</w:t>
            </w:r>
          </w:p>
        </w:tc>
        <w:tc>
          <w:tcPr>
            <w:tcW w:type="dxa" w:w="2498"/>
            <w:vAlign w:val="center"/>
            <w:shd w:fill="FFFFFF"/>
          </w:tcPr>
          <w:p>
            <w:pPr>
              <w:spacing w:after="40"/>
            </w:pPr>
            <w:r/>
            <w:r>
              <w:rPr>
                <w:rFonts w:ascii="Aptos" w:hAnsi="Aptos"/>
                <w:b w:val="0"/>
                <w:color w:val="172D42"/>
                <w:sz w:val="18"/>
              </w:rPr>
              <w:t>Outcome: sustained trust</w:t>
            </w:r>
          </w:p>
        </w:tc>
      </w:tr>
    </w:tbl>
    <w:p>
      <w:pPr>
        <w:pStyle w:val="Heading1"/>
      </w:pPr>
      <w:r>
        <w:t>Implementation stages</w:t>
      </w:r>
    </w:p>
    <w:p>
      <w:pPr>
        <w:pStyle w:val="Heading2"/>
      </w:pPr>
      <w:r>
        <w:t>01  Strategy, Vision &amp; Executive Mandate</w:t>
      </w:r>
    </w:p>
    <w:p>
      <w:r>
        <w:t>Establish why AI governance exists, what outcomes it protects, and which executive has authority.</w:t>
      </w:r>
    </w:p>
    <w:p>
      <w:pPr>
        <w:pStyle w:val="Heading3"/>
      </w:pPr>
      <w:r>
        <w:t>Core activities</w:t>
      </w:r>
    </w:p>
    <w:p>
      <w:pPr>
        <w:pStyle w:val="ListBullet"/>
      </w:pPr>
      <w:r>
        <w:t>Confirm enterprise AI ambition, risk appetite, regulated obligations and strategic value cases.</w:t>
      </w:r>
    </w:p>
    <w:p>
      <w:pPr>
        <w:pStyle w:val="ListBullet"/>
      </w:pPr>
      <w:r>
        <w:t>Define scope across predictive AI, generative AI, agentic systems, embedded vendor AI and intelligent automation.</w:t>
      </w:r>
    </w:p>
    <w:p>
      <w:pPr>
        <w:pStyle w:val="ListBullet"/>
      </w:pPr>
      <w:r>
        <w:t>Approve charter, funding, executive sponsor, governing authority and escalation path.</w:t>
      </w:r>
    </w:p>
    <w:tbl>
      <w:tblPr>
        <w:tblW w:type="auto" w:w="0"/>
        <w:jc w:val="center"/>
        <w:tblLayout w:type="fixed"/>
        <w:tblLook w:firstColumn="1" w:firstRow="1" w:lastColumn="0" w:lastRow="0" w:noHBand="0" w:noVBand="1" w:val="04A0"/>
      </w:tblPr>
      <w:tblGrid>
        <w:gridCol w:w="4997"/>
        <w:gridCol w:w="4997"/>
      </w:tblGrid>
      <w:tr>
        <w:tc>
          <w:tcPr>
            <w:tcW w:type="dxa" w:w="4997"/>
            <w:vAlign w:val="center"/>
            <w:shd w:fill="102A4C"/>
          </w:tcPr>
          <w:p>
            <w:pPr>
              <w:spacing w:after="40"/>
            </w:pPr>
            <w:r/>
            <w:r>
              <w:rPr>
                <w:rFonts w:ascii="Aptos" w:hAnsi="Aptos"/>
                <w:b/>
                <w:color w:val="FFFFFF"/>
                <w:sz w:val="18"/>
              </w:rPr>
              <w:t>Deliverables</w:t>
            </w:r>
          </w:p>
        </w:tc>
        <w:tc>
          <w:tcPr>
            <w:tcW w:type="dxa" w:w="4997"/>
            <w:vAlign w:val="center"/>
            <w:shd w:fill="EEF2F5"/>
          </w:tcPr>
          <w:p>
            <w:pPr>
              <w:spacing w:after="40"/>
            </w:pPr>
            <w:r/>
            <w:r>
              <w:rPr>
                <w:rFonts w:ascii="Aptos" w:hAnsi="Aptos"/>
                <w:b w:val="0"/>
                <w:color w:val="172D42"/>
                <w:sz w:val="18"/>
              </w:rPr>
              <w:t>AI governance charter; AI strategy and principles; Executive decision record; Stakeholder map</w:t>
            </w:r>
          </w:p>
        </w:tc>
      </w:tr>
      <w:tr>
        <w:tc>
          <w:tcPr>
            <w:tcW w:type="dxa" w:w="4997"/>
            <w:vAlign w:val="center"/>
            <w:shd w:fill="EEF2F5"/>
          </w:tcPr>
          <w:p>
            <w:pPr>
              <w:spacing w:after="40"/>
            </w:pPr>
            <w:r/>
            <w:r>
              <w:rPr>
                <w:rFonts w:ascii="Aptos" w:hAnsi="Aptos"/>
                <w:b/>
                <w:color w:val="102A4C"/>
                <w:sz w:val="18"/>
              </w:rPr>
              <w:t>Exit criterion</w:t>
            </w:r>
          </w:p>
        </w:tc>
        <w:tc>
          <w:tcPr>
            <w:tcW w:type="dxa" w:w="4997"/>
            <w:vAlign w:val="center"/>
          </w:tcPr>
          <w:p>
            <w:pPr>
              <w:spacing w:after="40"/>
            </w:pPr>
            <w:r/>
            <w:r>
              <w:rPr>
                <w:rFonts w:ascii="Aptos" w:hAnsi="Aptos"/>
                <w:b w:val="0"/>
                <w:color w:val="172D42"/>
                <w:sz w:val="18"/>
              </w:rPr>
              <w:t>Mandate approved; accountable executive, scope, funding and decision authority are explicit.</w:t>
            </w:r>
          </w:p>
        </w:tc>
      </w:tr>
      <w:tr>
        <w:tc>
          <w:tcPr>
            <w:tcW w:type="dxa" w:w="4997"/>
            <w:vAlign w:val="center"/>
            <w:shd w:fill="EEF2F5"/>
          </w:tcPr>
          <w:p>
            <w:pPr>
              <w:spacing w:after="40"/>
            </w:pPr>
            <w:r/>
            <w:r>
              <w:rPr>
                <w:rFonts w:ascii="Aptos" w:hAnsi="Aptos"/>
                <w:b/>
                <w:color w:val="102A4C"/>
                <w:sz w:val="18"/>
              </w:rPr>
              <w:t>Portal models</w:t>
            </w:r>
          </w:p>
        </w:tc>
        <w:tc>
          <w:tcPr>
            <w:tcW w:type="dxa" w:w="4997"/>
            <w:vAlign w:val="center"/>
          </w:tcPr>
          <w:p>
            <w:pPr>
              <w:spacing w:after="40"/>
            </w:pPr>
            <w:r/>
            <w:r>
              <w:rPr>
                <w:rFonts w:ascii="Aptos" w:hAnsi="Aptos"/>
                <w:b w:val="0"/>
                <w:color w:val="172D42"/>
                <w:sz w:val="18"/>
              </w:rPr>
              <w:t>AI Governance</w:t>
            </w:r>
          </w:p>
        </w:tc>
      </w:tr>
    </w:tbl>
    <w:p>
      <w:pPr>
        <w:pStyle w:val="Heading2"/>
      </w:pPr>
      <w:r>
        <w:t>02  Current-State Discovery &amp; Maturity Baseline</w:t>
      </w:r>
    </w:p>
    <w:p>
      <w:r>
        <w:t>Build an evidence-backed view of AI usage, exposure, capabilities and control gaps.</w:t>
      </w:r>
    </w:p>
    <w:p>
      <w:pPr>
        <w:pStyle w:val="Heading3"/>
      </w:pPr>
      <w:r>
        <w:t>Core activities</w:t>
      </w:r>
    </w:p>
    <w:p>
      <w:pPr>
        <w:pStyle w:val="ListBullet"/>
      </w:pPr>
      <w:r>
        <w:t>Discover sanctioned and unsanctioned AI systems, models, agents, vendors, data flows and automations.</w:t>
      </w:r>
    </w:p>
    <w:p>
      <w:pPr>
        <w:pStyle w:val="ListBullet"/>
      </w:pPr>
      <w:r>
        <w:t>Assess governance, risk, security, privacy, architecture, data, model operations and adoption maturity.</w:t>
      </w:r>
    </w:p>
    <w:p>
      <w:pPr>
        <w:pStyle w:val="ListBullet"/>
      </w:pPr>
      <w:r>
        <w:t>Prioritize gaps by business impact, regulatory exposure, autonomy and recoverability.</w:t>
      </w:r>
    </w:p>
    <w:tbl>
      <w:tblPr>
        <w:tblW w:type="auto" w:w="0"/>
        <w:jc w:val="center"/>
        <w:tblLayout w:type="fixed"/>
        <w:tblLook w:firstColumn="1" w:firstRow="1" w:lastColumn="0" w:lastRow="0" w:noHBand="0" w:noVBand="1" w:val="04A0"/>
      </w:tblPr>
      <w:tblGrid>
        <w:gridCol w:w="4997"/>
        <w:gridCol w:w="4997"/>
      </w:tblGrid>
      <w:tr>
        <w:tc>
          <w:tcPr>
            <w:tcW w:type="dxa" w:w="4997"/>
            <w:vAlign w:val="center"/>
            <w:shd w:fill="102A4C"/>
          </w:tcPr>
          <w:p>
            <w:pPr>
              <w:spacing w:after="40"/>
            </w:pPr>
            <w:r/>
            <w:r>
              <w:rPr>
                <w:rFonts w:ascii="Aptos" w:hAnsi="Aptos"/>
                <w:b/>
                <w:color w:val="FFFFFF"/>
                <w:sz w:val="18"/>
              </w:rPr>
              <w:t>Deliverables</w:t>
            </w:r>
          </w:p>
        </w:tc>
        <w:tc>
          <w:tcPr>
            <w:tcW w:type="dxa" w:w="4997"/>
            <w:vAlign w:val="center"/>
            <w:shd w:fill="EEF2F5"/>
          </w:tcPr>
          <w:p>
            <w:pPr>
              <w:spacing w:after="40"/>
            </w:pPr>
            <w:r/>
            <w:r>
              <w:rPr>
                <w:rFonts w:ascii="Aptos" w:hAnsi="Aptos"/>
                <w:b w:val="0"/>
                <w:color w:val="172D42"/>
                <w:sz w:val="18"/>
              </w:rPr>
              <w:t>AI inventory; Maturity assessment; Gap and dependency register; Prioritized remediation backlog</w:t>
            </w:r>
          </w:p>
        </w:tc>
      </w:tr>
      <w:tr>
        <w:tc>
          <w:tcPr>
            <w:tcW w:type="dxa" w:w="4997"/>
            <w:vAlign w:val="center"/>
            <w:shd w:fill="EEF2F5"/>
          </w:tcPr>
          <w:p>
            <w:pPr>
              <w:spacing w:after="40"/>
            </w:pPr>
            <w:r/>
            <w:r>
              <w:rPr>
                <w:rFonts w:ascii="Aptos" w:hAnsi="Aptos"/>
                <w:b/>
                <w:color w:val="102A4C"/>
                <w:sz w:val="18"/>
              </w:rPr>
              <w:t>Exit criterion</w:t>
            </w:r>
          </w:p>
        </w:tc>
        <w:tc>
          <w:tcPr>
            <w:tcW w:type="dxa" w:w="4997"/>
            <w:vAlign w:val="center"/>
          </w:tcPr>
          <w:p>
            <w:pPr>
              <w:spacing w:after="40"/>
            </w:pPr>
            <w:r/>
            <w:r>
              <w:rPr>
                <w:rFonts w:ascii="Aptos" w:hAnsi="Aptos"/>
                <w:b w:val="0"/>
                <w:color w:val="172D42"/>
                <w:sz w:val="18"/>
              </w:rPr>
              <w:t>Inventory owners validate coverage; material unknowns and immediate containment actions are recorded.</w:t>
            </w:r>
          </w:p>
        </w:tc>
      </w:tr>
      <w:tr>
        <w:tc>
          <w:tcPr>
            <w:tcW w:type="dxa" w:w="4997"/>
            <w:vAlign w:val="center"/>
            <w:shd w:fill="EEF2F5"/>
          </w:tcPr>
          <w:p>
            <w:pPr>
              <w:spacing w:after="40"/>
            </w:pPr>
            <w:r/>
            <w:r>
              <w:rPr>
                <w:rFonts w:ascii="Aptos" w:hAnsi="Aptos"/>
                <w:b/>
                <w:color w:val="102A4C"/>
                <w:sz w:val="18"/>
              </w:rPr>
              <w:t>Portal models</w:t>
            </w:r>
          </w:p>
        </w:tc>
        <w:tc>
          <w:tcPr>
            <w:tcW w:type="dxa" w:w="4997"/>
            <w:vAlign w:val="center"/>
          </w:tcPr>
          <w:p>
            <w:pPr>
              <w:spacing w:after="40"/>
            </w:pPr>
            <w:r/>
            <w:r>
              <w:rPr>
                <w:rFonts w:ascii="Aptos" w:hAnsi="Aptos"/>
                <w:b w:val="0"/>
                <w:color w:val="172D42"/>
                <w:sz w:val="18"/>
              </w:rPr>
              <w:t>AI Governance and Resources</w:t>
            </w:r>
          </w:p>
        </w:tc>
      </w:tr>
    </w:tbl>
    <w:p>
      <w:pPr>
        <w:pStyle w:val="Heading2"/>
      </w:pPr>
      <w:r>
        <w:t>03  Governance Operating Model</w:t>
      </w:r>
    </w:p>
    <w:p>
      <w:r>
        <w:t>Create a four-tier model that connects enterprise authority to delivery controls.</w:t>
      </w:r>
    </w:p>
    <w:p>
      <w:pPr>
        <w:pStyle w:val="Heading3"/>
      </w:pPr>
      <w:r>
        <w:t>Core activities</w:t>
      </w:r>
    </w:p>
    <w:p>
      <w:pPr>
        <w:pStyle w:val="ListBullet"/>
      </w:pPr>
      <w:r>
        <w:t>Tier 1: Board and executive oversight for appetite, accountability and material risk.</w:t>
      </w:r>
    </w:p>
    <w:p>
      <w:pPr>
        <w:pStyle w:val="ListBullet"/>
      </w:pPr>
      <w:r>
        <w:t>Tier 2: AI Steering Committee or Centre of Excellence for standards, portfolio decisions and exceptions.</w:t>
      </w:r>
    </w:p>
    <w:p>
      <w:pPr>
        <w:pStyle w:val="ListBullet"/>
      </w:pPr>
      <w:r>
        <w:t>Tier 3: Domain governance for business ownership, risk acceptance and operational performance.</w:t>
      </w:r>
    </w:p>
    <w:p>
      <w:pPr>
        <w:pStyle w:val="ListBullet"/>
      </w:pPr>
      <w:r>
        <w:t>Tier 4: Delivery teams for lifecycle evidence, testing, monitoring and incident response.</w:t>
      </w:r>
    </w:p>
    <w:tbl>
      <w:tblPr>
        <w:tblW w:type="auto" w:w="0"/>
        <w:jc w:val="center"/>
        <w:tblLayout w:type="fixed"/>
        <w:tblLook w:firstColumn="1" w:firstRow="1" w:lastColumn="0" w:lastRow="0" w:noHBand="0" w:noVBand="1" w:val="04A0"/>
      </w:tblPr>
      <w:tblGrid>
        <w:gridCol w:w="4997"/>
        <w:gridCol w:w="4997"/>
      </w:tblGrid>
      <w:tr>
        <w:tc>
          <w:tcPr>
            <w:tcW w:type="dxa" w:w="4997"/>
            <w:vAlign w:val="center"/>
            <w:shd w:fill="102A4C"/>
          </w:tcPr>
          <w:p>
            <w:pPr>
              <w:spacing w:after="40"/>
            </w:pPr>
            <w:r/>
            <w:r>
              <w:rPr>
                <w:rFonts w:ascii="Aptos" w:hAnsi="Aptos"/>
                <w:b/>
                <w:color w:val="FFFFFF"/>
                <w:sz w:val="18"/>
              </w:rPr>
              <w:t>Deliverables</w:t>
            </w:r>
          </w:p>
        </w:tc>
        <w:tc>
          <w:tcPr>
            <w:tcW w:type="dxa" w:w="4997"/>
            <w:vAlign w:val="center"/>
            <w:shd w:fill="EEF2F5"/>
          </w:tcPr>
          <w:p>
            <w:pPr>
              <w:spacing w:after="40"/>
            </w:pPr>
            <w:r/>
            <w:r>
              <w:rPr>
                <w:rFonts w:ascii="Aptos" w:hAnsi="Aptos"/>
                <w:b w:val="0"/>
                <w:color w:val="172D42"/>
                <w:sz w:val="18"/>
              </w:rPr>
              <w:t>Operating model; Committee terms of reference; Decision calendar; Escalation model</w:t>
            </w:r>
          </w:p>
        </w:tc>
      </w:tr>
      <w:tr>
        <w:tc>
          <w:tcPr>
            <w:tcW w:type="dxa" w:w="4997"/>
            <w:vAlign w:val="center"/>
            <w:shd w:fill="EEF2F5"/>
          </w:tcPr>
          <w:p>
            <w:pPr>
              <w:spacing w:after="40"/>
            </w:pPr>
            <w:r/>
            <w:r>
              <w:rPr>
                <w:rFonts w:ascii="Aptos" w:hAnsi="Aptos"/>
                <w:b/>
                <w:color w:val="102A4C"/>
                <w:sz w:val="18"/>
              </w:rPr>
              <w:t>Exit criterion</w:t>
            </w:r>
          </w:p>
        </w:tc>
        <w:tc>
          <w:tcPr>
            <w:tcW w:type="dxa" w:w="4997"/>
            <w:vAlign w:val="center"/>
          </w:tcPr>
          <w:p>
            <w:pPr>
              <w:spacing w:after="40"/>
            </w:pPr>
            <w:r/>
            <w:r>
              <w:rPr>
                <w:rFonts w:ascii="Aptos" w:hAnsi="Aptos"/>
                <w:b w:val="0"/>
                <w:color w:val="172D42"/>
                <w:sz w:val="18"/>
              </w:rPr>
              <w:t>Every recurring governance decision has a forum, quorum, cadence, inputs, owner and record.</w:t>
            </w:r>
          </w:p>
        </w:tc>
      </w:tr>
      <w:tr>
        <w:tc>
          <w:tcPr>
            <w:tcW w:type="dxa" w:w="4997"/>
            <w:vAlign w:val="center"/>
            <w:shd w:fill="EEF2F5"/>
          </w:tcPr>
          <w:p>
            <w:pPr>
              <w:spacing w:after="40"/>
            </w:pPr>
            <w:r/>
            <w:r>
              <w:rPr>
                <w:rFonts w:ascii="Aptos" w:hAnsi="Aptos"/>
                <w:b/>
                <w:color w:val="102A4C"/>
                <w:sz w:val="18"/>
              </w:rPr>
              <w:t>Portal models</w:t>
            </w:r>
          </w:p>
        </w:tc>
        <w:tc>
          <w:tcPr>
            <w:tcW w:type="dxa" w:w="4997"/>
            <w:vAlign w:val="center"/>
          </w:tcPr>
          <w:p>
            <w:pPr>
              <w:spacing w:after="40"/>
            </w:pPr>
            <w:r/>
            <w:r>
              <w:rPr>
                <w:rFonts w:ascii="Aptos" w:hAnsi="Aptos"/>
                <w:b w:val="0"/>
                <w:color w:val="172D42"/>
                <w:sz w:val="18"/>
              </w:rPr>
              <w:t>AI Governance</w:t>
            </w:r>
          </w:p>
        </w:tc>
      </w:tr>
    </w:tbl>
    <w:p>
      <w:pPr>
        <w:pStyle w:val="Heading2"/>
      </w:pPr>
      <w:r>
        <w:t>04  Accountability, RACI &amp; Decision Rights</w:t>
      </w:r>
    </w:p>
    <w:p>
      <w:r>
        <w:t>Make accountability unambiguous at each lifecycle gate and during incidents.</w:t>
      </w:r>
    </w:p>
    <w:p>
      <w:pPr>
        <w:pStyle w:val="Heading3"/>
      </w:pPr>
      <w:r>
        <w:t>Core activities</w:t>
      </w:r>
    </w:p>
    <w:p>
      <w:pPr>
        <w:pStyle w:val="ListBullet"/>
      </w:pPr>
      <w:r>
        <w:t>Assign accountable business, model, data, technology, risk, security, privacy and vendor owners.</w:t>
      </w:r>
    </w:p>
    <w:p>
      <w:pPr>
        <w:pStyle w:val="ListBullet"/>
      </w:pPr>
      <w:r>
        <w:t>Map approval, challenge, consultation, notification and execution rights to lifecycle decisions.</w:t>
      </w:r>
    </w:p>
    <w:p>
      <w:pPr>
        <w:pStyle w:val="ListBullet"/>
      </w:pPr>
      <w:r>
        <w:t>Define conflict resolution, delegated authority, exception approval and emergency authority.</w:t>
      </w:r>
    </w:p>
    <w:tbl>
      <w:tblPr>
        <w:tblW w:type="auto" w:w="0"/>
        <w:jc w:val="center"/>
        <w:tblLayout w:type="fixed"/>
        <w:tblLook w:firstColumn="1" w:firstRow="1" w:lastColumn="0" w:lastRow="0" w:noHBand="0" w:noVBand="1" w:val="04A0"/>
      </w:tblPr>
      <w:tblGrid>
        <w:gridCol w:w="4997"/>
        <w:gridCol w:w="4997"/>
      </w:tblGrid>
      <w:tr>
        <w:tc>
          <w:tcPr>
            <w:tcW w:type="dxa" w:w="4997"/>
            <w:vAlign w:val="center"/>
            <w:shd w:fill="102A4C"/>
          </w:tcPr>
          <w:p>
            <w:pPr>
              <w:spacing w:after="40"/>
            </w:pPr>
            <w:r/>
            <w:r>
              <w:rPr>
                <w:rFonts w:ascii="Aptos" w:hAnsi="Aptos"/>
                <w:b/>
                <w:color w:val="FFFFFF"/>
                <w:sz w:val="18"/>
              </w:rPr>
              <w:t>Deliverables</w:t>
            </w:r>
          </w:p>
        </w:tc>
        <w:tc>
          <w:tcPr>
            <w:tcW w:type="dxa" w:w="4997"/>
            <w:vAlign w:val="center"/>
            <w:shd w:fill="EEF2F5"/>
          </w:tcPr>
          <w:p>
            <w:pPr>
              <w:spacing w:after="40"/>
            </w:pPr>
            <w:r/>
            <w:r>
              <w:rPr>
                <w:rFonts w:ascii="Aptos" w:hAnsi="Aptos"/>
                <w:b w:val="0"/>
                <w:color w:val="172D42"/>
                <w:sz w:val="18"/>
              </w:rPr>
              <w:t>Enterprise RACI; Decision-rights matrix; Role descriptions; Escalation map</w:t>
            </w:r>
          </w:p>
        </w:tc>
      </w:tr>
      <w:tr>
        <w:tc>
          <w:tcPr>
            <w:tcW w:type="dxa" w:w="4997"/>
            <w:vAlign w:val="center"/>
            <w:shd w:fill="EEF2F5"/>
          </w:tcPr>
          <w:p>
            <w:pPr>
              <w:spacing w:after="40"/>
            </w:pPr>
            <w:r/>
            <w:r>
              <w:rPr>
                <w:rFonts w:ascii="Aptos" w:hAnsi="Aptos"/>
                <w:b/>
                <w:color w:val="102A4C"/>
                <w:sz w:val="18"/>
              </w:rPr>
              <w:t>Exit criterion</w:t>
            </w:r>
          </w:p>
        </w:tc>
        <w:tc>
          <w:tcPr>
            <w:tcW w:type="dxa" w:w="4997"/>
            <w:vAlign w:val="center"/>
          </w:tcPr>
          <w:p>
            <w:pPr>
              <w:spacing w:after="40"/>
            </w:pPr>
            <w:r/>
            <w:r>
              <w:rPr>
                <w:rFonts w:ascii="Aptos" w:hAnsi="Aptos"/>
                <w:b w:val="0"/>
                <w:color w:val="172D42"/>
                <w:sz w:val="18"/>
              </w:rPr>
              <w:t>No material decision has multiple accountable owners or an undefined risk-acceptance authority.</w:t>
            </w:r>
          </w:p>
        </w:tc>
      </w:tr>
      <w:tr>
        <w:tc>
          <w:tcPr>
            <w:tcW w:type="dxa" w:w="4997"/>
            <w:vAlign w:val="center"/>
            <w:shd w:fill="EEF2F5"/>
          </w:tcPr>
          <w:p>
            <w:pPr>
              <w:spacing w:after="40"/>
            </w:pPr>
            <w:r/>
            <w:r>
              <w:rPr>
                <w:rFonts w:ascii="Aptos" w:hAnsi="Aptos"/>
                <w:b/>
                <w:color w:val="102A4C"/>
                <w:sz w:val="18"/>
              </w:rPr>
              <w:t>Portal models</w:t>
            </w:r>
          </w:p>
        </w:tc>
        <w:tc>
          <w:tcPr>
            <w:tcW w:type="dxa" w:w="4997"/>
            <w:vAlign w:val="center"/>
          </w:tcPr>
          <w:p>
            <w:pPr>
              <w:spacing w:after="40"/>
            </w:pPr>
            <w:r/>
            <w:r>
              <w:rPr>
                <w:rFonts w:ascii="Aptos" w:hAnsi="Aptos"/>
                <w:b w:val="0"/>
                <w:color w:val="172D42"/>
                <w:sz w:val="18"/>
              </w:rPr>
              <w:t>AI Governance</w:t>
            </w:r>
          </w:p>
        </w:tc>
      </w:tr>
    </w:tbl>
    <w:p>
      <w:pPr>
        <w:pStyle w:val="Heading2"/>
      </w:pPr>
      <w:r>
        <w:t>05  Policy, Standards &amp; Control Framework</w:t>
      </w:r>
    </w:p>
    <w:p>
      <w:r>
        <w:t>Translate principles and obligations into testable controls with evidence requirements.</w:t>
      </w:r>
    </w:p>
    <w:p>
      <w:pPr>
        <w:pStyle w:val="Heading3"/>
      </w:pPr>
      <w:r>
        <w:t>Core activities</w:t>
      </w:r>
    </w:p>
    <w:p>
      <w:pPr>
        <w:pStyle w:val="ListBullet"/>
      </w:pPr>
      <w:r>
        <w:t>Set acceptable-use, prohibited-use, transparency, human-oversight and third-party requirements.</w:t>
      </w:r>
    </w:p>
    <w:p>
      <w:pPr>
        <w:pStyle w:val="ListBullet"/>
      </w:pPr>
      <w:r>
        <w:t>Define control objectives across fairness, explainability, privacy, security, data, reliability and monitoring.</w:t>
      </w:r>
    </w:p>
    <w:p>
      <w:pPr>
        <w:pStyle w:val="ListBullet"/>
      </w:pPr>
      <w:r>
        <w:t>Map controls to NIST AI RMF, ISO/IEC 42001, COBIT, Three Lines, DAMA, model risk and IT service management.</w:t>
      </w:r>
    </w:p>
    <w:tbl>
      <w:tblPr>
        <w:tblW w:type="auto" w:w="0"/>
        <w:jc w:val="center"/>
        <w:tblLayout w:type="fixed"/>
        <w:tblLook w:firstColumn="1" w:firstRow="1" w:lastColumn="0" w:lastRow="0" w:noHBand="0" w:noVBand="1" w:val="04A0"/>
      </w:tblPr>
      <w:tblGrid>
        <w:gridCol w:w="4997"/>
        <w:gridCol w:w="4997"/>
      </w:tblGrid>
      <w:tr>
        <w:tc>
          <w:tcPr>
            <w:tcW w:type="dxa" w:w="4997"/>
            <w:vAlign w:val="center"/>
            <w:shd w:fill="102A4C"/>
          </w:tcPr>
          <w:p>
            <w:pPr>
              <w:spacing w:after="40"/>
            </w:pPr>
            <w:r/>
            <w:r>
              <w:rPr>
                <w:rFonts w:ascii="Aptos" w:hAnsi="Aptos"/>
                <w:b/>
                <w:color w:val="FFFFFF"/>
                <w:sz w:val="18"/>
              </w:rPr>
              <w:t>Deliverables</w:t>
            </w:r>
          </w:p>
        </w:tc>
        <w:tc>
          <w:tcPr>
            <w:tcW w:type="dxa" w:w="4997"/>
            <w:vAlign w:val="center"/>
            <w:shd w:fill="EEF2F5"/>
          </w:tcPr>
          <w:p>
            <w:pPr>
              <w:spacing w:after="40"/>
            </w:pPr>
            <w:r/>
            <w:r>
              <w:rPr>
                <w:rFonts w:ascii="Aptos" w:hAnsi="Aptos"/>
                <w:b w:val="0"/>
                <w:color w:val="172D42"/>
                <w:sz w:val="18"/>
              </w:rPr>
              <w:t>AI governance policy; Standards pack; Control catalogue; Framework mapping</w:t>
            </w:r>
          </w:p>
        </w:tc>
      </w:tr>
      <w:tr>
        <w:tc>
          <w:tcPr>
            <w:tcW w:type="dxa" w:w="4997"/>
            <w:vAlign w:val="center"/>
            <w:shd w:fill="EEF2F5"/>
          </w:tcPr>
          <w:p>
            <w:pPr>
              <w:spacing w:after="40"/>
            </w:pPr>
            <w:r/>
            <w:r>
              <w:rPr>
                <w:rFonts w:ascii="Aptos" w:hAnsi="Aptos"/>
                <w:b/>
                <w:color w:val="102A4C"/>
                <w:sz w:val="18"/>
              </w:rPr>
              <w:t>Exit criterion</w:t>
            </w:r>
          </w:p>
        </w:tc>
        <w:tc>
          <w:tcPr>
            <w:tcW w:type="dxa" w:w="4997"/>
            <w:vAlign w:val="center"/>
          </w:tcPr>
          <w:p>
            <w:pPr>
              <w:spacing w:after="40"/>
            </w:pPr>
            <w:r/>
            <w:r>
              <w:rPr>
                <w:rFonts w:ascii="Aptos" w:hAnsi="Aptos"/>
                <w:b w:val="0"/>
                <w:color w:val="172D42"/>
                <w:sz w:val="18"/>
              </w:rPr>
              <w:t>Each control has an owner, trigger, frequency, evidence, test method, exception route and review date.</w:t>
            </w:r>
          </w:p>
        </w:tc>
      </w:tr>
      <w:tr>
        <w:tc>
          <w:tcPr>
            <w:tcW w:type="dxa" w:w="4997"/>
            <w:vAlign w:val="center"/>
            <w:shd w:fill="EEF2F5"/>
          </w:tcPr>
          <w:p>
            <w:pPr>
              <w:spacing w:after="40"/>
            </w:pPr>
            <w:r/>
            <w:r>
              <w:rPr>
                <w:rFonts w:ascii="Aptos" w:hAnsi="Aptos"/>
                <w:b/>
                <w:color w:val="102A4C"/>
                <w:sz w:val="18"/>
              </w:rPr>
              <w:t>Portal models</w:t>
            </w:r>
          </w:p>
        </w:tc>
        <w:tc>
          <w:tcPr>
            <w:tcW w:type="dxa" w:w="4997"/>
            <w:vAlign w:val="center"/>
          </w:tcPr>
          <w:p>
            <w:pPr>
              <w:spacing w:after="40"/>
            </w:pPr>
            <w:r/>
            <w:r>
              <w:rPr>
                <w:rFonts w:ascii="Aptos" w:hAnsi="Aptos"/>
                <w:b w:val="0"/>
                <w:color w:val="172D42"/>
                <w:sz w:val="18"/>
              </w:rPr>
              <w:t>Governance, Compliance &amp; Oversight</w:t>
            </w:r>
          </w:p>
        </w:tc>
      </w:tr>
    </w:tbl>
    <w:p>
      <w:pPr>
        <w:pStyle w:val="Heading2"/>
      </w:pPr>
      <w:r>
        <w:t>06  Lifecycle Governance &amp; Operating Processes</w:t>
      </w:r>
    </w:p>
    <w:p>
      <w:r>
        <w:t>Embed governance from intake through retirement so control occurs before exposure.</w:t>
      </w:r>
    </w:p>
    <w:p>
      <w:pPr>
        <w:pStyle w:val="Heading3"/>
      </w:pPr>
      <w:r>
        <w:t>Core activities</w:t>
      </w:r>
    </w:p>
    <w:p>
      <w:pPr>
        <w:pStyle w:val="ListBullet"/>
      </w:pPr>
      <w:r>
        <w:t>Use eight gates: intake, assess, design, develop, validate, deploy, monitor and retire.</w:t>
      </w:r>
    </w:p>
    <w:p>
      <w:pPr>
        <w:pStyle w:val="ListBullet"/>
      </w:pPr>
      <w:r>
        <w:t>Apply proportional evidence based on risk tier, autonomy, affected stakeholders and reversibility.</w:t>
      </w:r>
    </w:p>
    <w:p>
      <w:pPr>
        <w:pStyle w:val="ListBullet"/>
      </w:pPr>
      <w:r>
        <w:t>Record approvals, conditions, exceptions and residual risk at each decision gate.</w:t>
      </w:r>
    </w:p>
    <w:tbl>
      <w:tblPr>
        <w:tblW w:type="auto" w:w="0"/>
        <w:jc w:val="center"/>
        <w:tblLayout w:type="fixed"/>
        <w:tblLook w:firstColumn="1" w:firstRow="1" w:lastColumn="0" w:lastRow="0" w:noHBand="0" w:noVBand="1" w:val="04A0"/>
      </w:tblPr>
      <w:tblGrid>
        <w:gridCol w:w="4997"/>
        <w:gridCol w:w="4997"/>
      </w:tblGrid>
      <w:tr>
        <w:tc>
          <w:tcPr>
            <w:tcW w:type="dxa" w:w="4997"/>
            <w:vAlign w:val="center"/>
            <w:shd w:fill="102A4C"/>
          </w:tcPr>
          <w:p>
            <w:pPr>
              <w:spacing w:after="40"/>
            </w:pPr>
            <w:r/>
            <w:r>
              <w:rPr>
                <w:rFonts w:ascii="Aptos" w:hAnsi="Aptos"/>
                <w:b/>
                <w:color w:val="FFFFFF"/>
                <w:sz w:val="18"/>
              </w:rPr>
              <w:t>Deliverables</w:t>
            </w:r>
          </w:p>
        </w:tc>
        <w:tc>
          <w:tcPr>
            <w:tcW w:type="dxa" w:w="4997"/>
            <w:vAlign w:val="center"/>
            <w:shd w:fill="EEF2F5"/>
          </w:tcPr>
          <w:p>
            <w:pPr>
              <w:spacing w:after="40"/>
            </w:pPr>
            <w:r/>
            <w:r>
              <w:rPr>
                <w:rFonts w:ascii="Aptos" w:hAnsi="Aptos"/>
                <w:b w:val="0"/>
                <w:color w:val="172D42"/>
                <w:sz w:val="18"/>
              </w:rPr>
              <w:t>Lifecycle playbook; Intake and risk forms; Architecture review; Model card; Validation report; Approval and retirement records</w:t>
            </w:r>
          </w:p>
        </w:tc>
      </w:tr>
      <w:tr>
        <w:tc>
          <w:tcPr>
            <w:tcW w:type="dxa" w:w="4997"/>
            <w:vAlign w:val="center"/>
            <w:shd w:fill="EEF2F5"/>
          </w:tcPr>
          <w:p>
            <w:pPr>
              <w:spacing w:after="40"/>
            </w:pPr>
            <w:r/>
            <w:r>
              <w:rPr>
                <w:rFonts w:ascii="Aptos" w:hAnsi="Aptos"/>
                <w:b/>
                <w:color w:val="102A4C"/>
                <w:sz w:val="18"/>
              </w:rPr>
              <w:t>Exit criterion</w:t>
            </w:r>
          </w:p>
        </w:tc>
        <w:tc>
          <w:tcPr>
            <w:tcW w:type="dxa" w:w="4997"/>
            <w:vAlign w:val="center"/>
          </w:tcPr>
          <w:p>
            <w:pPr>
              <w:spacing w:after="40"/>
            </w:pPr>
            <w:r/>
            <w:r>
              <w:rPr>
                <w:rFonts w:ascii="Aptos" w:hAnsi="Aptos"/>
                <w:b w:val="0"/>
                <w:color w:val="172D42"/>
                <w:sz w:val="18"/>
              </w:rPr>
              <w:t>A system cannot progress without required evidence and an auditable gate decision.</w:t>
            </w:r>
          </w:p>
        </w:tc>
      </w:tr>
      <w:tr>
        <w:tc>
          <w:tcPr>
            <w:tcW w:type="dxa" w:w="4997"/>
            <w:vAlign w:val="center"/>
            <w:shd w:fill="EEF2F5"/>
          </w:tcPr>
          <w:p>
            <w:pPr>
              <w:spacing w:after="40"/>
            </w:pPr>
            <w:r/>
            <w:r>
              <w:rPr>
                <w:rFonts w:ascii="Aptos" w:hAnsi="Aptos"/>
                <w:b/>
                <w:color w:val="102A4C"/>
                <w:sz w:val="18"/>
              </w:rPr>
              <w:t>Portal models</w:t>
            </w:r>
          </w:p>
        </w:tc>
        <w:tc>
          <w:tcPr>
            <w:tcW w:type="dxa" w:w="4997"/>
            <w:vAlign w:val="center"/>
          </w:tcPr>
          <w:p>
            <w:pPr>
              <w:spacing w:after="40"/>
            </w:pPr>
            <w:r/>
            <w:r>
              <w:rPr>
                <w:rFonts w:ascii="Aptos" w:hAnsi="Aptos"/>
                <w:b w:val="0"/>
                <w:color w:val="172D42"/>
                <w:sz w:val="18"/>
              </w:rPr>
              <w:t>AI Architecture and Agentic AI Governance</w:t>
            </w:r>
          </w:p>
        </w:tc>
      </w:tr>
    </w:tbl>
    <w:p>
      <w:pPr>
        <w:pStyle w:val="Heading2"/>
      </w:pPr>
      <w:r>
        <w:t>07  AI Risk Management Framework</w:t>
      </w:r>
    </w:p>
    <w:p>
      <w:r>
        <w:t>Apply proportional governance to operational, behavioural, data, privacy, security and third-party risk.</w:t>
      </w:r>
    </w:p>
    <w:p>
      <w:pPr>
        <w:pStyle w:val="Heading3"/>
      </w:pPr>
      <w:r>
        <w:t>Core activities</w:t>
      </w:r>
    </w:p>
    <w:p>
      <w:pPr>
        <w:pStyle w:val="ListBullet"/>
      </w:pPr>
      <w:r>
        <w:t>Define taxonomy, inherent risk, control effectiveness, residual risk and acceptance thresholds.</w:t>
      </w:r>
    </w:p>
    <w:p>
      <w:pPr>
        <w:pStyle w:val="ListBullet"/>
      </w:pPr>
      <w:r>
        <w:t>Link confidence thresholds, human review and automation authority to business consequences.</w:t>
      </w:r>
    </w:p>
    <w:p>
      <w:pPr>
        <w:pStyle w:val="ListBullet"/>
      </w:pPr>
      <w:r>
        <w:t>Operate risk, issue, exception, incident and remediation registers with formal closure evidence.</w:t>
      </w:r>
    </w:p>
    <w:tbl>
      <w:tblPr>
        <w:tblW w:type="auto" w:w="0"/>
        <w:jc w:val="center"/>
        <w:tblLayout w:type="fixed"/>
        <w:tblLook w:firstColumn="1" w:firstRow="1" w:lastColumn="0" w:lastRow="0" w:noHBand="0" w:noVBand="1" w:val="04A0"/>
      </w:tblPr>
      <w:tblGrid>
        <w:gridCol w:w="4997"/>
        <w:gridCol w:w="4997"/>
      </w:tblGrid>
      <w:tr>
        <w:tc>
          <w:tcPr>
            <w:tcW w:type="dxa" w:w="4997"/>
            <w:vAlign w:val="center"/>
            <w:shd w:fill="102A4C"/>
          </w:tcPr>
          <w:p>
            <w:pPr>
              <w:spacing w:after="40"/>
            </w:pPr>
            <w:r/>
            <w:r>
              <w:rPr>
                <w:rFonts w:ascii="Aptos" w:hAnsi="Aptos"/>
                <w:b/>
                <w:color w:val="FFFFFF"/>
                <w:sz w:val="18"/>
              </w:rPr>
              <w:t>Deliverables</w:t>
            </w:r>
          </w:p>
        </w:tc>
        <w:tc>
          <w:tcPr>
            <w:tcW w:type="dxa" w:w="4997"/>
            <w:vAlign w:val="center"/>
            <w:shd w:fill="EEF2F5"/>
          </w:tcPr>
          <w:p>
            <w:pPr>
              <w:spacing w:after="40"/>
            </w:pPr>
            <w:r/>
            <w:r>
              <w:rPr>
                <w:rFonts w:ascii="Aptos" w:hAnsi="Aptos"/>
                <w:b w:val="0"/>
                <w:color w:val="172D42"/>
                <w:sz w:val="18"/>
              </w:rPr>
              <w:t>Risk taxonomy; Risk assessment; AI risk register; Exception register</w:t>
            </w:r>
          </w:p>
        </w:tc>
      </w:tr>
      <w:tr>
        <w:tc>
          <w:tcPr>
            <w:tcW w:type="dxa" w:w="4997"/>
            <w:vAlign w:val="center"/>
            <w:shd w:fill="EEF2F5"/>
          </w:tcPr>
          <w:p>
            <w:pPr>
              <w:spacing w:after="40"/>
            </w:pPr>
            <w:r/>
            <w:r>
              <w:rPr>
                <w:rFonts w:ascii="Aptos" w:hAnsi="Aptos"/>
                <w:b/>
                <w:color w:val="102A4C"/>
                <w:sz w:val="18"/>
              </w:rPr>
              <w:t>Exit criterion</w:t>
            </w:r>
          </w:p>
        </w:tc>
        <w:tc>
          <w:tcPr>
            <w:tcW w:type="dxa" w:w="4997"/>
            <w:vAlign w:val="center"/>
          </w:tcPr>
          <w:p>
            <w:pPr>
              <w:spacing w:after="40"/>
            </w:pPr>
            <w:r/>
            <w:r>
              <w:rPr>
                <w:rFonts w:ascii="Aptos" w:hAnsi="Aptos"/>
                <w:b w:val="0"/>
                <w:color w:val="172D42"/>
                <w:sz w:val="18"/>
              </w:rPr>
              <w:t>Risk ratings drive controls and approvals; overdue high-risk actions are escalated.</w:t>
            </w:r>
          </w:p>
        </w:tc>
      </w:tr>
      <w:tr>
        <w:tc>
          <w:tcPr>
            <w:tcW w:type="dxa" w:w="4997"/>
            <w:vAlign w:val="center"/>
            <w:shd w:fill="EEF2F5"/>
          </w:tcPr>
          <w:p>
            <w:pPr>
              <w:spacing w:after="40"/>
            </w:pPr>
            <w:r/>
            <w:r>
              <w:rPr>
                <w:rFonts w:ascii="Aptos" w:hAnsi="Aptos"/>
                <w:b/>
                <w:color w:val="102A4C"/>
                <w:sz w:val="18"/>
              </w:rPr>
              <w:t>Portal models</w:t>
            </w:r>
          </w:p>
        </w:tc>
        <w:tc>
          <w:tcPr>
            <w:tcW w:type="dxa" w:w="4997"/>
            <w:vAlign w:val="center"/>
          </w:tcPr>
          <w:p>
            <w:pPr>
              <w:spacing w:after="40"/>
            </w:pPr>
            <w:r/>
            <w:r>
              <w:rPr>
                <w:rFonts w:ascii="Aptos" w:hAnsi="Aptos"/>
                <w:b w:val="0"/>
                <w:color w:val="172D42"/>
                <w:sz w:val="18"/>
              </w:rPr>
              <w:t>Operational &amp; Behavioural Risk; Data Security &amp; Privacy</w:t>
            </w:r>
          </w:p>
        </w:tc>
      </w:tr>
    </w:tbl>
    <w:p>
      <w:pPr>
        <w:pStyle w:val="Heading2"/>
      </w:pPr>
      <w:r>
        <w:t>08  Architecture, Data, Security &amp; Privacy</w:t>
      </w:r>
    </w:p>
    <w:p>
      <w:r>
        <w:t>Build governance into the enterprise control plane and system architecture.</w:t>
      </w:r>
    </w:p>
    <w:p>
      <w:pPr>
        <w:pStyle w:val="Heading3"/>
      </w:pPr>
      <w:r>
        <w:t>Core activities</w:t>
      </w:r>
    </w:p>
    <w:p>
      <w:pPr>
        <w:pStyle w:val="ListBullet"/>
      </w:pPr>
      <w:r>
        <w:t>Define identity, access, secrets, logging, data lineage, prompt/model gateways and policy enforcement.</w:t>
      </w:r>
    </w:p>
    <w:p>
      <w:pPr>
        <w:pStyle w:val="ListBullet"/>
      </w:pPr>
      <w:r>
        <w:t>Classify data and enforce purpose, residency, retention, minimization and privacy requirements.</w:t>
      </w:r>
    </w:p>
    <w:p>
      <w:pPr>
        <w:pStyle w:val="ListBullet"/>
      </w:pPr>
      <w:r>
        <w:t>Test threat scenarios including prompt injection, leakage, poisoning, unsafe tools and excessive agency.</w:t>
      </w:r>
    </w:p>
    <w:tbl>
      <w:tblPr>
        <w:tblW w:type="auto" w:w="0"/>
        <w:jc w:val="center"/>
        <w:tblLayout w:type="fixed"/>
        <w:tblLook w:firstColumn="1" w:firstRow="1" w:lastColumn="0" w:lastRow="0" w:noHBand="0" w:noVBand="1" w:val="04A0"/>
      </w:tblPr>
      <w:tblGrid>
        <w:gridCol w:w="4997"/>
        <w:gridCol w:w="4997"/>
      </w:tblGrid>
      <w:tr>
        <w:tc>
          <w:tcPr>
            <w:tcW w:type="dxa" w:w="4997"/>
            <w:vAlign w:val="center"/>
            <w:shd w:fill="102A4C"/>
          </w:tcPr>
          <w:p>
            <w:pPr>
              <w:spacing w:after="40"/>
            </w:pPr>
            <w:r/>
            <w:r>
              <w:rPr>
                <w:rFonts w:ascii="Aptos" w:hAnsi="Aptos"/>
                <w:b/>
                <w:color w:val="FFFFFF"/>
                <w:sz w:val="18"/>
              </w:rPr>
              <w:t>Deliverables</w:t>
            </w:r>
          </w:p>
        </w:tc>
        <w:tc>
          <w:tcPr>
            <w:tcW w:type="dxa" w:w="4997"/>
            <w:vAlign w:val="center"/>
            <w:shd w:fill="EEF2F5"/>
          </w:tcPr>
          <w:p>
            <w:pPr>
              <w:spacing w:after="40"/>
            </w:pPr>
            <w:r/>
            <w:r>
              <w:rPr>
                <w:rFonts w:ascii="Aptos" w:hAnsi="Aptos"/>
                <w:b w:val="0"/>
                <w:color w:val="172D42"/>
                <w:sz w:val="18"/>
              </w:rPr>
              <w:t>Reference architecture; Architecture decision records; Data-flow and lineage maps; Security and privacy assessment</w:t>
            </w:r>
          </w:p>
        </w:tc>
      </w:tr>
      <w:tr>
        <w:tc>
          <w:tcPr>
            <w:tcW w:type="dxa" w:w="4997"/>
            <w:vAlign w:val="center"/>
            <w:shd w:fill="EEF2F5"/>
          </w:tcPr>
          <w:p>
            <w:pPr>
              <w:spacing w:after="40"/>
            </w:pPr>
            <w:r/>
            <w:r>
              <w:rPr>
                <w:rFonts w:ascii="Aptos" w:hAnsi="Aptos"/>
                <w:b/>
                <w:color w:val="102A4C"/>
                <w:sz w:val="18"/>
              </w:rPr>
              <w:t>Exit criterion</w:t>
            </w:r>
          </w:p>
        </w:tc>
        <w:tc>
          <w:tcPr>
            <w:tcW w:type="dxa" w:w="4997"/>
            <w:vAlign w:val="center"/>
          </w:tcPr>
          <w:p>
            <w:pPr>
              <w:spacing w:after="40"/>
            </w:pPr>
            <w:r/>
            <w:r>
              <w:rPr>
                <w:rFonts w:ascii="Aptos" w:hAnsi="Aptos"/>
                <w:b w:val="0"/>
                <w:color w:val="172D42"/>
                <w:sz w:val="18"/>
              </w:rPr>
              <w:t>Architecture controls are implemented, tested and traceable to requirements before production approval.</w:t>
            </w:r>
          </w:p>
        </w:tc>
      </w:tr>
      <w:tr>
        <w:tc>
          <w:tcPr>
            <w:tcW w:type="dxa" w:w="4997"/>
            <w:vAlign w:val="center"/>
            <w:shd w:fill="EEF2F5"/>
          </w:tcPr>
          <w:p>
            <w:pPr>
              <w:spacing w:after="40"/>
            </w:pPr>
            <w:r/>
            <w:r>
              <w:rPr>
                <w:rFonts w:ascii="Aptos" w:hAnsi="Aptos"/>
                <w:b/>
                <w:color w:val="102A4C"/>
                <w:sz w:val="18"/>
              </w:rPr>
              <w:t>Portal models</w:t>
            </w:r>
          </w:p>
        </w:tc>
        <w:tc>
          <w:tcPr>
            <w:tcW w:type="dxa" w:w="4997"/>
            <w:vAlign w:val="center"/>
          </w:tcPr>
          <w:p>
            <w:pPr>
              <w:spacing w:after="40"/>
            </w:pPr>
            <w:r/>
            <w:r>
              <w:rPr>
                <w:rFonts w:ascii="Aptos" w:hAnsi="Aptos"/>
                <w:b w:val="0"/>
                <w:color w:val="172D42"/>
                <w:sz w:val="18"/>
              </w:rPr>
              <w:t>Architecture; Security &amp; Architecture Review</w:t>
            </w:r>
          </w:p>
        </w:tc>
      </w:tr>
    </w:tbl>
    <w:p>
      <w:pPr>
        <w:pStyle w:val="Heading2"/>
      </w:pPr>
      <w:r>
        <w:t>09  Enablement, Adoption &amp; Change</w:t>
      </w:r>
    </w:p>
    <w:p>
      <w:r>
        <w:t>Turn governance into a usable delivery capability rather than a policy-only exercise.</w:t>
      </w:r>
    </w:p>
    <w:p>
      <w:pPr>
        <w:pStyle w:val="Heading3"/>
      </w:pPr>
      <w:r>
        <w:t>Core activities</w:t>
      </w:r>
    </w:p>
    <w:p>
      <w:pPr>
        <w:pStyle w:val="ListBullet"/>
      </w:pPr>
      <w:r>
        <w:t>Segment training for executives, product owners, risk functions, architects, engineers and users.</w:t>
      </w:r>
    </w:p>
    <w:p>
      <w:pPr>
        <w:pStyle w:val="ListBullet"/>
      </w:pPr>
      <w:r>
        <w:t>Publish patterns, templates, office hours, intake guidance and communities of practice.</w:t>
      </w:r>
    </w:p>
    <w:p>
      <w:pPr>
        <w:pStyle w:val="ListBullet"/>
      </w:pPr>
      <w:r>
        <w:t>Measure adoption, decision cycle time, exception causes and recurring evidence gaps.</w:t>
      </w:r>
    </w:p>
    <w:tbl>
      <w:tblPr>
        <w:tblW w:type="auto" w:w="0"/>
        <w:jc w:val="center"/>
        <w:tblLayout w:type="fixed"/>
        <w:tblLook w:firstColumn="1" w:firstRow="1" w:lastColumn="0" w:lastRow="0" w:noHBand="0" w:noVBand="1" w:val="04A0"/>
      </w:tblPr>
      <w:tblGrid>
        <w:gridCol w:w="4997"/>
        <w:gridCol w:w="4997"/>
      </w:tblGrid>
      <w:tr>
        <w:tc>
          <w:tcPr>
            <w:tcW w:type="dxa" w:w="4997"/>
            <w:vAlign w:val="center"/>
            <w:shd w:fill="102A4C"/>
          </w:tcPr>
          <w:p>
            <w:pPr>
              <w:spacing w:after="40"/>
            </w:pPr>
            <w:r/>
            <w:r>
              <w:rPr>
                <w:rFonts w:ascii="Aptos" w:hAnsi="Aptos"/>
                <w:b/>
                <w:color w:val="FFFFFF"/>
                <w:sz w:val="18"/>
              </w:rPr>
              <w:t>Deliverables</w:t>
            </w:r>
          </w:p>
        </w:tc>
        <w:tc>
          <w:tcPr>
            <w:tcW w:type="dxa" w:w="4997"/>
            <w:vAlign w:val="center"/>
            <w:shd w:fill="EEF2F5"/>
          </w:tcPr>
          <w:p>
            <w:pPr>
              <w:spacing w:after="40"/>
            </w:pPr>
            <w:r/>
            <w:r>
              <w:rPr>
                <w:rFonts w:ascii="Aptos" w:hAnsi="Aptos"/>
                <w:b w:val="0"/>
                <w:color w:val="172D42"/>
                <w:sz w:val="18"/>
              </w:rPr>
              <w:t>Change strategy; Role-based curriculum; Communications plan; Adoption dashboard</w:t>
            </w:r>
          </w:p>
        </w:tc>
      </w:tr>
      <w:tr>
        <w:tc>
          <w:tcPr>
            <w:tcW w:type="dxa" w:w="4997"/>
            <w:vAlign w:val="center"/>
            <w:shd w:fill="EEF2F5"/>
          </w:tcPr>
          <w:p>
            <w:pPr>
              <w:spacing w:after="40"/>
            </w:pPr>
            <w:r/>
            <w:r>
              <w:rPr>
                <w:rFonts w:ascii="Aptos" w:hAnsi="Aptos"/>
                <w:b/>
                <w:color w:val="102A4C"/>
                <w:sz w:val="18"/>
              </w:rPr>
              <w:t>Exit criterion</w:t>
            </w:r>
          </w:p>
        </w:tc>
        <w:tc>
          <w:tcPr>
            <w:tcW w:type="dxa" w:w="4997"/>
            <w:vAlign w:val="center"/>
          </w:tcPr>
          <w:p>
            <w:pPr>
              <w:spacing w:after="40"/>
            </w:pPr>
            <w:r/>
            <w:r>
              <w:rPr>
                <w:rFonts w:ascii="Aptos" w:hAnsi="Aptos"/>
                <w:b w:val="0"/>
                <w:color w:val="172D42"/>
                <w:sz w:val="18"/>
              </w:rPr>
              <w:t>Target roles demonstrate competency and delivery teams can use the governance pathway independently.</w:t>
            </w:r>
          </w:p>
        </w:tc>
      </w:tr>
      <w:tr>
        <w:tc>
          <w:tcPr>
            <w:tcW w:type="dxa" w:w="4997"/>
            <w:vAlign w:val="center"/>
            <w:shd w:fill="EEF2F5"/>
          </w:tcPr>
          <w:p>
            <w:pPr>
              <w:spacing w:after="40"/>
            </w:pPr>
            <w:r/>
            <w:r>
              <w:rPr>
                <w:rFonts w:ascii="Aptos" w:hAnsi="Aptos"/>
                <w:b/>
                <w:color w:val="102A4C"/>
                <w:sz w:val="18"/>
              </w:rPr>
              <w:t>Portal models</w:t>
            </w:r>
          </w:p>
        </w:tc>
        <w:tc>
          <w:tcPr>
            <w:tcW w:type="dxa" w:w="4997"/>
            <w:vAlign w:val="center"/>
          </w:tcPr>
          <w:p>
            <w:pPr>
              <w:spacing w:after="40"/>
            </w:pPr>
            <w:r/>
            <w:r>
              <w:rPr>
                <w:rFonts w:ascii="Aptos" w:hAnsi="Aptos"/>
                <w:b w:val="0"/>
                <w:color w:val="172D42"/>
                <w:sz w:val="18"/>
              </w:rPr>
              <w:t>AI Adoption and Automation Framework</w:t>
            </w:r>
          </w:p>
        </w:tc>
      </w:tr>
    </w:tbl>
    <w:p>
      <w:pPr>
        <w:pStyle w:val="Heading2"/>
      </w:pPr>
      <w:r>
        <w:t>10  Monitoring, Assurance &amp; Continuous Improvement</w:t>
      </w:r>
    </w:p>
    <w:p>
      <w:r>
        <w:t>Prove that systems and controls continue to perform after release.</w:t>
      </w:r>
    </w:p>
    <w:p>
      <w:pPr>
        <w:pStyle w:val="Heading3"/>
      </w:pPr>
      <w:r>
        <w:t>Core activities</w:t>
      </w:r>
    </w:p>
    <w:p>
      <w:pPr>
        <w:pStyle w:val="ListBullet"/>
      </w:pPr>
      <w:r>
        <w:t>Monitor performance, drift, confidence, fairness, security, privacy, cost and business outcomes.</w:t>
      </w:r>
    </w:p>
    <w:p>
      <w:pPr>
        <w:pStyle w:val="ListBullet"/>
      </w:pPr>
      <w:r>
        <w:t>Apply first-line control operation, second-line oversight and independent third-line assurance.</w:t>
      </w:r>
    </w:p>
    <w:p>
      <w:pPr>
        <w:pStyle w:val="ListBullet"/>
      </w:pPr>
      <w:r>
        <w:t>Feed incidents, tests, regulatory change and portfolio insights into standards and roadmap updates.</w:t>
      </w:r>
    </w:p>
    <w:tbl>
      <w:tblPr>
        <w:tblW w:type="auto" w:w="0"/>
        <w:jc w:val="center"/>
        <w:tblLayout w:type="fixed"/>
        <w:tblLook w:firstColumn="1" w:firstRow="1" w:lastColumn="0" w:lastRow="0" w:noHBand="0" w:noVBand="1" w:val="04A0"/>
      </w:tblPr>
      <w:tblGrid>
        <w:gridCol w:w="4997"/>
        <w:gridCol w:w="4997"/>
      </w:tblGrid>
      <w:tr>
        <w:tc>
          <w:tcPr>
            <w:tcW w:type="dxa" w:w="4997"/>
            <w:vAlign w:val="center"/>
            <w:shd w:fill="102A4C"/>
          </w:tcPr>
          <w:p>
            <w:pPr>
              <w:spacing w:after="40"/>
            </w:pPr>
            <w:r/>
            <w:r>
              <w:rPr>
                <w:rFonts w:ascii="Aptos" w:hAnsi="Aptos"/>
                <w:b/>
                <w:color w:val="FFFFFF"/>
                <w:sz w:val="18"/>
              </w:rPr>
              <w:t>Deliverables</w:t>
            </w:r>
          </w:p>
        </w:tc>
        <w:tc>
          <w:tcPr>
            <w:tcW w:type="dxa" w:w="4997"/>
            <w:vAlign w:val="center"/>
            <w:shd w:fill="EEF2F5"/>
          </w:tcPr>
          <w:p>
            <w:pPr>
              <w:spacing w:after="40"/>
            </w:pPr>
            <w:r/>
            <w:r>
              <w:rPr>
                <w:rFonts w:ascii="Aptos" w:hAnsi="Aptos"/>
                <w:b w:val="0"/>
                <w:color w:val="172D42"/>
                <w:sz w:val="18"/>
              </w:rPr>
              <w:t>KRI/KPI catalogue; Control testing plan; Assurance reports; Incident playbook; Improvement backlog</w:t>
            </w:r>
          </w:p>
        </w:tc>
      </w:tr>
      <w:tr>
        <w:tc>
          <w:tcPr>
            <w:tcW w:type="dxa" w:w="4997"/>
            <w:vAlign w:val="center"/>
            <w:shd w:fill="EEF2F5"/>
          </w:tcPr>
          <w:p>
            <w:pPr>
              <w:spacing w:after="40"/>
            </w:pPr>
            <w:r/>
            <w:r>
              <w:rPr>
                <w:rFonts w:ascii="Aptos" w:hAnsi="Aptos"/>
                <w:b/>
                <w:color w:val="102A4C"/>
                <w:sz w:val="18"/>
              </w:rPr>
              <w:t>Exit criterion</w:t>
            </w:r>
          </w:p>
        </w:tc>
        <w:tc>
          <w:tcPr>
            <w:tcW w:type="dxa" w:w="4997"/>
            <w:vAlign w:val="center"/>
          </w:tcPr>
          <w:p>
            <w:pPr>
              <w:spacing w:after="40"/>
            </w:pPr>
            <w:r/>
            <w:r>
              <w:rPr>
                <w:rFonts w:ascii="Aptos" w:hAnsi="Aptos"/>
                <w:b w:val="0"/>
                <w:color w:val="172D42"/>
                <w:sz w:val="18"/>
              </w:rPr>
              <w:t>Material metrics have thresholds and owners; findings are tracked through verified closure.</w:t>
            </w:r>
          </w:p>
        </w:tc>
      </w:tr>
      <w:tr>
        <w:tc>
          <w:tcPr>
            <w:tcW w:type="dxa" w:w="4997"/>
            <w:vAlign w:val="center"/>
            <w:shd w:fill="EEF2F5"/>
          </w:tcPr>
          <w:p>
            <w:pPr>
              <w:spacing w:after="40"/>
            </w:pPr>
            <w:r/>
            <w:r>
              <w:rPr>
                <w:rFonts w:ascii="Aptos" w:hAnsi="Aptos"/>
                <w:b/>
                <w:color w:val="102A4C"/>
                <w:sz w:val="18"/>
              </w:rPr>
              <w:t>Portal models</w:t>
            </w:r>
          </w:p>
        </w:tc>
        <w:tc>
          <w:tcPr>
            <w:tcW w:type="dxa" w:w="4997"/>
            <w:vAlign w:val="center"/>
          </w:tcPr>
          <w:p>
            <w:pPr>
              <w:spacing w:after="40"/>
            </w:pPr>
            <w:r/>
            <w:r>
              <w:rPr>
                <w:rFonts w:ascii="Aptos" w:hAnsi="Aptos"/>
                <w:b w:val="0"/>
                <w:color w:val="172D42"/>
                <w:sz w:val="18"/>
              </w:rPr>
              <w:t>Assurance</w:t>
            </w:r>
          </w:p>
        </w:tc>
      </w:tr>
    </w:tbl>
    <w:p>
      <w:pPr>
        <w:pStyle w:val="Heading1"/>
      </w:pPr>
      <w:r>
        <w:t>Implementation roadmap</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1999"/>
            <w:vAlign w:val="center"/>
            <w:shd w:fill="102A4C"/>
          </w:tcPr>
          <w:p>
            <w:pPr>
              <w:spacing w:after="40"/>
            </w:pPr>
            <w:r/>
            <w:r>
              <w:rPr>
                <w:rFonts w:ascii="Aptos" w:hAnsi="Aptos"/>
                <w:b/>
                <w:color w:val="FFFFFF"/>
                <w:sz w:val="18"/>
              </w:rPr>
              <w:t>Wave</w:t>
            </w:r>
          </w:p>
        </w:tc>
        <w:tc>
          <w:tcPr>
            <w:tcW w:type="dxa" w:w="1999"/>
            <w:vAlign w:val="center"/>
            <w:shd w:fill="102A4C"/>
          </w:tcPr>
          <w:p>
            <w:pPr>
              <w:spacing w:after="40"/>
            </w:pPr>
            <w:r/>
            <w:r>
              <w:rPr>
                <w:rFonts w:ascii="Aptos" w:hAnsi="Aptos"/>
                <w:b/>
                <w:color w:val="FFFFFF"/>
                <w:sz w:val="18"/>
              </w:rPr>
              <w:t>Typical timing</w:t>
            </w:r>
          </w:p>
        </w:tc>
        <w:tc>
          <w:tcPr>
            <w:tcW w:type="dxa" w:w="1999"/>
            <w:vAlign w:val="center"/>
            <w:shd w:fill="102A4C"/>
          </w:tcPr>
          <w:p>
            <w:pPr>
              <w:spacing w:after="40"/>
            </w:pPr>
            <w:r/>
            <w:r>
              <w:rPr>
                <w:rFonts w:ascii="Aptos" w:hAnsi="Aptos"/>
                <w:b/>
                <w:color w:val="FFFFFF"/>
                <w:sz w:val="18"/>
              </w:rPr>
              <w:t>Primary outcome</w:t>
            </w:r>
          </w:p>
        </w:tc>
        <w:tc>
          <w:tcPr>
            <w:tcW w:type="dxa" w:w="1999"/>
            <w:vAlign w:val="center"/>
            <w:shd w:fill="102A4C"/>
          </w:tcPr>
          <w:p>
            <w:pPr>
              <w:spacing w:after="40"/>
            </w:pPr>
            <w:r/>
            <w:r>
              <w:rPr>
                <w:rFonts w:ascii="Aptos" w:hAnsi="Aptos"/>
                <w:b/>
                <w:color w:val="FFFFFF"/>
                <w:sz w:val="18"/>
              </w:rPr>
              <w:t>Key stage focus</w:t>
            </w:r>
          </w:p>
        </w:tc>
        <w:tc>
          <w:tcPr>
            <w:tcW w:type="dxa" w:w="1999"/>
            <w:vAlign w:val="center"/>
            <w:shd w:fill="102A4C"/>
          </w:tcPr>
          <w:p>
            <w:pPr>
              <w:spacing w:after="40"/>
            </w:pPr>
            <w:r/>
            <w:r>
              <w:rPr>
                <w:rFonts w:ascii="Aptos" w:hAnsi="Aptos"/>
                <w:b/>
                <w:color w:val="FFFFFF"/>
                <w:sz w:val="18"/>
              </w:rPr>
              <w:t>Executive decision</w:t>
            </w:r>
          </w:p>
        </w:tc>
      </w:tr>
      <w:tr>
        <w:tc>
          <w:tcPr>
            <w:tcW w:type="dxa" w:w="1999"/>
            <w:vAlign w:val="center"/>
            <w:shd w:fill="FFFFFF"/>
          </w:tcPr>
          <w:p>
            <w:pPr>
              <w:spacing w:after="40"/>
            </w:pPr>
            <w:r/>
            <w:r>
              <w:rPr>
                <w:rFonts w:ascii="Aptos" w:hAnsi="Aptos"/>
                <w:b w:val="0"/>
                <w:color w:val="172D42"/>
                <w:sz w:val="18"/>
              </w:rPr>
              <w:t>1 Foundation</w:t>
            </w:r>
          </w:p>
        </w:tc>
        <w:tc>
          <w:tcPr>
            <w:tcW w:type="dxa" w:w="1999"/>
            <w:vAlign w:val="center"/>
            <w:shd w:fill="FFFFFF"/>
          </w:tcPr>
          <w:p>
            <w:pPr>
              <w:spacing w:after="40"/>
            </w:pPr>
            <w:r/>
            <w:r>
              <w:rPr>
                <w:rFonts w:ascii="Aptos" w:hAnsi="Aptos"/>
                <w:b w:val="0"/>
                <w:color w:val="172D42"/>
                <w:sz w:val="18"/>
              </w:rPr>
              <w:t>Weeks 0–6</w:t>
            </w:r>
          </w:p>
        </w:tc>
        <w:tc>
          <w:tcPr>
            <w:tcW w:type="dxa" w:w="1999"/>
            <w:vAlign w:val="center"/>
            <w:shd w:fill="FFFFFF"/>
          </w:tcPr>
          <w:p>
            <w:pPr>
              <w:spacing w:after="40"/>
            </w:pPr>
            <w:r/>
            <w:r>
              <w:rPr>
                <w:rFonts w:ascii="Aptos" w:hAnsi="Aptos"/>
                <w:b w:val="0"/>
                <w:color w:val="172D42"/>
                <w:sz w:val="18"/>
              </w:rPr>
              <w:t>Mandate and visibility</w:t>
            </w:r>
          </w:p>
        </w:tc>
        <w:tc>
          <w:tcPr>
            <w:tcW w:type="dxa" w:w="1999"/>
            <w:vAlign w:val="center"/>
            <w:shd w:fill="FFFFFF"/>
          </w:tcPr>
          <w:p>
            <w:pPr>
              <w:spacing w:after="40"/>
            </w:pPr>
            <w:r/>
            <w:r>
              <w:rPr>
                <w:rFonts w:ascii="Aptos" w:hAnsi="Aptos"/>
                <w:b w:val="0"/>
                <w:color w:val="172D42"/>
                <w:sz w:val="18"/>
              </w:rPr>
              <w:t>01–02</w:t>
            </w:r>
          </w:p>
        </w:tc>
        <w:tc>
          <w:tcPr>
            <w:tcW w:type="dxa" w:w="1999"/>
            <w:vAlign w:val="center"/>
            <w:shd w:fill="FFFFFF"/>
          </w:tcPr>
          <w:p>
            <w:pPr>
              <w:spacing w:after="40"/>
            </w:pPr>
            <w:r/>
            <w:r>
              <w:rPr>
                <w:rFonts w:ascii="Aptos" w:hAnsi="Aptos"/>
                <w:b w:val="0"/>
                <w:color w:val="172D42"/>
                <w:sz w:val="18"/>
              </w:rPr>
              <w:t>Approve charter and immediate containment</w:t>
            </w:r>
          </w:p>
        </w:tc>
      </w:tr>
      <w:tr>
        <w:tc>
          <w:tcPr>
            <w:tcW w:type="dxa" w:w="1999"/>
            <w:vAlign w:val="center"/>
            <w:shd w:fill="EEF2F5"/>
          </w:tcPr>
          <w:p>
            <w:pPr>
              <w:spacing w:after="40"/>
            </w:pPr>
            <w:r/>
            <w:r>
              <w:rPr>
                <w:rFonts w:ascii="Aptos" w:hAnsi="Aptos"/>
                <w:b w:val="0"/>
                <w:color w:val="172D42"/>
                <w:sz w:val="18"/>
              </w:rPr>
              <w:t>2 Mobilize</w:t>
            </w:r>
          </w:p>
        </w:tc>
        <w:tc>
          <w:tcPr>
            <w:tcW w:type="dxa" w:w="1999"/>
            <w:vAlign w:val="center"/>
            <w:shd w:fill="EEF2F5"/>
          </w:tcPr>
          <w:p>
            <w:pPr>
              <w:spacing w:after="40"/>
            </w:pPr>
            <w:r/>
            <w:r>
              <w:rPr>
                <w:rFonts w:ascii="Aptos" w:hAnsi="Aptos"/>
                <w:b w:val="0"/>
                <w:color w:val="172D42"/>
                <w:sz w:val="18"/>
              </w:rPr>
              <w:t>Weeks 4–12</w:t>
            </w:r>
          </w:p>
        </w:tc>
        <w:tc>
          <w:tcPr>
            <w:tcW w:type="dxa" w:w="1999"/>
            <w:vAlign w:val="center"/>
            <w:shd w:fill="EEF2F5"/>
          </w:tcPr>
          <w:p>
            <w:pPr>
              <w:spacing w:after="40"/>
            </w:pPr>
            <w:r/>
            <w:r>
              <w:rPr>
                <w:rFonts w:ascii="Aptos" w:hAnsi="Aptos"/>
                <w:b w:val="0"/>
                <w:color w:val="172D42"/>
                <w:sz w:val="18"/>
              </w:rPr>
              <w:t>Accountable governance capability</w:t>
            </w:r>
          </w:p>
        </w:tc>
        <w:tc>
          <w:tcPr>
            <w:tcW w:type="dxa" w:w="1999"/>
            <w:vAlign w:val="center"/>
            <w:shd w:fill="EEF2F5"/>
          </w:tcPr>
          <w:p>
            <w:pPr>
              <w:spacing w:after="40"/>
            </w:pPr>
            <w:r/>
            <w:r>
              <w:rPr>
                <w:rFonts w:ascii="Aptos" w:hAnsi="Aptos"/>
                <w:b w:val="0"/>
                <w:color w:val="172D42"/>
                <w:sz w:val="18"/>
              </w:rPr>
              <w:t>03–05</w:t>
            </w:r>
          </w:p>
        </w:tc>
        <w:tc>
          <w:tcPr>
            <w:tcW w:type="dxa" w:w="1999"/>
            <w:vAlign w:val="center"/>
            <w:shd w:fill="EEF2F5"/>
          </w:tcPr>
          <w:p>
            <w:pPr>
              <w:spacing w:after="40"/>
            </w:pPr>
            <w:r/>
            <w:r>
              <w:rPr>
                <w:rFonts w:ascii="Aptos" w:hAnsi="Aptos"/>
                <w:b w:val="0"/>
                <w:color w:val="172D42"/>
                <w:sz w:val="18"/>
              </w:rPr>
              <w:t>Approve model, policy and risk thresholds</w:t>
            </w:r>
          </w:p>
        </w:tc>
      </w:tr>
      <w:tr>
        <w:tc>
          <w:tcPr>
            <w:tcW w:type="dxa" w:w="1999"/>
            <w:vAlign w:val="center"/>
            <w:shd w:fill="FFFFFF"/>
          </w:tcPr>
          <w:p>
            <w:pPr>
              <w:spacing w:after="40"/>
            </w:pPr>
            <w:r/>
            <w:r>
              <w:rPr>
                <w:rFonts w:ascii="Aptos" w:hAnsi="Aptos"/>
                <w:b w:val="0"/>
                <w:color w:val="172D42"/>
                <w:sz w:val="18"/>
              </w:rPr>
              <w:t>3 Operationalize</w:t>
            </w:r>
          </w:p>
        </w:tc>
        <w:tc>
          <w:tcPr>
            <w:tcW w:type="dxa" w:w="1999"/>
            <w:vAlign w:val="center"/>
            <w:shd w:fill="FFFFFF"/>
          </w:tcPr>
          <w:p>
            <w:pPr>
              <w:spacing w:after="40"/>
            </w:pPr>
            <w:r/>
            <w:r>
              <w:rPr>
                <w:rFonts w:ascii="Aptos" w:hAnsi="Aptos"/>
                <w:b w:val="0"/>
                <w:color w:val="172D42"/>
                <w:sz w:val="18"/>
              </w:rPr>
              <w:t>Weeks 8–20</w:t>
            </w:r>
          </w:p>
        </w:tc>
        <w:tc>
          <w:tcPr>
            <w:tcW w:type="dxa" w:w="1999"/>
            <w:vAlign w:val="center"/>
            <w:shd w:fill="FFFFFF"/>
          </w:tcPr>
          <w:p>
            <w:pPr>
              <w:spacing w:after="40"/>
            </w:pPr>
            <w:r/>
            <w:r>
              <w:rPr>
                <w:rFonts w:ascii="Aptos" w:hAnsi="Aptos"/>
                <w:b w:val="0"/>
                <w:color w:val="172D42"/>
                <w:sz w:val="18"/>
              </w:rPr>
              <w:t>Repeatable lifecycle and controls</w:t>
            </w:r>
          </w:p>
        </w:tc>
        <w:tc>
          <w:tcPr>
            <w:tcW w:type="dxa" w:w="1999"/>
            <w:vAlign w:val="center"/>
            <w:shd w:fill="FFFFFF"/>
          </w:tcPr>
          <w:p>
            <w:pPr>
              <w:spacing w:after="40"/>
            </w:pPr>
            <w:r/>
            <w:r>
              <w:rPr>
                <w:rFonts w:ascii="Aptos" w:hAnsi="Aptos"/>
                <w:b w:val="0"/>
                <w:color w:val="172D42"/>
                <w:sz w:val="18"/>
              </w:rPr>
              <w:t>06–09</w:t>
            </w:r>
          </w:p>
        </w:tc>
        <w:tc>
          <w:tcPr>
            <w:tcW w:type="dxa" w:w="1999"/>
            <w:vAlign w:val="center"/>
            <w:shd w:fill="FFFFFF"/>
          </w:tcPr>
          <w:p>
            <w:pPr>
              <w:spacing w:after="40"/>
            </w:pPr>
            <w:r/>
            <w:r>
              <w:rPr>
                <w:rFonts w:ascii="Aptos" w:hAnsi="Aptos"/>
                <w:b w:val="0"/>
                <w:color w:val="172D42"/>
                <w:sz w:val="18"/>
              </w:rPr>
              <w:t>Authorize controlled production pathways</w:t>
            </w:r>
          </w:p>
        </w:tc>
      </w:tr>
      <w:tr>
        <w:tc>
          <w:tcPr>
            <w:tcW w:type="dxa" w:w="1999"/>
            <w:vAlign w:val="center"/>
            <w:shd w:fill="EEF2F5"/>
          </w:tcPr>
          <w:p>
            <w:pPr>
              <w:spacing w:after="40"/>
            </w:pPr>
            <w:r/>
            <w:r>
              <w:rPr>
                <w:rFonts w:ascii="Aptos" w:hAnsi="Aptos"/>
                <w:b w:val="0"/>
                <w:color w:val="172D42"/>
                <w:sz w:val="18"/>
              </w:rPr>
              <w:t>4 Prove &amp; scale</w:t>
            </w:r>
          </w:p>
        </w:tc>
        <w:tc>
          <w:tcPr>
            <w:tcW w:type="dxa" w:w="1999"/>
            <w:vAlign w:val="center"/>
            <w:shd w:fill="EEF2F5"/>
          </w:tcPr>
          <w:p>
            <w:pPr>
              <w:spacing w:after="40"/>
            </w:pPr>
            <w:r/>
            <w:r>
              <w:rPr>
                <w:rFonts w:ascii="Aptos" w:hAnsi="Aptos"/>
                <w:b w:val="0"/>
                <w:color w:val="172D42"/>
                <w:sz w:val="18"/>
              </w:rPr>
              <w:t>Week 16 onward</w:t>
            </w:r>
          </w:p>
        </w:tc>
        <w:tc>
          <w:tcPr>
            <w:tcW w:type="dxa" w:w="1999"/>
            <w:vAlign w:val="center"/>
            <w:shd w:fill="EEF2F5"/>
          </w:tcPr>
          <w:p>
            <w:pPr>
              <w:spacing w:after="40"/>
            </w:pPr>
            <w:r/>
            <w:r>
              <w:rPr>
                <w:rFonts w:ascii="Aptos" w:hAnsi="Aptos"/>
                <w:b w:val="0"/>
                <w:color w:val="172D42"/>
                <w:sz w:val="18"/>
              </w:rPr>
              <w:t>Evidence, assurance and improvement</w:t>
            </w:r>
          </w:p>
        </w:tc>
        <w:tc>
          <w:tcPr>
            <w:tcW w:type="dxa" w:w="1999"/>
            <w:vAlign w:val="center"/>
            <w:shd w:fill="EEF2F5"/>
          </w:tcPr>
          <w:p>
            <w:pPr>
              <w:spacing w:after="40"/>
            </w:pPr>
            <w:r/>
            <w:r>
              <w:rPr>
                <w:rFonts w:ascii="Aptos" w:hAnsi="Aptos"/>
                <w:b w:val="0"/>
                <w:color w:val="172D42"/>
                <w:sz w:val="18"/>
              </w:rPr>
              <w:t>10 + all stages</w:t>
            </w:r>
          </w:p>
        </w:tc>
        <w:tc>
          <w:tcPr>
            <w:tcW w:type="dxa" w:w="1999"/>
            <w:vAlign w:val="center"/>
            <w:shd w:fill="EEF2F5"/>
          </w:tcPr>
          <w:p>
            <w:pPr>
              <w:spacing w:after="40"/>
            </w:pPr>
            <w:r/>
            <w:r>
              <w:rPr>
                <w:rFonts w:ascii="Aptos" w:hAnsi="Aptos"/>
                <w:b w:val="0"/>
                <w:color w:val="172D42"/>
                <w:sz w:val="18"/>
              </w:rPr>
              <w:t>Accept portfolio residual risk and roadmap</w:t>
            </w:r>
          </w:p>
        </w:tc>
      </w:tr>
    </w:tbl>
    <w:p>
      <w:pPr>
        <w:pStyle w:val="Heading1"/>
      </w:pPr>
      <w:r>
        <w:t>Deliverable register</w:t>
      </w:r>
    </w:p>
    <w:p>
      <w:r>
        <w:t>The companion Excel toolkit contains implementation planning, governance RACI, AI inventory, risk register, control catalogue, lifecycle gates, evidence register, metrics and framework mapping. This Word blueprint provides the narrative operating model and may be adapted into the governance charter, policy suite, committee terms of reference, lifecycle playbook and assurance plan.</w:t>
      </w:r>
    </w:p>
    <w:p>
      <w:pPr>
        <w:pStyle w:val="Heading1"/>
      </w:pPr>
      <w:r>
        <w:t>Framework alignment</w:t>
      </w:r>
    </w:p>
    <w:p>
      <w:r>
        <w:t>Use external frameworks as harmonized sources of requirements rather than parallel checklists: NIST AI RMF for Govern/Map/Measure/Manage; ISO/IEC 42001 for the management system; COBIT for enterprise technology governance; the IIA Three Lines Model for ownership, oversight and assurance; DAMA for data governance; model risk management for validation and change control; enterprise architecture for design authority; and IT service management for release, incident, problem and change practices.</w:t>
      </w: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F6F7E"/>
        <w:sz w:val="14"/>
      </w:rPr>
      <w:t>Enterprise AI Governance Greenfield Implementation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F7E"/>
        <w:sz w:val="14"/>
      </w:rPr>
      <w:t>RATHEESH TECHNOLOGY LTD.  |  ARCHITECTING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color w:val="172D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02A4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02A4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02A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Greenfield AI Governance Implementation Blueprint</dc:title>
  <dc:subject>Enterprise AI governance operating model and implementation guide</dc:subject>
  <dc:creator>Ratheesh Technology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