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A365D"/>
          <w:sz w:val="32"/>
        </w:rPr>
        <w:t>Strike Desk — problem note for Rajan</w:t>
      </w:r>
    </w:p>
    <w:p>
      <w:pPr>
        <w:spacing w:before="0" w:after="120"/>
      </w:pPr>
      <w:r>
        <w:rPr>
          <w:rFonts w:ascii="Calibri" w:hAnsi="Calibri"/>
          <w:b w:val="0"/>
          <w:color w:val="555555"/>
          <w:sz w:val="20"/>
        </w:rPr>
        <w:t>1 October 2026  ·  Amit  ·  Analyze / sandbox only  ·  NIFTY 50 options</w:t>
      </w:r>
    </w:p>
    <w:p>
      <w:pPr>
        <w:spacing w:before="200" w:after="80"/>
      </w:pPr>
      <w:r>
        <w:rPr>
          <w:rFonts w:ascii="Calibri" w:hAnsi="Calibri"/>
          <w:b/>
          <w:color w:val="2B4C7E"/>
          <w:sz w:val="26"/>
        </w:rPr>
        <w:t>Where we are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The host desk is now taking trades. Last three sessions (1 lot = 65, journal marks, Analyze): 29 Sep PE stopped (minus Rs 1,755), 30 Sep late PE time-stopped (minus Rs 205), 1 Oct two PEs hit target (plus Rs 6,006). Three-day total about plus Rs 4,046. The pipe is proved. Next question is how to improve the buy decision without guessing.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Current live policy (playbook pb-1): Jev reads daily +DI / -DI for side; a Python gate then requires daily ADX 25, DI spread 5, 10m same side, 10m ADX 20. One lot MIS, 20% premium stop, 40% target, 15:00 time-stop, 15-minute ticks. No TradingView in the loop.</w:t>
      </w:r>
    </w:p>
    <w:p>
      <w:pPr>
        <w:spacing w:before="200" w:after="80"/>
      </w:pPr>
      <w:r>
        <w:rPr>
          <w:rFonts w:ascii="Calibri" w:hAnsi="Calibri"/>
          <w:b/>
          <w:color w:val="2B4C7E"/>
          <w:sz w:val="26"/>
        </w:rPr>
        <w:t>The gap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This policy knows trend side and strength. It does not know session location. It can buy a PE on a valid daily bearish DMI while NIFTY is still holding VWAP or the previous-day high — the 29 Sep loser looks like that class of mistake. It also cannot say “ribbon is squeezed, sit out” when ADX is merely high.</w:t>
      </w:r>
    </w:p>
    <w:p>
      <w:pPr>
        <w:spacing w:before="200" w:after="80"/>
      </w:pPr>
      <w:r>
        <w:rPr>
          <w:rFonts w:ascii="Calibri" w:hAnsi="Calibri"/>
          <w:b/>
          <w:color w:val="2B4C7E"/>
          <w:sz w:val="26"/>
        </w:rPr>
        <w:t>What Amit tabled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A Pine overlay (KTN 4-in-1: Auto S/R + PDH/PDL + PPO + EMVAP). We do not want to depend on TradingView. Every useful number is standard OHLC math we can compute from OpenAlgo history on the host.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Keep: previous-day high/low; session VWAP; EMA 8/21/55 stack; squeeze (ribbon compressed); nearby swing S/R; PPO histogram rising/falling as a momentum check.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Skip: chart drawings, heatmap candles, alert JSON, raw PPO crosses as entries, ATR 1R/2R/3R on the index (our book is option premium).</w:t>
      </w:r>
    </w:p>
    <w:p>
      <w:pPr>
        <w:spacing w:before="200" w:after="80"/>
      </w:pPr>
      <w:r>
        <w:rPr>
          <w:rFonts w:ascii="Calibri" w:hAnsi="Calibri"/>
          <w:b/>
          <w:color w:val="2B4C7E"/>
          <w:sz w:val="26"/>
        </w:rPr>
        <w:t>The design question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Should we fold those filters into the one live playbook, or run two buying policies so we can score them separately?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Our working view — please confirm or correct: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Yes: isolate two policies so we can track them. Champion = current ADX/DI desk. Challenger = same desk plus PDH/PDL, VWAP, EMA stack/squeeze (PPO and S/R later).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No: do not let both place on the same Analyze book. One journal, one daily trade/loss cap, one position monitor, one sandbox. Two live buyers would share NIFTY, theta and capital — P&amp;L would not be comparable.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Preferred: champion is the only one that sends orders. Challenger runs on every 15-minute tick as a shadow (would enter / would sit / hypothetical exit), tagged playbook_id, no placeorder. Promote only when the shadow ledger beats the champion on expectancy and on “refused the losers / kept the winners”.</w:t>
      </w:r>
    </w:p>
    <w:p>
      <w:pPr>
        <w:spacing w:before="200" w:after="80"/>
      </w:pPr>
      <w:r>
        <w:rPr>
          <w:rFonts w:ascii="Calibri" w:hAnsi="Calibri"/>
          <w:b/>
          <w:color w:val="2B4C7E"/>
          <w:sz w:val="26"/>
        </w:rPr>
        <w:t>Please guide us on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1. Champion + shadow challenger, or fold into one playbook, or two isolated live books?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2. Which of PDH/PDL, VWAP, EMA stack, squeeze, PPO histogram, nearby S/R should be hard sit-outs vs cited only?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3. Order of adding them so we do not starve a prove path that just started filling.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4. Any NIFTY-specific caution on index VWAP volume (we would prefer current-month futures volume).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0"/>
        </w:rPr>
        <w:t>Nothing here is live yet. Analyze stays on. No merge, no go-live, until you say so.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