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60" w:line="240" w:lineRule="auto"/>
      </w:pPr>
      <w:r>
        <w:rPr>
          <w:rFonts w:ascii="Calibri" w:hAnsi="Calibri"/>
          <w:b/>
          <w:color w:val="0B2545"/>
          <w:sz w:val="44"/>
        </w:rPr>
        <w:t>Maya Human QA Browser Test Cases</w:t>
      </w:r>
    </w:p>
    <w:p>
      <w:pPr>
        <w:keepLines w:val="0"/>
        <w:spacing w:before="0" w:after="280" w:line="276" w:lineRule="auto"/>
      </w:pPr>
      <w:r>
        <w:rPr>
          <w:rFonts w:ascii="Calibri" w:hAnsi="Calibri"/>
          <w:color w:val="4B5563"/>
          <w:sz w:val="23"/>
        </w:rPr>
        <w:t>Detailed KT walkthrough for login, worklist selection, case handling, RAG, agent memory, approval, reset, and audit scenarios. Updated 2026-06-30.</w:t>
      </w:r>
    </w:p>
    <w:tbl>
      <w:tblPr>
        <w:tblW w:type="dxa" w:w="9360"/>
        <w:jc w:val="left"/>
        <w:tblLayout w:type="fixed"/>
        <w:tblLook w:firstColumn="1" w:firstRow="1" w:lastColumn="0" w:lastRow="0" w:noHBand="0" w:noVBand="1" w:val="04A0"/>
        <w:tblInd w:w="12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9360"/>
      </w:tblGrid>
      <w:tr>
        <w:tc>
          <w:tcPr>
            <w:tcW w:type="dxa" w:w="9360"/>
            <w:vAlign w:val="center"/>
            <w:tcMar>
              <w:top w:w="80" w:type="dxa"/>
              <w:start w:w="120" w:type="dxa"/>
              <w:bottom w:w="80" w:type="dxa"/>
              <w:end w:w="120" w:type="dxa"/>
            </w:tcMar>
            <w:shd w:fill="F4F6F9"/>
          </w:tcPr>
          <w:p>
            <w:pPr>
              <w:keepLines w:val="0"/>
              <w:spacing w:before="0" w:after="60" w:line="283" w:lineRule="auto"/>
            </w:pPr>
            <w:r>
              <w:rPr>
                <w:rFonts w:ascii="Calibri" w:hAnsi="Calibri"/>
                <w:b/>
                <w:color w:val="1F4D78"/>
                <w:sz w:val="21"/>
              </w:rPr>
              <w:t>Load-bearing QA rule</w:t>
            </w:r>
          </w:p>
          <w:p>
            <w:pPr>
              <w:keepLines w:val="0"/>
              <w:spacing w:before="0" w:after="0" w:line="283" w:lineRule="auto"/>
            </w:pPr>
            <w:r>
              <w:rPr>
                <w:rFonts w:ascii="Calibri" w:hAnsi="Calibri"/>
                <w:color w:val="1F2937"/>
                <w:sz w:val="19"/>
              </w:rPr>
              <w:t>Every business-visible dollar, verdict, route, evidence claim, approval state, and audit status must come from backend/read-model data with cited record IDs and deterministic basis. The human may approve or reject; the agent never performs ERP writeback or an external action on its own.</w:t>
            </w:r>
          </w:p>
        </w:tc>
      </w:tr>
    </w:tbl>
    <w:p/>
    <w:p>
      <w:pPr>
        <w:pStyle w:val="Heading1"/>
        <w:keepLines/>
        <w:spacing w:before="360" w:after="200" w:line="276" w:lineRule="auto"/>
      </w:pPr>
      <w:r>
        <w:rPr>
          <w:rFonts w:ascii="Calibri" w:hAnsi="Calibri"/>
          <w:b/>
          <w:color w:val="2E74B5"/>
          <w:sz w:val="32"/>
        </w:rPr>
        <w:t>1. Evidence Basis And Coverage Boundaries</w:t>
      </w:r>
    </w:p>
    <w:p>
      <w:pPr>
        <w:keepLines w:val="0"/>
        <w:spacing w:before="0" w:after="120" w:line="300" w:lineRule="auto"/>
      </w:pPr>
      <w:r>
        <w:rPr>
          <w:rFonts w:ascii="Calibri" w:hAnsi="Calibri"/>
          <w:color w:val="1F2937"/>
        </w:rPr>
        <w:t>This guide updates docs/qa/maya-human-qa-browser-test-cases-2026-06-27.docx into a screen-by-screen QA and KT playbook. It uses current repo evidence from the Maya real-backend browser suite, the approval lifecycle browser suite, the Maya RAG/memory QA matrix, and the governed memory/RAG unit and invariant tests.</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300"/>
        <w:gridCol w:w="4300"/>
        <w:gridCol w:w="2760"/>
      </w:tblGrid>
      <w:tr>
        <w:trPr>
          <w:tblHeader w:val="true"/>
        </w:trPr>
        <w:tc>
          <w:tcPr>
            <w:tcW w:type="dxa" w:w="2300"/>
            <w:vAlign w:val="center"/>
            <w:tcMar>
              <w:top w:w="80" w:type="dxa"/>
              <w:start w:w="120" w:type="dxa"/>
              <w:bottom w:w="80" w:type="dxa"/>
              <w:end w:w="120" w:type="dxa"/>
            </w:tcMar>
            <w:shd w:fill="E8EEF5"/>
          </w:tcPr>
          <w:p>
            <w:pPr>
              <w:keepLines w:val="0"/>
              <w:spacing w:before="0" w:after="0" w:line="276" w:lineRule="auto"/>
            </w:pPr>
            <w:r>
              <w:rPr>
                <w:rFonts w:ascii="Calibri" w:hAnsi="Calibri"/>
                <w:b/>
                <w:color w:val="1F2937"/>
                <w:sz w:val="17"/>
              </w:rPr>
              <w:t>Evidence anchor</w:t>
            </w:r>
          </w:p>
        </w:tc>
        <w:tc>
          <w:tcPr>
            <w:tcW w:type="dxa" w:w="4300"/>
            <w:vAlign w:val="center"/>
            <w:tcMar>
              <w:top w:w="80" w:type="dxa"/>
              <w:start w:w="120" w:type="dxa"/>
              <w:bottom w:w="80" w:type="dxa"/>
              <w:end w:w="120" w:type="dxa"/>
            </w:tcMar>
            <w:shd w:fill="E8EEF5"/>
          </w:tcPr>
          <w:p>
            <w:pPr>
              <w:keepLines w:val="0"/>
              <w:spacing w:before="0" w:after="0" w:line="276" w:lineRule="auto"/>
            </w:pPr>
            <w:r>
              <w:rPr>
                <w:rFonts w:ascii="Calibri" w:hAnsi="Calibri"/>
                <w:b/>
                <w:color w:val="1F2937"/>
                <w:sz w:val="17"/>
              </w:rPr>
              <w:t>What it proves</w:t>
            </w:r>
          </w:p>
        </w:tc>
        <w:tc>
          <w:tcPr>
            <w:tcW w:type="dxa" w:w="2760"/>
            <w:vAlign w:val="center"/>
            <w:tcMar>
              <w:top w:w="80" w:type="dxa"/>
              <w:start w:w="120" w:type="dxa"/>
              <w:bottom w:w="80" w:type="dxa"/>
              <w:end w:w="120" w:type="dxa"/>
            </w:tcMar>
            <w:shd w:fill="E8EEF5"/>
          </w:tcPr>
          <w:p>
            <w:pPr>
              <w:keepLines w:val="0"/>
              <w:spacing w:before="0" w:after="0" w:line="276" w:lineRule="auto"/>
            </w:pPr>
            <w:r>
              <w:rPr>
                <w:rFonts w:ascii="Calibri" w:hAnsi="Calibri"/>
                <w:b/>
                <w:color w:val="1F2937"/>
                <w:sz w:val="17"/>
              </w:rPr>
              <w:t>How QA should use it</w:t>
            </w:r>
          </w:p>
        </w:tc>
      </w:tr>
      <w:tr>
        <w:tc>
          <w:tcPr>
            <w:tcW w:type="dxa" w:w="2300"/>
          </w:tcPr>
          <w:p>
            <w:pPr>
              <w:keepLines w:val="0"/>
              <w:spacing w:before="0" w:after="0" w:line="276" w:lineRule="auto"/>
            </w:pPr>
            <w:r>
              <w:rPr>
                <w:rFonts w:ascii="Calibri" w:hAnsi="Calibri"/>
                <w:b w:val="0"/>
                <w:color w:val="1F2937"/>
                <w:sz w:val="17"/>
              </w:rPr>
              <w:t>test:e2e:maya-real</w:t>
            </w:r>
          </w:p>
        </w:tc>
        <w:tc>
          <w:tcPr>
            <w:tcW w:type="dxa" w:w="4300"/>
          </w:tcPr>
          <w:p>
            <w:pPr>
              <w:keepLines w:val="0"/>
              <w:spacing w:before="0" w:after="0" w:line="276" w:lineRule="auto"/>
            </w:pPr>
            <w:r>
              <w:rPr>
                <w:rFonts w:ascii="Calibri" w:hAnsi="Calibri"/>
                <w:b w:val="0"/>
                <w:color w:val="1F2937"/>
                <w:sz w:val="17"/>
              </w:rPr>
              <w:t>Browser reaches /login, /forensics/shadcn, source readiness, worklist, selected work item, Evidence, Query, Trace, Draft, Approval gate, Audit, Return to worklist.</w:t>
            </w:r>
          </w:p>
        </w:tc>
        <w:tc>
          <w:tcPr>
            <w:tcW w:type="dxa" w:w="2760"/>
          </w:tcPr>
          <w:p>
            <w:pPr>
              <w:keepLines w:val="0"/>
              <w:spacing w:before="0" w:after="0" w:line="276" w:lineRule="auto"/>
            </w:pPr>
            <w:r>
              <w:rPr>
                <w:rFonts w:ascii="Calibri" w:hAnsi="Calibri"/>
                <w:b w:val="0"/>
                <w:color w:val="1F2937"/>
                <w:sz w:val="17"/>
              </w:rPr>
              <w:t>Five case-scoped query scenarios on the backend-selected case, with cited answers and backend trace rows.</w:t>
            </w:r>
          </w:p>
        </w:tc>
      </w:tr>
      <w:tr>
        <w:tc>
          <w:tcPr>
            <w:tcW w:type="dxa" w:w="2300"/>
          </w:tcPr>
          <w:p>
            <w:pPr>
              <w:keepLines w:val="0"/>
              <w:spacing w:before="0" w:after="0" w:line="276" w:lineRule="auto"/>
            </w:pPr>
            <w:r>
              <w:rPr>
                <w:rFonts w:ascii="Calibri" w:hAnsi="Calibri"/>
                <w:b w:val="0"/>
                <w:color w:val="1F2937"/>
                <w:sz w:val="17"/>
              </w:rPr>
              <w:t>test:e2e:maya-approval-lifecycle</w:t>
            </w:r>
          </w:p>
        </w:tc>
        <w:tc>
          <w:tcPr>
            <w:tcW w:type="dxa" w:w="4300"/>
          </w:tcPr>
          <w:p>
            <w:pPr>
              <w:keepLines w:val="0"/>
              <w:spacing w:before="0" w:after="0" w:line="276" w:lineRule="auto"/>
            </w:pPr>
            <w:r>
              <w:rPr>
                <w:rFonts w:ascii="Calibri" w:hAnsi="Calibri"/>
                <w:b w:val="0"/>
                <w:color w:val="1F2937"/>
                <w:sz w:val="17"/>
              </w:rPr>
              <w:t>Browser proof for S1-L1 and action route-billing:S1-L1.</w:t>
            </w:r>
          </w:p>
        </w:tc>
        <w:tc>
          <w:tcPr>
            <w:tcW w:type="dxa" w:w="2760"/>
          </w:tcPr>
          <w:p>
            <w:pPr>
              <w:keepLines w:val="0"/>
              <w:spacing w:before="0" w:after="0" w:line="276" w:lineRule="auto"/>
            </w:pPr>
            <w:r>
              <w:rPr>
                <w:rFonts w:ascii="Calibri" w:hAnsi="Calibri"/>
                <w:b w:val="0"/>
                <w:color w:val="1F2937"/>
                <w:sz w:val="17"/>
              </w:rPr>
              <w:t>Submit approval, logout/relogin persistence, admin reset, and relogin after reset.</w:t>
            </w:r>
          </w:p>
        </w:tc>
      </w:tr>
      <w:tr>
        <w:tc>
          <w:tcPr>
            <w:tcW w:type="dxa" w:w="2300"/>
          </w:tcPr>
          <w:p>
            <w:pPr>
              <w:keepLines w:val="0"/>
              <w:spacing w:before="0" w:after="0" w:line="276" w:lineRule="auto"/>
            </w:pPr>
            <w:r>
              <w:rPr>
                <w:rFonts w:ascii="Calibri" w:hAnsi="Calibri"/>
                <w:b w:val="0"/>
                <w:color w:val="1F2937"/>
                <w:sz w:val="17"/>
              </w:rPr>
              <w:t>Maya 12-beat browser journey</w:t>
            </w:r>
          </w:p>
        </w:tc>
        <w:tc>
          <w:tcPr>
            <w:tcW w:type="dxa" w:w="4300"/>
          </w:tcPr>
          <w:p>
            <w:pPr>
              <w:keepLines w:val="0"/>
              <w:spacing w:before="0" w:after="0" w:line="276" w:lineRule="auto"/>
            </w:pPr>
            <w:r>
              <w:rPr>
                <w:rFonts w:ascii="Calibri" w:hAnsi="Calibri"/>
                <w:b w:val="0"/>
                <w:color w:val="1F2937"/>
                <w:sz w:val="17"/>
              </w:rPr>
              <w:t>Login through dashboard, recommended action, case overview, evidence dossier, query start, trace, cited answer, draft review, human approval, audit, return worklist.</w:t>
            </w:r>
          </w:p>
        </w:tc>
        <w:tc>
          <w:tcPr>
            <w:tcW w:type="dxa" w:w="2760"/>
          </w:tcPr>
          <w:p>
            <w:pPr>
              <w:keepLines w:val="0"/>
              <w:spacing w:before="0" w:after="0" w:line="276" w:lineRule="auto"/>
            </w:pPr>
            <w:r>
              <w:rPr>
                <w:rFonts w:ascii="Calibri" w:hAnsi="Calibri"/>
                <w:b w:val="0"/>
                <w:color w:val="1F2937"/>
                <w:sz w:val="17"/>
              </w:rPr>
              <w:t>Use for visual/manual navigation coverage when running npm.cmd run test:e2e -- --maya-shadcn-only.</w:t>
            </w:r>
          </w:p>
        </w:tc>
      </w:tr>
      <w:tr>
        <w:tc>
          <w:tcPr>
            <w:tcW w:type="dxa" w:w="2300"/>
          </w:tcPr>
          <w:p>
            <w:pPr>
              <w:keepLines w:val="0"/>
              <w:spacing w:before="0" w:after="0" w:line="276" w:lineRule="auto"/>
            </w:pPr>
            <w:r>
              <w:rPr>
                <w:rFonts w:ascii="Calibri" w:hAnsi="Calibri"/>
                <w:b w:val="0"/>
                <w:color w:val="1F2937"/>
                <w:sz w:val="17"/>
              </w:rPr>
              <w:t>Memory unit/invariant slice</w:t>
            </w:r>
          </w:p>
        </w:tc>
        <w:tc>
          <w:tcPr>
            <w:tcW w:type="dxa" w:w="4300"/>
          </w:tcPr>
          <w:p>
            <w:pPr>
              <w:keepLines w:val="0"/>
              <w:spacing w:before="0" w:after="0" w:line="276" w:lineRule="auto"/>
            </w:pPr>
            <w:r>
              <w:rPr>
                <w:rFonts w:ascii="Calibri" w:hAnsi="Calibri"/>
                <w:b w:val="0"/>
                <w:color w:val="1F2937"/>
                <w:sz w:val="17"/>
              </w:rPr>
              <w:t>Maya query-scope memory record tests.</w:t>
            </w:r>
          </w:p>
        </w:tc>
        <w:tc>
          <w:tcPr>
            <w:tcW w:type="dxa" w:w="2760"/>
          </w:tcPr>
          <w:p>
            <w:pPr>
              <w:keepLines w:val="0"/>
              <w:spacing w:before="0" w:after="0" w:line="276" w:lineRule="auto"/>
            </w:pPr>
            <w:r>
              <w:rPr>
                <w:rFonts w:ascii="Calibri" w:hAnsi="Calibri"/>
                <w:b w:val="0"/>
                <w:color w:val="1F2937"/>
                <w:sz w:val="17"/>
              </w:rPr>
              <w:t>Memory is cited, session-scoped, excludes question text/dollars/verdict/routing/approval, rejects unsafe IDs, and cannot drive core decisions.</w:t>
            </w:r>
          </w:p>
        </w:tc>
      </w:tr>
      <w:tr>
        <w:tc>
          <w:tcPr>
            <w:tcW w:type="dxa" w:w="2300"/>
          </w:tcPr>
          <w:p>
            <w:pPr>
              <w:keepLines w:val="0"/>
              <w:spacing w:before="0" w:after="0" w:line="276" w:lineRule="auto"/>
            </w:pPr>
            <w:r>
              <w:rPr>
                <w:rFonts w:ascii="Calibri" w:hAnsi="Calibri"/>
                <w:b w:val="0"/>
                <w:color w:val="1F2937"/>
                <w:sz w:val="17"/>
              </w:rPr>
              <w:t>RAG/vector readiness slice</w:t>
            </w:r>
          </w:p>
        </w:tc>
        <w:tc>
          <w:tcPr>
            <w:tcW w:type="dxa" w:w="4300"/>
          </w:tcPr>
          <w:p>
            <w:pPr>
              <w:keepLines w:val="0"/>
              <w:spacing w:before="0" w:after="0" w:line="276" w:lineRule="auto"/>
            </w:pPr>
            <w:r>
              <w:rPr>
                <w:rFonts w:ascii="Calibri" w:hAnsi="Calibri"/>
                <w:b w:val="0"/>
                <w:color w:val="1F2937"/>
                <w:sz w:val="17"/>
              </w:rPr>
              <w:t>OpenAI vector-store metadata and injected evidence seam tests.</w:t>
            </w:r>
          </w:p>
        </w:tc>
        <w:tc>
          <w:tcPr>
            <w:tcW w:type="dxa" w:w="2760"/>
          </w:tcPr>
          <w:p>
            <w:pPr>
              <w:keepLines w:val="0"/>
              <w:spacing w:before="0" w:after="0" w:line="276" w:lineRule="auto"/>
            </w:pPr>
            <w:r>
              <w:rPr>
                <w:rFonts w:ascii="Calibri" w:hAnsi="Calibri"/>
                <w:b w:val="0"/>
                <w:color w:val="1F2937"/>
                <w:sz w:val="17"/>
              </w:rPr>
              <w:t>Vector hits require source_table, record_id, customer_id, scenario_type, provenance=synthetic and fail closed on malformed/out-of-scope results.</w:t>
            </w:r>
          </w:p>
        </w:tc>
      </w:tr>
    </w:tbl>
    <w:p/>
    <w:tbl>
      <w:tblPr>
        <w:tblW w:type="dxa" w:w="9360"/>
        <w:jc w:val="left"/>
        <w:tblLayout w:type="fixed"/>
        <w:tblLook w:firstColumn="1" w:firstRow="1" w:lastColumn="0" w:lastRow="0" w:noHBand="0" w:noVBand="1" w:val="04A0"/>
        <w:tblInd w:w="12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9360"/>
      </w:tblGrid>
      <w:tr>
        <w:tc>
          <w:tcPr>
            <w:tcW w:type="dxa" w:w="9360"/>
            <w:vAlign w:val="center"/>
            <w:tcMar>
              <w:top w:w="80" w:type="dxa"/>
              <w:start w:w="120" w:type="dxa"/>
              <w:bottom w:w="80" w:type="dxa"/>
              <w:end w:w="120" w:type="dxa"/>
            </w:tcMar>
            <w:shd w:fill="F4F6F9"/>
          </w:tcPr>
          <w:p>
            <w:pPr>
              <w:keepLines w:val="0"/>
              <w:spacing w:before="0" w:after="60" w:line="283" w:lineRule="auto"/>
            </w:pPr>
            <w:r>
              <w:rPr>
                <w:rFonts w:ascii="Calibri" w:hAnsi="Calibri"/>
                <w:b/>
                <w:color w:val="1F4D78"/>
                <w:sz w:val="21"/>
              </w:rPr>
              <w:t>Coverage honesty</w:t>
            </w:r>
          </w:p>
          <w:p>
            <w:pPr>
              <w:keepLines w:val="0"/>
              <w:spacing w:before="0" w:after="0" w:line="283" w:lineRule="auto"/>
            </w:pPr>
            <w:r>
              <w:rPr>
                <w:rFonts w:ascii="Calibri" w:hAnsi="Calibri"/>
                <w:color w:val="1F2937"/>
                <w:sz w:val="19"/>
              </w:rPr>
              <w:t>The browser suites prove the core Maya path and specific query/approval lifecycles. They do not prove that every S1-S8 worklist row was individually opened in the browser during that earlier run. Human QA should perform the breadth sweep in TC-15 when a release claim needs every case/line covered.</w:t>
            </w:r>
          </w:p>
        </w:tc>
      </w:tr>
    </w:tbl>
    <w:p/>
    <w:p>
      <w:pPr>
        <w:pStyle w:val="Heading1"/>
        <w:keepLines/>
        <w:spacing w:before="360" w:after="200" w:line="276" w:lineRule="auto"/>
      </w:pPr>
      <w:r>
        <w:rPr>
          <w:rFonts w:ascii="Calibri" w:hAnsi="Calibri"/>
          <w:b/>
          <w:color w:val="2E74B5"/>
          <w:sz w:val="32"/>
        </w:rPr>
        <w:t>2. Maya Daily Navigation Map</w:t>
      </w:r>
    </w:p>
    <w:p>
      <w:pPr>
        <w:keepLines w:val="0"/>
        <w:spacing w:before="0" w:after="120" w:line="300" w:lineRule="auto"/>
      </w:pPr>
      <w:r>
        <w:rPr>
          <w:rFonts w:ascii="Calibri" w:hAnsi="Calibri"/>
          <w:color w:val="1F2937"/>
        </w:rPr>
        <w:t>Use this as the normal daily path. A QA pass should follow the same path before drilling into special reset, RAG, or memory scenarios.</w:t>
      </w:r>
    </w:p>
    <w:p>
      <w:pPr>
        <w:pStyle w:val="ListNumber"/>
        <w:keepLines w:val="0"/>
        <w:spacing w:before="0" w:after="80" w:line="300" w:lineRule="auto"/>
      </w:pPr>
      <w:r>
        <w:rPr>
          <w:rFonts w:ascii="Calibri" w:hAnsi="Calibri"/>
          <w:color w:val="1F2937"/>
        </w:rPr>
        <w:t>Open /login and sign in as Maya with the approved demo password. Never paste passwords or tokens into notes/screenshots.</w:t>
      </w:r>
    </w:p>
    <w:p>
      <w:pPr>
        <w:pStyle w:val="ListNumber"/>
        <w:keepLines w:val="0"/>
        <w:spacing w:before="0" w:after="80" w:line="300" w:lineRule="auto"/>
      </w:pPr>
      <w:r>
        <w:rPr>
          <w:rFonts w:ascii="Calibri" w:hAnsi="Calibri"/>
          <w:color w:val="1F2937"/>
        </w:rPr>
        <w:t>Confirm the browser lands on /forensics/shadcn and the Maya shadcn workbench renders after the loading shell.</w:t>
      </w:r>
    </w:p>
    <w:p>
      <w:pPr>
        <w:pStyle w:val="ListNumber"/>
        <w:keepLines w:val="0"/>
        <w:spacing w:before="0" w:after="80" w:line="300" w:lineRule="auto"/>
      </w:pPr>
      <w:r>
        <w:rPr>
          <w:rFonts w:ascii="Calibri" w:hAnsi="Calibri"/>
          <w:color w:val="1F2937"/>
        </w:rPr>
        <w:t>Open Overview. Check KPI strip, source readiness, and Case Concentration Analysis. The concentration header should read Case / Customer and Lines / Exposure.</w:t>
      </w:r>
    </w:p>
    <w:p>
      <w:pPr>
        <w:pStyle w:val="ListNumber"/>
        <w:keepLines w:val="0"/>
        <w:spacing w:before="0" w:after="80" w:line="300" w:lineRule="auto"/>
      </w:pPr>
      <w:r>
        <w:rPr>
          <w:rFonts w:ascii="Calibri" w:hAnsi="Calibri"/>
          <w:color w:val="1F2937"/>
        </w:rPr>
        <w:t>Open Worklist from the sidebar, or click the header work-item count shortcut when it is visible.</w:t>
      </w:r>
    </w:p>
    <w:p>
      <w:pPr>
        <w:pStyle w:val="ListNumber"/>
        <w:keepLines w:val="0"/>
        <w:spacing w:before="0" w:after="80" w:line="300" w:lineRule="auto"/>
      </w:pPr>
      <w:r>
        <w:rPr>
          <w:rFonts w:ascii="Calibri" w:hAnsi="Calibri"/>
          <w:color w:val="1F2937"/>
        </w:rPr>
        <w:t>Select a worklist row. For query proof use S3-L1 when available; for approval/reset proof use S1-L1; for memory/vector examples use S6-L1.</w:t>
      </w:r>
    </w:p>
    <w:p>
      <w:pPr>
        <w:pStyle w:val="ListNumber"/>
        <w:keepLines w:val="0"/>
        <w:spacing w:before="0" w:after="80" w:line="300" w:lineRule="auto"/>
      </w:pPr>
      <w:r>
        <w:rPr>
          <w:rFonts w:ascii="Calibri" w:hAnsi="Calibri"/>
          <w:color w:val="1F2937"/>
        </w:rPr>
        <w:t>Inside the case workspace, review Overview, Evidence, Agent Trace, Draft, Approval, and Audit in that order.</w:t>
      </w:r>
    </w:p>
    <w:p>
      <w:pPr>
        <w:pStyle w:val="ListNumber"/>
        <w:keepLines w:val="0"/>
        <w:spacing w:before="0" w:after="80" w:line="300" w:lineRule="auto"/>
      </w:pPr>
      <w:r>
        <w:rPr>
          <w:rFonts w:ascii="Calibri" w:hAnsi="Calibri"/>
          <w:color w:val="1F2937"/>
        </w:rPr>
        <w:t>Use Query evidence or the floating Recoup Agent only after confirming the selected evidence context is correct.</w:t>
      </w:r>
    </w:p>
    <w:p>
      <w:pPr>
        <w:pStyle w:val="ListNumber"/>
        <w:keepLines w:val="0"/>
        <w:spacing w:before="0" w:after="80" w:line="300" w:lineRule="auto"/>
      </w:pPr>
      <w:r>
        <w:rPr>
          <w:rFonts w:ascii="Calibri" w:hAnsi="Calibri"/>
          <w:color w:val="1F2937"/>
        </w:rPr>
        <w:t>Route through the approval dialog only as a human approver. Confirm no external action or ERP writeback occurs before approval.</w:t>
      </w:r>
    </w:p>
    <w:p>
      <w:pPr>
        <w:pStyle w:val="ListNumber"/>
        <w:keepLines w:val="0"/>
        <w:spacing w:before="0" w:after="80" w:line="300" w:lineRule="auto"/>
      </w:pPr>
      <w:r>
        <w:rPr>
          <w:rFonts w:ascii="Calibri" w:hAnsi="Calibri"/>
          <w:color w:val="1F2937"/>
        </w:rPr>
        <w:t>After approval, verify Audit, logout/relogin persistence, reset if needed, then return to Worklist and confirm no stale case state remains.</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1600"/>
        <w:gridCol w:w="2100"/>
        <w:gridCol w:w="5660"/>
      </w:tblGrid>
      <w:tr>
        <w:trPr>
          <w:tblHeader w:val="true"/>
        </w:trPr>
        <w:tc>
          <w:tcPr>
            <w:tcW w:type="dxa" w:w="1600"/>
            <w:vAlign w:val="center"/>
            <w:tcMar>
              <w:top w:w="80" w:type="dxa"/>
              <w:start w:w="120" w:type="dxa"/>
              <w:bottom w:w="80" w:type="dxa"/>
              <w:end w:w="120" w:type="dxa"/>
            </w:tcMar>
            <w:shd w:fill="E8EEF5"/>
          </w:tcPr>
          <w:p>
            <w:pPr>
              <w:keepLines w:val="0"/>
              <w:spacing w:before="0" w:after="0" w:line="276" w:lineRule="auto"/>
            </w:pPr>
            <w:r>
              <w:rPr>
                <w:rFonts w:ascii="Calibri" w:hAnsi="Calibri"/>
                <w:b/>
                <w:color w:val="1F2937"/>
                <w:sz w:val="17"/>
              </w:rPr>
              <w:t>QA target</w:t>
            </w:r>
          </w:p>
        </w:tc>
        <w:tc>
          <w:tcPr>
            <w:tcW w:type="dxa" w:w="2100"/>
            <w:vAlign w:val="center"/>
            <w:tcMar>
              <w:top w:w="80" w:type="dxa"/>
              <w:start w:w="120" w:type="dxa"/>
              <w:bottom w:w="80" w:type="dxa"/>
              <w:end w:w="120" w:type="dxa"/>
            </w:tcMar>
            <w:shd w:fill="E8EEF5"/>
          </w:tcPr>
          <w:p>
            <w:pPr>
              <w:keepLines w:val="0"/>
              <w:spacing w:before="0" w:after="0" w:line="276" w:lineRule="auto"/>
            </w:pPr>
            <w:r>
              <w:rPr>
                <w:rFonts w:ascii="Calibri" w:hAnsi="Calibri"/>
                <w:b/>
                <w:color w:val="1F2937"/>
                <w:sz w:val="17"/>
              </w:rPr>
              <w:t>Use this case</w:t>
            </w:r>
          </w:p>
        </w:tc>
        <w:tc>
          <w:tcPr>
            <w:tcW w:type="dxa" w:w="5660"/>
            <w:vAlign w:val="center"/>
            <w:tcMar>
              <w:top w:w="80" w:type="dxa"/>
              <w:start w:w="120" w:type="dxa"/>
              <w:bottom w:w="80" w:type="dxa"/>
              <w:end w:w="120" w:type="dxa"/>
            </w:tcMar>
            <w:shd w:fill="E8EEF5"/>
          </w:tcPr>
          <w:p>
            <w:pPr>
              <w:keepLines w:val="0"/>
              <w:spacing w:before="0" w:after="0" w:line="276" w:lineRule="auto"/>
            </w:pPr>
            <w:r>
              <w:rPr>
                <w:rFonts w:ascii="Calibri" w:hAnsi="Calibri"/>
                <w:b/>
                <w:color w:val="1F2937"/>
                <w:sz w:val="17"/>
              </w:rPr>
              <w:t>Why this case matters</w:t>
            </w:r>
          </w:p>
        </w:tc>
      </w:tr>
      <w:tr>
        <w:tc>
          <w:tcPr>
            <w:tcW w:type="dxa" w:w="1600"/>
          </w:tcPr>
          <w:p>
            <w:pPr>
              <w:keepLines w:val="0"/>
              <w:spacing w:before="0" w:after="0" w:line="276" w:lineRule="auto"/>
            </w:pPr>
            <w:r>
              <w:rPr>
                <w:rFonts w:ascii="Calibri" w:hAnsi="Calibri"/>
                <w:b w:val="0"/>
                <w:color w:val="1F2937"/>
                <w:sz w:val="17"/>
              </w:rPr>
              <w:t>S1-L1</w:t>
            </w:r>
          </w:p>
        </w:tc>
        <w:tc>
          <w:tcPr>
            <w:tcW w:type="dxa" w:w="2100"/>
          </w:tcPr>
          <w:p>
            <w:pPr>
              <w:keepLines w:val="0"/>
              <w:spacing w:before="0" w:after="0" w:line="276" w:lineRule="auto"/>
            </w:pPr>
            <w:r>
              <w:rPr>
                <w:rFonts w:ascii="Calibri" w:hAnsi="Calibri"/>
                <w:b w:val="0"/>
                <w:color w:val="1F2937"/>
                <w:sz w:val="17"/>
              </w:rPr>
              <w:t>Approval lifecycle and reset proof</w:t>
            </w:r>
          </w:p>
        </w:tc>
        <w:tc>
          <w:tcPr>
            <w:tcW w:type="dxa" w:w="5660"/>
          </w:tcPr>
          <w:p>
            <w:pPr>
              <w:keepLines w:val="0"/>
              <w:spacing w:before="0" w:after="0" w:line="276" w:lineRule="auto"/>
            </w:pPr>
            <w:r>
              <w:rPr>
                <w:rFonts w:ascii="Calibri" w:hAnsi="Calibri"/>
                <w:b w:val="0"/>
                <w:color w:val="1F2937"/>
                <w:sz w:val="17"/>
              </w:rPr>
              <w:t>Use when QA needs a deterministic approve, relogin, reset, and re-open cycle. Browser test action is route-billing:S1-L1.</w:t>
            </w:r>
          </w:p>
        </w:tc>
      </w:tr>
      <w:tr>
        <w:tc>
          <w:tcPr>
            <w:tcW w:type="dxa" w:w="1600"/>
          </w:tcPr>
          <w:p>
            <w:pPr>
              <w:keepLines w:val="0"/>
              <w:spacing w:before="0" w:after="0" w:line="276" w:lineRule="auto"/>
            </w:pPr>
            <w:r>
              <w:rPr>
                <w:rFonts w:ascii="Calibri" w:hAnsi="Calibri"/>
                <w:b w:val="0"/>
                <w:color w:val="1F2937"/>
                <w:sz w:val="17"/>
              </w:rPr>
              <w:t>S3-L1</w:t>
            </w:r>
          </w:p>
        </w:tc>
        <w:tc>
          <w:tcPr>
            <w:tcW w:type="dxa" w:w="2100"/>
          </w:tcPr>
          <w:p>
            <w:pPr>
              <w:keepLines w:val="0"/>
              <w:spacing w:before="0" w:after="0" w:line="276" w:lineRule="auto"/>
            </w:pPr>
            <w:r>
              <w:rPr>
                <w:rFonts w:ascii="Calibri" w:hAnsi="Calibri"/>
                <w:b w:val="0"/>
                <w:color w:val="1F2937"/>
                <w:sz w:val="17"/>
              </w:rPr>
              <w:t>Real-backend RAG/query proof</w:t>
            </w:r>
          </w:p>
        </w:tc>
        <w:tc>
          <w:tcPr>
            <w:tcW w:type="dxa" w:w="5660"/>
          </w:tcPr>
          <w:p>
            <w:pPr>
              <w:keepLines w:val="0"/>
              <w:spacing w:before="0" w:after="0" w:line="276" w:lineRule="auto"/>
            </w:pPr>
            <w:r>
              <w:rPr>
                <w:rFonts w:ascii="Calibri" w:hAnsi="Calibri"/>
                <w:b w:val="0"/>
                <w:color w:val="1F2937"/>
                <w:sz w:val="17"/>
              </w:rPr>
              <w:t>Use for the five automated query prompts: customer dispute response, manager brief, billing vs recovery route, handoff/HITL gate, and valid-deduction counterfactual.</w:t>
            </w:r>
          </w:p>
        </w:tc>
      </w:tr>
      <w:tr>
        <w:tc>
          <w:tcPr>
            <w:tcW w:type="dxa" w:w="1600"/>
          </w:tcPr>
          <w:p>
            <w:pPr>
              <w:keepLines w:val="0"/>
              <w:spacing w:before="0" w:after="0" w:line="276" w:lineRule="auto"/>
            </w:pPr>
            <w:r>
              <w:rPr>
                <w:rFonts w:ascii="Calibri" w:hAnsi="Calibri"/>
                <w:b w:val="0"/>
                <w:color w:val="1F2937"/>
                <w:sz w:val="17"/>
              </w:rPr>
              <w:t>S6-L1</w:t>
            </w:r>
          </w:p>
        </w:tc>
        <w:tc>
          <w:tcPr>
            <w:tcW w:type="dxa" w:w="2100"/>
          </w:tcPr>
          <w:p>
            <w:pPr>
              <w:keepLines w:val="0"/>
              <w:spacing w:before="0" w:after="0" w:line="276" w:lineRule="auto"/>
            </w:pPr>
            <w:r>
              <w:rPr>
                <w:rFonts w:ascii="Calibri" w:hAnsi="Calibri"/>
                <w:b w:val="0"/>
                <w:color w:val="1F2937"/>
                <w:sz w:val="17"/>
              </w:rPr>
              <w:t>Memory and vector evidence examples</w:t>
            </w:r>
          </w:p>
        </w:tc>
        <w:tc>
          <w:tcPr>
            <w:tcW w:type="dxa" w:w="5660"/>
          </w:tcPr>
          <w:p>
            <w:pPr>
              <w:keepLines w:val="0"/>
              <w:spacing w:before="0" w:after="0" w:line="276" w:lineRule="auto"/>
            </w:pPr>
            <w:r>
              <w:rPr>
                <w:rFonts w:ascii="Calibri" w:hAnsi="Calibri"/>
                <w:b w:val="0"/>
                <w:color w:val="1F2937"/>
                <w:sz w:val="17"/>
              </w:rPr>
              <w:t>Use when checking memory payload examples and vector evidence contract examples such as PRICE-CLAUSE-1.</w:t>
            </w:r>
          </w:p>
        </w:tc>
      </w:tr>
      <w:tr>
        <w:tc>
          <w:tcPr>
            <w:tcW w:type="dxa" w:w="1600"/>
          </w:tcPr>
          <w:p>
            <w:pPr>
              <w:keepLines w:val="0"/>
              <w:spacing w:before="0" w:after="0" w:line="276" w:lineRule="auto"/>
            </w:pPr>
            <w:r>
              <w:rPr>
                <w:rFonts w:ascii="Calibri" w:hAnsi="Calibri"/>
                <w:b w:val="0"/>
                <w:color w:val="1F2937"/>
                <w:sz w:val="17"/>
              </w:rPr>
              <w:t>S1-S8 / 20 line IDs</w:t>
            </w:r>
          </w:p>
        </w:tc>
        <w:tc>
          <w:tcPr>
            <w:tcW w:type="dxa" w:w="2100"/>
          </w:tcPr>
          <w:p>
            <w:pPr>
              <w:keepLines w:val="0"/>
              <w:spacing w:before="0" w:after="0" w:line="276" w:lineRule="auto"/>
            </w:pPr>
            <w:r>
              <w:rPr>
                <w:rFonts w:ascii="Calibri" w:hAnsi="Calibri"/>
                <w:b w:val="0"/>
                <w:color w:val="1F2937"/>
                <w:sz w:val="17"/>
              </w:rPr>
              <w:t>Human breadth sweep</w:t>
            </w:r>
          </w:p>
        </w:tc>
        <w:tc>
          <w:tcPr>
            <w:tcW w:type="dxa" w:w="5660"/>
          </w:tcPr>
          <w:p>
            <w:pPr>
              <w:keepLines w:val="0"/>
              <w:spacing w:before="0" w:after="0" w:line="276" w:lineRule="auto"/>
            </w:pPr>
            <w:r>
              <w:rPr>
                <w:rFonts w:ascii="Calibri" w:hAnsi="Calibri"/>
                <w:b w:val="0"/>
                <w:color w:val="1F2937"/>
                <w:sz w:val="17"/>
              </w:rPr>
              <w:t>Open every visible worklist case/line group and verify Overview, Evidence, Draft, Approval/Audit, source details, and no wrong-row evidence.</w:t>
            </w:r>
          </w:p>
        </w:tc>
      </w:tr>
    </w:tbl>
    <w:p/>
    <w:p>
      <w:pPr>
        <w:pStyle w:val="Heading1"/>
        <w:keepLines/>
        <w:spacing w:before="360" w:after="200" w:line="276" w:lineRule="auto"/>
      </w:pPr>
      <w:r>
        <w:rPr>
          <w:rFonts w:ascii="Calibri" w:hAnsi="Calibri"/>
          <w:b/>
          <w:color w:val="2E74B5"/>
          <w:sz w:val="32"/>
        </w:rPr>
        <w:t>3. Scenario Index</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900"/>
        <w:gridCol w:w="3000"/>
        <w:gridCol w:w="5460"/>
      </w:tblGrid>
      <w:tr>
        <w:trPr>
          <w:tblHeader w:val="true"/>
        </w:trPr>
        <w:tc>
          <w:tcPr>
            <w:tcW w:type="dxa" w:w="900"/>
            <w:vAlign w:val="center"/>
            <w:tcMar>
              <w:top w:w="80" w:type="dxa"/>
              <w:start w:w="120" w:type="dxa"/>
              <w:bottom w:w="80" w:type="dxa"/>
              <w:end w:w="120" w:type="dxa"/>
            </w:tcMar>
            <w:shd w:fill="E8EEF5"/>
          </w:tcPr>
          <w:p>
            <w:pPr>
              <w:keepLines w:val="0"/>
              <w:spacing w:before="0" w:after="0" w:line="276" w:lineRule="auto"/>
            </w:pPr>
            <w:r>
              <w:rPr>
                <w:rFonts w:ascii="Calibri" w:hAnsi="Calibri"/>
                <w:b/>
                <w:color w:val="1F2937"/>
                <w:sz w:val="17"/>
              </w:rPr>
              <w:t>ID</w:t>
            </w:r>
          </w:p>
        </w:tc>
        <w:tc>
          <w:tcPr>
            <w:tcW w:type="dxa" w:w="3000"/>
            <w:vAlign w:val="center"/>
            <w:tcMar>
              <w:top w:w="80" w:type="dxa"/>
              <w:start w:w="120" w:type="dxa"/>
              <w:bottom w:w="80" w:type="dxa"/>
              <w:end w:w="120" w:type="dxa"/>
            </w:tcMar>
            <w:shd w:fill="E8EEF5"/>
          </w:tcPr>
          <w:p>
            <w:pPr>
              <w:keepLines w:val="0"/>
              <w:spacing w:before="0" w:after="0" w:line="276" w:lineRule="auto"/>
            </w:pPr>
            <w:r>
              <w:rPr>
                <w:rFonts w:ascii="Calibri" w:hAnsi="Calibri"/>
                <w:b/>
                <w:color w:val="1F2937"/>
                <w:sz w:val="17"/>
              </w:rPr>
              <w:t>Scenario</w:t>
            </w:r>
          </w:p>
        </w:tc>
        <w:tc>
          <w:tcPr>
            <w:tcW w:type="dxa" w:w="5460"/>
            <w:vAlign w:val="center"/>
            <w:tcMar>
              <w:top w:w="80" w:type="dxa"/>
              <w:start w:w="120" w:type="dxa"/>
              <w:bottom w:w="80" w:type="dxa"/>
              <w:end w:w="120" w:type="dxa"/>
            </w:tcMar>
            <w:shd w:fill="E8EEF5"/>
          </w:tcPr>
          <w:p>
            <w:pPr>
              <w:keepLines w:val="0"/>
              <w:spacing w:before="0" w:after="0" w:line="276" w:lineRule="auto"/>
            </w:pPr>
            <w:r>
              <w:rPr>
                <w:rFonts w:ascii="Calibri" w:hAnsi="Calibri"/>
                <w:b/>
                <w:color w:val="1F2937"/>
                <w:sz w:val="17"/>
              </w:rPr>
              <w:t>Primary pass condition</w:t>
            </w:r>
          </w:p>
        </w:tc>
      </w:tr>
      <w:tr>
        <w:tc>
          <w:tcPr>
            <w:tcW w:type="dxa" w:w="900"/>
          </w:tcPr>
          <w:p>
            <w:pPr>
              <w:keepLines w:val="0"/>
              <w:spacing w:before="0" w:after="0" w:line="276" w:lineRule="auto"/>
            </w:pPr>
            <w:r>
              <w:rPr>
                <w:rFonts w:ascii="Calibri" w:hAnsi="Calibri"/>
                <w:b w:val="0"/>
                <w:color w:val="1F2937"/>
                <w:sz w:val="17"/>
              </w:rPr>
              <w:t>TC-01</w:t>
            </w:r>
          </w:p>
        </w:tc>
        <w:tc>
          <w:tcPr>
            <w:tcW w:type="dxa" w:w="3000"/>
          </w:tcPr>
          <w:p>
            <w:pPr>
              <w:keepLines w:val="0"/>
              <w:spacing w:before="0" w:after="0" w:line="276" w:lineRule="auto"/>
            </w:pPr>
            <w:r>
              <w:rPr>
                <w:rFonts w:ascii="Calibri" w:hAnsi="Calibri"/>
                <w:b w:val="0"/>
                <w:color w:val="1F2937"/>
                <w:sz w:val="17"/>
              </w:rPr>
              <w:t>Login and workspace hydration</w:t>
            </w:r>
          </w:p>
        </w:tc>
        <w:tc>
          <w:tcPr>
            <w:tcW w:type="dxa" w:w="5460"/>
          </w:tcPr>
          <w:p>
            <w:pPr>
              <w:keepLines w:val="0"/>
              <w:spacing w:before="0" w:after="0" w:line="276" w:lineRule="auto"/>
            </w:pPr>
            <w:r>
              <w:rPr>
                <w:rFonts w:ascii="Calibri" w:hAnsi="Calibri"/>
                <w:b w:val="0"/>
                <w:color w:val="1F2937"/>
                <w:sz w:val="17"/>
              </w:rPr>
              <w:t>Maya reaches source-backed workbench; no blank page or unauthorized state.</w:t>
            </w:r>
          </w:p>
        </w:tc>
      </w:tr>
      <w:tr>
        <w:tc>
          <w:tcPr>
            <w:tcW w:type="dxa" w:w="900"/>
          </w:tcPr>
          <w:p>
            <w:pPr>
              <w:keepLines w:val="0"/>
              <w:spacing w:before="0" w:after="0" w:line="276" w:lineRule="auto"/>
            </w:pPr>
            <w:r>
              <w:rPr>
                <w:rFonts w:ascii="Calibri" w:hAnsi="Calibri"/>
                <w:b w:val="0"/>
                <w:color w:val="1F2937"/>
                <w:sz w:val="17"/>
              </w:rPr>
              <w:t>TC-02</w:t>
            </w:r>
          </w:p>
        </w:tc>
        <w:tc>
          <w:tcPr>
            <w:tcW w:type="dxa" w:w="3000"/>
          </w:tcPr>
          <w:p>
            <w:pPr>
              <w:keepLines w:val="0"/>
              <w:spacing w:before="0" w:after="0" w:line="276" w:lineRule="auto"/>
            </w:pPr>
            <w:r>
              <w:rPr>
                <w:rFonts w:ascii="Calibri" w:hAnsi="Calibri"/>
                <w:b w:val="0"/>
                <w:color w:val="1F2937"/>
                <w:sz w:val="17"/>
              </w:rPr>
              <w:t>Source readiness and force refresh</w:t>
            </w:r>
          </w:p>
        </w:tc>
        <w:tc>
          <w:tcPr>
            <w:tcW w:type="dxa" w:w="5460"/>
          </w:tcPr>
          <w:p>
            <w:pPr>
              <w:keepLines w:val="0"/>
              <w:spacing w:before="0" w:after="0" w:line="276" w:lineRule="auto"/>
            </w:pPr>
            <w:r>
              <w:rPr>
                <w:rFonts w:ascii="Calibri" w:hAnsi="Calibri"/>
                <w:b w:val="0"/>
                <w:color w:val="1F2937"/>
                <w:sz w:val="17"/>
              </w:rPr>
              <w:t>Source tiles and refreshed worklist stay backend/read-model sourced.</w:t>
            </w:r>
          </w:p>
        </w:tc>
      </w:tr>
      <w:tr>
        <w:tc>
          <w:tcPr>
            <w:tcW w:type="dxa" w:w="900"/>
          </w:tcPr>
          <w:p>
            <w:pPr>
              <w:keepLines w:val="0"/>
              <w:spacing w:before="0" w:after="0" w:line="276" w:lineRule="auto"/>
            </w:pPr>
            <w:r>
              <w:rPr>
                <w:rFonts w:ascii="Calibri" w:hAnsi="Calibri"/>
                <w:b w:val="0"/>
                <w:color w:val="1F2937"/>
                <w:sz w:val="17"/>
              </w:rPr>
              <w:t>TC-03</w:t>
            </w:r>
          </w:p>
        </w:tc>
        <w:tc>
          <w:tcPr>
            <w:tcW w:type="dxa" w:w="3000"/>
          </w:tcPr>
          <w:p>
            <w:pPr>
              <w:keepLines w:val="0"/>
              <w:spacing w:before="0" w:after="0" w:line="276" w:lineRule="auto"/>
            </w:pPr>
            <w:r>
              <w:rPr>
                <w:rFonts w:ascii="Calibri" w:hAnsi="Calibri"/>
                <w:b w:val="0"/>
                <w:color w:val="1F2937"/>
                <w:sz w:val="17"/>
              </w:rPr>
              <w:t>Worklist triage and case selection</w:t>
            </w:r>
          </w:p>
        </w:tc>
        <w:tc>
          <w:tcPr>
            <w:tcW w:type="dxa" w:w="5460"/>
          </w:tcPr>
          <w:p>
            <w:pPr>
              <w:keepLines w:val="0"/>
              <w:spacing w:before="0" w:after="0" w:line="276" w:lineRule="auto"/>
            </w:pPr>
            <w:r>
              <w:rPr>
                <w:rFonts w:ascii="Calibri" w:hAnsi="Calibri"/>
                <w:b w:val="0"/>
                <w:color w:val="1F2937"/>
                <w:sz w:val="17"/>
              </w:rPr>
              <w:t>Rows, recommended actions, queue/route labels, and case open behavior are correct.</w:t>
            </w:r>
          </w:p>
        </w:tc>
      </w:tr>
      <w:tr>
        <w:tc>
          <w:tcPr>
            <w:tcW w:type="dxa" w:w="900"/>
          </w:tcPr>
          <w:p>
            <w:pPr>
              <w:keepLines w:val="0"/>
              <w:spacing w:before="0" w:after="0" w:line="276" w:lineRule="auto"/>
            </w:pPr>
            <w:r>
              <w:rPr>
                <w:rFonts w:ascii="Calibri" w:hAnsi="Calibri"/>
                <w:b w:val="0"/>
                <w:color w:val="1F2937"/>
                <w:sz w:val="17"/>
              </w:rPr>
              <w:t>TC-04</w:t>
            </w:r>
          </w:p>
        </w:tc>
        <w:tc>
          <w:tcPr>
            <w:tcW w:type="dxa" w:w="3000"/>
          </w:tcPr>
          <w:p>
            <w:pPr>
              <w:keepLines w:val="0"/>
              <w:spacing w:before="0" w:after="0" w:line="276" w:lineRule="auto"/>
            </w:pPr>
            <w:r>
              <w:rPr>
                <w:rFonts w:ascii="Calibri" w:hAnsi="Calibri"/>
                <w:b w:val="0"/>
                <w:color w:val="1F2937"/>
                <w:sz w:val="17"/>
              </w:rPr>
              <w:t>Case overview and line selector</w:t>
            </w:r>
          </w:p>
        </w:tc>
        <w:tc>
          <w:tcPr>
            <w:tcW w:type="dxa" w:w="5460"/>
          </w:tcPr>
          <w:p>
            <w:pPr>
              <w:keepLines w:val="0"/>
              <w:spacing w:before="0" w:after="0" w:line="276" w:lineRule="auto"/>
            </w:pPr>
            <w:r>
              <w:rPr>
                <w:rFonts w:ascii="Calibri" w:hAnsi="Calibri"/>
                <w:b w:val="0"/>
                <w:color w:val="1F2937"/>
                <w:sz w:val="17"/>
              </w:rPr>
              <w:t>Selected line, deterministic basis, line switch, and raw-ID disclosure rules hold.</w:t>
            </w:r>
          </w:p>
        </w:tc>
      </w:tr>
      <w:tr>
        <w:tc>
          <w:tcPr>
            <w:tcW w:type="dxa" w:w="900"/>
          </w:tcPr>
          <w:p>
            <w:pPr>
              <w:keepLines w:val="0"/>
              <w:spacing w:before="0" w:after="0" w:line="276" w:lineRule="auto"/>
            </w:pPr>
            <w:r>
              <w:rPr>
                <w:rFonts w:ascii="Calibri" w:hAnsi="Calibri"/>
                <w:b w:val="0"/>
                <w:color w:val="1F2937"/>
                <w:sz w:val="17"/>
              </w:rPr>
              <w:t>TC-05</w:t>
            </w:r>
          </w:p>
        </w:tc>
        <w:tc>
          <w:tcPr>
            <w:tcW w:type="dxa" w:w="3000"/>
          </w:tcPr>
          <w:p>
            <w:pPr>
              <w:keepLines w:val="0"/>
              <w:spacing w:before="0" w:after="0" w:line="276" w:lineRule="auto"/>
            </w:pPr>
            <w:r>
              <w:rPr>
                <w:rFonts w:ascii="Calibri" w:hAnsi="Calibri"/>
                <w:b w:val="0"/>
                <w:color w:val="1F2937"/>
                <w:sz w:val="17"/>
              </w:rPr>
              <w:t>Evidence dossier and provenance</w:t>
            </w:r>
          </w:p>
        </w:tc>
        <w:tc>
          <w:tcPr>
            <w:tcW w:type="dxa" w:w="5460"/>
          </w:tcPr>
          <w:p>
            <w:pPr>
              <w:keepLines w:val="0"/>
              <w:spacing w:before="0" w:after="0" w:line="276" w:lineRule="auto"/>
            </w:pPr>
            <w:r>
              <w:rPr>
                <w:rFonts w:ascii="Calibri" w:hAnsi="Calibri"/>
                <w:b w:val="0"/>
                <w:color w:val="1F2937"/>
                <w:sz w:val="17"/>
              </w:rPr>
              <w:t>Evidence rows, citations, source details, and record IDs match backend detail.</w:t>
            </w:r>
          </w:p>
        </w:tc>
      </w:tr>
      <w:tr>
        <w:tc>
          <w:tcPr>
            <w:tcW w:type="dxa" w:w="900"/>
          </w:tcPr>
          <w:p>
            <w:pPr>
              <w:keepLines w:val="0"/>
              <w:spacing w:before="0" w:after="0" w:line="276" w:lineRule="auto"/>
            </w:pPr>
            <w:r>
              <w:rPr>
                <w:rFonts w:ascii="Calibri" w:hAnsi="Calibri"/>
                <w:b w:val="0"/>
                <w:color w:val="1F2937"/>
                <w:sz w:val="17"/>
              </w:rPr>
              <w:t>TC-06</w:t>
            </w:r>
          </w:p>
        </w:tc>
        <w:tc>
          <w:tcPr>
            <w:tcW w:type="dxa" w:w="3000"/>
          </w:tcPr>
          <w:p>
            <w:pPr>
              <w:keepLines w:val="0"/>
              <w:spacing w:before="0" w:after="0" w:line="276" w:lineRule="auto"/>
            </w:pPr>
            <w:r>
              <w:rPr>
                <w:rFonts w:ascii="Calibri" w:hAnsi="Calibri"/>
                <w:b w:val="0"/>
                <w:color w:val="1F2937"/>
                <w:sz w:val="17"/>
              </w:rPr>
              <w:t>RAG query and cited answer</w:t>
            </w:r>
          </w:p>
        </w:tc>
        <w:tc>
          <w:tcPr>
            <w:tcW w:type="dxa" w:w="5460"/>
          </w:tcPr>
          <w:p>
            <w:pPr>
              <w:keepLines w:val="0"/>
              <w:spacing w:before="0" w:after="0" w:line="276" w:lineRule="auto"/>
            </w:pPr>
            <w:r>
              <w:rPr>
                <w:rFonts w:ascii="Calibri" w:hAnsi="Calibri"/>
                <w:b w:val="0"/>
                <w:color w:val="1F2937"/>
                <w:sz w:val="17"/>
              </w:rPr>
              <w:t>Case-scoped questions return cited, basis-backed answers.</w:t>
            </w:r>
          </w:p>
        </w:tc>
      </w:tr>
      <w:tr>
        <w:tc>
          <w:tcPr>
            <w:tcW w:type="dxa" w:w="900"/>
          </w:tcPr>
          <w:p>
            <w:pPr>
              <w:keepLines w:val="0"/>
              <w:spacing w:before="0" w:after="0" w:line="276" w:lineRule="auto"/>
            </w:pPr>
            <w:r>
              <w:rPr>
                <w:rFonts w:ascii="Calibri" w:hAnsi="Calibri"/>
                <w:b w:val="0"/>
                <w:color w:val="1F2937"/>
                <w:sz w:val="17"/>
              </w:rPr>
              <w:t>TC-07</w:t>
            </w:r>
          </w:p>
        </w:tc>
        <w:tc>
          <w:tcPr>
            <w:tcW w:type="dxa" w:w="3000"/>
          </w:tcPr>
          <w:p>
            <w:pPr>
              <w:keepLines w:val="0"/>
              <w:spacing w:before="0" w:after="0" w:line="276" w:lineRule="auto"/>
            </w:pPr>
            <w:r>
              <w:rPr>
                <w:rFonts w:ascii="Calibri" w:hAnsi="Calibri"/>
                <w:b w:val="0"/>
                <w:color w:val="1F2937"/>
                <w:sz w:val="17"/>
              </w:rPr>
              <w:t>Agent trace and handoff proof</w:t>
            </w:r>
          </w:p>
        </w:tc>
        <w:tc>
          <w:tcPr>
            <w:tcW w:type="dxa" w:w="5460"/>
          </w:tcPr>
          <w:p>
            <w:pPr>
              <w:keepLines w:val="0"/>
              <w:spacing w:before="0" w:after="0" w:line="276" w:lineRule="auto"/>
            </w:pPr>
            <w:r>
              <w:rPr>
                <w:rFonts w:ascii="Calibri" w:hAnsi="Calibri"/>
                <w:b w:val="0"/>
                <w:color w:val="1F2937"/>
                <w:sz w:val="17"/>
              </w:rPr>
              <w:t>Forensics/Recovery trace rows prove how the answer/draft was produced.</w:t>
            </w:r>
          </w:p>
        </w:tc>
      </w:tr>
      <w:tr>
        <w:tc>
          <w:tcPr>
            <w:tcW w:type="dxa" w:w="900"/>
          </w:tcPr>
          <w:p>
            <w:pPr>
              <w:keepLines w:val="0"/>
              <w:spacing w:before="0" w:after="0" w:line="276" w:lineRule="auto"/>
            </w:pPr>
            <w:r>
              <w:rPr>
                <w:rFonts w:ascii="Calibri" w:hAnsi="Calibri"/>
                <w:b w:val="0"/>
                <w:color w:val="1F2937"/>
                <w:sz w:val="17"/>
              </w:rPr>
              <w:t>TC-08</w:t>
            </w:r>
          </w:p>
        </w:tc>
        <w:tc>
          <w:tcPr>
            <w:tcW w:type="dxa" w:w="3000"/>
          </w:tcPr>
          <w:p>
            <w:pPr>
              <w:keepLines w:val="0"/>
              <w:spacing w:before="0" w:after="0" w:line="276" w:lineRule="auto"/>
            </w:pPr>
            <w:r>
              <w:rPr>
                <w:rFonts w:ascii="Calibri" w:hAnsi="Calibri"/>
                <w:b w:val="0"/>
                <w:color w:val="1F2937"/>
                <w:sz w:val="17"/>
              </w:rPr>
              <w:t>Draft review and route for approval</w:t>
            </w:r>
          </w:p>
        </w:tc>
        <w:tc>
          <w:tcPr>
            <w:tcW w:type="dxa" w:w="5460"/>
          </w:tcPr>
          <w:p>
            <w:pPr>
              <w:keepLines w:val="0"/>
              <w:spacing w:before="0" w:after="0" w:line="276" w:lineRule="auto"/>
            </w:pPr>
            <w:r>
              <w:rPr>
                <w:rFonts w:ascii="Calibri" w:hAnsi="Calibri"/>
                <w:b w:val="0"/>
                <w:color w:val="1F2937"/>
                <w:sz w:val="17"/>
              </w:rPr>
              <w:t>Recovery or billing draft is readonly and human-gated.</w:t>
            </w:r>
          </w:p>
        </w:tc>
      </w:tr>
      <w:tr>
        <w:tc>
          <w:tcPr>
            <w:tcW w:type="dxa" w:w="900"/>
          </w:tcPr>
          <w:p>
            <w:pPr>
              <w:keepLines w:val="0"/>
              <w:spacing w:before="0" w:after="0" w:line="276" w:lineRule="auto"/>
            </w:pPr>
            <w:r>
              <w:rPr>
                <w:rFonts w:ascii="Calibri" w:hAnsi="Calibri"/>
                <w:b w:val="0"/>
                <w:color w:val="1F2937"/>
                <w:sz w:val="17"/>
              </w:rPr>
              <w:t>TC-09</w:t>
            </w:r>
          </w:p>
        </w:tc>
        <w:tc>
          <w:tcPr>
            <w:tcW w:type="dxa" w:w="3000"/>
          </w:tcPr>
          <w:p>
            <w:pPr>
              <w:keepLines w:val="0"/>
              <w:spacing w:before="0" w:after="0" w:line="276" w:lineRule="auto"/>
            </w:pPr>
            <w:r>
              <w:rPr>
                <w:rFonts w:ascii="Calibri" w:hAnsi="Calibri"/>
                <w:b w:val="0"/>
                <w:color w:val="1F2937"/>
                <w:sz w:val="17"/>
              </w:rPr>
              <w:t>Human approval and audit receipt</w:t>
            </w:r>
          </w:p>
        </w:tc>
        <w:tc>
          <w:tcPr>
            <w:tcW w:type="dxa" w:w="5460"/>
          </w:tcPr>
          <w:p>
            <w:pPr>
              <w:keepLines w:val="0"/>
              <w:spacing w:before="0" w:after="0" w:line="276" w:lineRule="auto"/>
            </w:pPr>
            <w:r>
              <w:rPr>
                <w:rFonts w:ascii="Calibri" w:hAnsi="Calibri"/>
                <w:b w:val="0"/>
                <w:color w:val="1F2937"/>
                <w:sz w:val="17"/>
              </w:rPr>
              <w:t>Approval records human principal, decision, status, record IDs, and audit hash.</w:t>
            </w:r>
          </w:p>
        </w:tc>
      </w:tr>
      <w:tr>
        <w:tc>
          <w:tcPr>
            <w:tcW w:type="dxa" w:w="900"/>
          </w:tcPr>
          <w:p>
            <w:pPr>
              <w:keepLines w:val="0"/>
              <w:spacing w:before="0" w:after="0" w:line="276" w:lineRule="auto"/>
            </w:pPr>
            <w:r>
              <w:rPr>
                <w:rFonts w:ascii="Calibri" w:hAnsi="Calibri"/>
                <w:b w:val="0"/>
                <w:color w:val="1F2937"/>
                <w:sz w:val="17"/>
              </w:rPr>
              <w:t>TC-10</w:t>
            </w:r>
          </w:p>
        </w:tc>
        <w:tc>
          <w:tcPr>
            <w:tcW w:type="dxa" w:w="3000"/>
          </w:tcPr>
          <w:p>
            <w:pPr>
              <w:keepLines w:val="0"/>
              <w:spacing w:before="0" w:after="0" w:line="276" w:lineRule="auto"/>
            </w:pPr>
            <w:r>
              <w:rPr>
                <w:rFonts w:ascii="Calibri" w:hAnsi="Calibri"/>
                <w:b w:val="0"/>
                <w:color w:val="1F2937"/>
                <w:sz w:val="17"/>
              </w:rPr>
              <w:t>Logout/relogin persistence</w:t>
            </w:r>
          </w:p>
        </w:tc>
        <w:tc>
          <w:tcPr>
            <w:tcW w:type="dxa" w:w="5460"/>
          </w:tcPr>
          <w:p>
            <w:pPr>
              <w:keepLines w:val="0"/>
              <w:spacing w:before="0" w:after="0" w:line="276" w:lineRule="auto"/>
            </w:pPr>
            <w:r>
              <w:rPr>
                <w:rFonts w:ascii="Calibri" w:hAnsi="Calibri"/>
                <w:b w:val="0"/>
                <w:color w:val="1F2937"/>
                <w:sz w:val="17"/>
              </w:rPr>
              <w:t>Committed approval state rehydrates and duplicate approval is blocked.</w:t>
            </w:r>
          </w:p>
        </w:tc>
      </w:tr>
      <w:tr>
        <w:tc>
          <w:tcPr>
            <w:tcW w:type="dxa" w:w="900"/>
          </w:tcPr>
          <w:p>
            <w:pPr>
              <w:keepLines w:val="0"/>
              <w:spacing w:before="0" w:after="0" w:line="276" w:lineRule="auto"/>
            </w:pPr>
            <w:r>
              <w:rPr>
                <w:rFonts w:ascii="Calibri" w:hAnsi="Calibri"/>
                <w:b w:val="0"/>
                <w:color w:val="1F2937"/>
                <w:sz w:val="17"/>
              </w:rPr>
              <w:t>TC-11</w:t>
            </w:r>
          </w:p>
        </w:tc>
        <w:tc>
          <w:tcPr>
            <w:tcW w:type="dxa" w:w="3000"/>
          </w:tcPr>
          <w:p>
            <w:pPr>
              <w:keepLines w:val="0"/>
              <w:spacing w:before="0" w:after="0" w:line="276" w:lineRule="auto"/>
            </w:pPr>
            <w:r>
              <w:rPr>
                <w:rFonts w:ascii="Calibri" w:hAnsi="Calibri"/>
                <w:b w:val="0"/>
                <w:color w:val="1F2937"/>
                <w:sz w:val="17"/>
              </w:rPr>
              <w:t>Reset of test case</w:t>
            </w:r>
          </w:p>
        </w:tc>
        <w:tc>
          <w:tcPr>
            <w:tcW w:type="dxa" w:w="5460"/>
          </w:tcPr>
          <w:p>
            <w:pPr>
              <w:keepLines w:val="0"/>
              <w:spacing w:before="0" w:after="0" w:line="276" w:lineRule="auto"/>
            </w:pPr>
            <w:r>
              <w:rPr>
                <w:rFonts w:ascii="Calibri" w:hAnsi="Calibri"/>
                <w:b w:val="0"/>
                <w:color w:val="1F2937"/>
                <w:sz w:val="17"/>
              </w:rPr>
              <w:t>Admin reset clears receipt and reopens pending human state for retest.</w:t>
            </w:r>
          </w:p>
        </w:tc>
      </w:tr>
      <w:tr>
        <w:tc>
          <w:tcPr>
            <w:tcW w:type="dxa" w:w="900"/>
          </w:tcPr>
          <w:p>
            <w:pPr>
              <w:keepLines w:val="0"/>
              <w:spacing w:before="0" w:after="0" w:line="276" w:lineRule="auto"/>
            </w:pPr>
            <w:r>
              <w:rPr>
                <w:rFonts w:ascii="Calibri" w:hAnsi="Calibri"/>
                <w:b w:val="0"/>
                <w:color w:val="1F2937"/>
                <w:sz w:val="17"/>
              </w:rPr>
              <w:t>TC-12</w:t>
            </w:r>
          </w:p>
        </w:tc>
        <w:tc>
          <w:tcPr>
            <w:tcW w:type="dxa" w:w="3000"/>
          </w:tcPr>
          <w:p>
            <w:pPr>
              <w:keepLines w:val="0"/>
              <w:spacing w:before="0" w:after="0" w:line="276" w:lineRule="auto"/>
            </w:pPr>
            <w:r>
              <w:rPr>
                <w:rFonts w:ascii="Calibri" w:hAnsi="Calibri"/>
                <w:b w:val="0"/>
                <w:color w:val="1F2937"/>
                <w:sz w:val="17"/>
              </w:rPr>
              <w:t>Agent memory scenarios</w:t>
            </w:r>
          </w:p>
        </w:tc>
        <w:tc>
          <w:tcPr>
            <w:tcW w:type="dxa" w:w="5460"/>
          </w:tcPr>
          <w:p>
            <w:pPr>
              <w:keepLines w:val="0"/>
              <w:spacing w:before="0" w:after="0" w:line="276" w:lineRule="auto"/>
            </w:pPr>
            <w:r>
              <w:rPr>
                <w:rFonts w:ascii="Calibri" w:hAnsi="Calibri"/>
                <w:b w:val="0"/>
                <w:color w:val="1F2937"/>
                <w:sz w:val="17"/>
              </w:rPr>
              <w:t>Memory captures safe selected scope only; it never stores question text or drives decisions.</w:t>
            </w:r>
          </w:p>
        </w:tc>
      </w:tr>
      <w:tr>
        <w:tc>
          <w:tcPr>
            <w:tcW w:type="dxa" w:w="900"/>
          </w:tcPr>
          <w:p>
            <w:pPr>
              <w:keepLines w:val="0"/>
              <w:spacing w:before="0" w:after="0" w:line="276" w:lineRule="auto"/>
            </w:pPr>
            <w:r>
              <w:rPr>
                <w:rFonts w:ascii="Calibri" w:hAnsi="Calibri"/>
                <w:b w:val="0"/>
                <w:color w:val="1F2937"/>
                <w:sz w:val="17"/>
              </w:rPr>
              <w:t>TC-13</w:t>
            </w:r>
          </w:p>
        </w:tc>
        <w:tc>
          <w:tcPr>
            <w:tcW w:type="dxa" w:w="3000"/>
          </w:tcPr>
          <w:p>
            <w:pPr>
              <w:keepLines w:val="0"/>
              <w:spacing w:before="0" w:after="0" w:line="276" w:lineRule="auto"/>
            </w:pPr>
            <w:r>
              <w:rPr>
                <w:rFonts w:ascii="Calibri" w:hAnsi="Calibri"/>
                <w:b w:val="0"/>
                <w:color w:val="1F2937"/>
                <w:sz w:val="17"/>
              </w:rPr>
              <w:t>RAG/vector metadata scenarios</w:t>
            </w:r>
          </w:p>
        </w:tc>
        <w:tc>
          <w:tcPr>
            <w:tcW w:type="dxa" w:w="5460"/>
          </w:tcPr>
          <w:p>
            <w:pPr>
              <w:keepLines w:val="0"/>
              <w:spacing w:before="0" w:after="0" w:line="276" w:lineRule="auto"/>
            </w:pPr>
            <w:r>
              <w:rPr>
                <w:rFonts w:ascii="Calibri" w:hAnsi="Calibri"/>
                <w:b w:val="0"/>
                <w:color w:val="1F2937"/>
                <w:sz w:val="17"/>
              </w:rPr>
              <w:t>RAG evidence remains metadata-bounded and fail-closed.</w:t>
            </w:r>
          </w:p>
        </w:tc>
      </w:tr>
      <w:tr>
        <w:tc>
          <w:tcPr>
            <w:tcW w:type="dxa" w:w="900"/>
          </w:tcPr>
          <w:p>
            <w:pPr>
              <w:keepLines w:val="0"/>
              <w:spacing w:before="0" w:after="0" w:line="276" w:lineRule="auto"/>
            </w:pPr>
            <w:r>
              <w:rPr>
                <w:rFonts w:ascii="Calibri" w:hAnsi="Calibri"/>
                <w:b w:val="0"/>
                <w:color w:val="1F2937"/>
                <w:sz w:val="17"/>
              </w:rPr>
              <w:t>TC-14</w:t>
            </w:r>
          </w:p>
        </w:tc>
        <w:tc>
          <w:tcPr>
            <w:tcW w:type="dxa" w:w="3000"/>
          </w:tcPr>
          <w:p>
            <w:pPr>
              <w:keepLines w:val="0"/>
              <w:spacing w:before="0" w:after="0" w:line="276" w:lineRule="auto"/>
            </w:pPr>
            <w:r>
              <w:rPr>
                <w:rFonts w:ascii="Calibri" w:hAnsi="Calibri"/>
                <w:b w:val="0"/>
                <w:color w:val="1F2937"/>
                <w:sz w:val="17"/>
              </w:rPr>
              <w:t>Return to worklist and stale-state check</w:t>
            </w:r>
          </w:p>
        </w:tc>
        <w:tc>
          <w:tcPr>
            <w:tcW w:type="dxa" w:w="5460"/>
          </w:tcPr>
          <w:p>
            <w:pPr>
              <w:keepLines w:val="0"/>
              <w:spacing w:before="0" w:after="0" w:line="276" w:lineRule="auto"/>
            </w:pPr>
            <w:r>
              <w:rPr>
                <w:rFonts w:ascii="Calibri" w:hAnsi="Calibri"/>
                <w:b w:val="0"/>
                <w:color w:val="1F2937"/>
                <w:sz w:val="17"/>
              </w:rPr>
              <w:t>Case detail state clears and worklist remains source-backed.</w:t>
            </w:r>
          </w:p>
        </w:tc>
      </w:tr>
      <w:tr>
        <w:tc>
          <w:tcPr>
            <w:tcW w:type="dxa" w:w="900"/>
          </w:tcPr>
          <w:p>
            <w:pPr>
              <w:keepLines w:val="0"/>
              <w:spacing w:before="0" w:after="0" w:line="276" w:lineRule="auto"/>
            </w:pPr>
            <w:r>
              <w:rPr>
                <w:rFonts w:ascii="Calibri" w:hAnsi="Calibri"/>
                <w:b w:val="0"/>
                <w:color w:val="1F2937"/>
                <w:sz w:val="17"/>
              </w:rPr>
              <w:t>TC-15</w:t>
            </w:r>
          </w:p>
        </w:tc>
        <w:tc>
          <w:tcPr>
            <w:tcW w:type="dxa" w:w="3000"/>
          </w:tcPr>
          <w:p>
            <w:pPr>
              <w:keepLines w:val="0"/>
              <w:spacing w:before="0" w:after="0" w:line="276" w:lineRule="auto"/>
            </w:pPr>
            <w:r>
              <w:rPr>
                <w:rFonts w:ascii="Calibri" w:hAnsi="Calibri"/>
                <w:b w:val="0"/>
                <w:color w:val="1F2937"/>
                <w:sz w:val="17"/>
              </w:rPr>
              <w:t>Full case breadth sweep</w:t>
            </w:r>
          </w:p>
        </w:tc>
        <w:tc>
          <w:tcPr>
            <w:tcW w:type="dxa" w:w="5460"/>
          </w:tcPr>
          <w:p>
            <w:pPr>
              <w:keepLines w:val="0"/>
              <w:spacing w:before="0" w:after="0" w:line="276" w:lineRule="auto"/>
            </w:pPr>
            <w:r>
              <w:rPr>
                <w:rFonts w:ascii="Calibri" w:hAnsi="Calibri"/>
                <w:b w:val="0"/>
                <w:color w:val="1F2937"/>
                <w:sz w:val="17"/>
              </w:rPr>
              <w:t>Human QA opens S1-S8 / all 20 line IDs where available.</w:t>
            </w:r>
          </w:p>
        </w:tc>
      </w:tr>
    </w:tbl>
    <w:p/>
    <w:p>
      <w:pPr>
        <w:pStyle w:val="Heading1"/>
        <w:keepLines/>
        <w:spacing w:before="360" w:after="200" w:line="276" w:lineRule="auto"/>
      </w:pPr>
      <w:r>
        <w:rPr>
          <w:rFonts w:ascii="Calibri" w:hAnsi="Calibri"/>
          <w:b/>
          <w:color w:val="2E74B5"/>
          <w:sz w:val="32"/>
        </w:rPr>
        <w:t>4. Detailed Test Scenarios</w:t>
      </w:r>
    </w:p>
    <w:p>
      <w:pPr>
        <w:pStyle w:val="Heading2"/>
        <w:keepLines/>
        <w:spacing w:before="280" w:after="140" w:line="276" w:lineRule="auto"/>
      </w:pPr>
      <w:r>
        <w:rPr>
          <w:rFonts w:ascii="Calibri" w:hAnsi="Calibri"/>
          <w:b/>
          <w:color w:val="2E74B5"/>
          <w:sz w:val="26"/>
        </w:rPr>
        <w:t>TC-01 - Login and workspace hydration</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1800"/>
        <w:gridCol w:w="7560"/>
      </w:tblGrid>
      <w:tr>
        <w:trPr>
          <w:tblHeader w:val="true"/>
        </w:trPr>
        <w:tc>
          <w:tcPr>
            <w:tcW w:type="dxa" w:w="180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Field</w:t>
            </w:r>
          </w:p>
        </w:tc>
        <w:tc>
          <w:tcPr>
            <w:tcW w:type="dxa" w:w="756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Detail</w:t>
            </w:r>
          </w:p>
        </w:tc>
      </w:tr>
      <w:tr>
        <w:tc>
          <w:tcPr>
            <w:tcW w:type="dxa" w:w="1800"/>
          </w:tcPr>
          <w:p>
            <w:pPr>
              <w:keepLines w:val="0"/>
              <w:spacing w:before="0" w:after="0" w:line="276" w:lineRule="auto"/>
            </w:pPr>
            <w:r>
              <w:rPr>
                <w:rFonts w:ascii="Calibri" w:hAnsi="Calibri"/>
                <w:b w:val="0"/>
                <w:color w:val="1F2937"/>
                <w:sz w:val="18"/>
              </w:rPr>
              <w:t>Purpose</w:t>
            </w:r>
          </w:p>
        </w:tc>
        <w:tc>
          <w:tcPr>
            <w:tcW w:type="dxa" w:w="7560"/>
          </w:tcPr>
          <w:p>
            <w:pPr>
              <w:keepLines w:val="0"/>
              <w:spacing w:before="0" w:after="0" w:line="276" w:lineRule="auto"/>
            </w:pPr>
            <w:r>
              <w:rPr>
                <w:rFonts w:ascii="Calibri" w:hAnsi="Calibri"/>
                <w:b w:val="0"/>
                <w:color w:val="1F2937"/>
                <w:sz w:val="18"/>
              </w:rPr>
              <w:t>Prove Maya can authenticate and reaches the source-backed Forensics workspace.</w:t>
            </w:r>
          </w:p>
        </w:tc>
      </w:tr>
      <w:tr>
        <w:tc>
          <w:tcPr>
            <w:tcW w:type="dxa" w:w="1800"/>
          </w:tcPr>
          <w:p>
            <w:pPr>
              <w:keepLines w:val="0"/>
              <w:spacing w:before="0" w:after="0" w:line="276" w:lineRule="auto"/>
            </w:pPr>
            <w:r>
              <w:rPr>
                <w:rFonts w:ascii="Calibri" w:hAnsi="Calibri"/>
                <w:b w:val="0"/>
                <w:color w:val="1F2937"/>
                <w:sz w:val="18"/>
              </w:rPr>
              <w:t>Automated/source evidence</w:t>
            </w:r>
          </w:p>
        </w:tc>
        <w:tc>
          <w:tcPr>
            <w:tcW w:type="dxa" w:w="7560"/>
          </w:tcPr>
          <w:p>
            <w:pPr>
              <w:keepLines w:val="0"/>
              <w:spacing w:before="0" w:after="0" w:line="276" w:lineRule="auto"/>
            </w:pPr>
            <w:r>
              <w:rPr>
                <w:rFonts w:ascii="Calibri" w:hAnsi="Calibri"/>
                <w:b w:val="0"/>
                <w:color w:val="1F2937"/>
                <w:sz w:val="18"/>
              </w:rPr>
              <w:t>tests/e2e/maya-real-backend-e2e.ts loginAsMaya and docs/qa/maya-journey-rag-memory-test-cases-2026-06-28.md Manual Maya Journey steps 1-2.</w:t>
            </w:r>
          </w:p>
        </w:tc>
      </w:tr>
      <w:tr>
        <w:tc>
          <w:tcPr>
            <w:tcW w:type="dxa" w:w="1800"/>
          </w:tcPr>
          <w:p>
            <w:pPr>
              <w:keepLines w:val="0"/>
              <w:spacing w:before="0" w:after="0" w:line="276" w:lineRule="auto"/>
            </w:pPr>
            <w:r>
              <w:rPr>
                <w:rFonts w:ascii="Calibri" w:hAnsi="Calibri"/>
                <w:b w:val="0"/>
                <w:color w:val="1F2937"/>
                <w:sz w:val="18"/>
              </w:rPr>
              <w:t>Where agentic makes a difference</w:t>
            </w:r>
          </w:p>
        </w:tc>
        <w:tc>
          <w:tcPr>
            <w:tcW w:type="dxa" w:w="7560"/>
          </w:tcPr>
          <w:p>
            <w:pPr>
              <w:keepLines w:val="0"/>
              <w:spacing w:before="0" w:after="0" w:line="276" w:lineRule="auto"/>
            </w:pPr>
            <w:r>
              <w:rPr>
                <w:rFonts w:ascii="Calibri" w:hAnsi="Calibri"/>
                <w:b w:val="0"/>
                <w:color w:val="1F2937"/>
                <w:sz w:val="18"/>
              </w:rPr>
              <w:t>The agentic value starts only after a selected, source-backed case context exists. Login itself should prove that Maya is entering a governed workspace, not a static demo.</w:t>
            </w:r>
          </w:p>
        </w:tc>
      </w:tr>
    </w:tbl>
    <w:p/>
    <w:p>
      <w:pPr>
        <w:pStyle w:val="Heading3"/>
        <w:keepLines/>
        <w:spacing w:before="200" w:after="100" w:line="276" w:lineRule="auto"/>
      </w:pPr>
      <w:r>
        <w:rPr>
          <w:rFonts w:ascii="Calibri" w:hAnsi="Calibri"/>
          <w:b/>
          <w:color w:val="1F4D78"/>
          <w:sz w:val="24"/>
        </w:rPr>
        <w:t>Screen navigation</w:t>
      </w:r>
    </w:p>
    <w:p>
      <w:pPr>
        <w:pStyle w:val="ListNumber"/>
        <w:keepLines w:val="0"/>
        <w:spacing w:before="0" w:after="80" w:line="300" w:lineRule="auto"/>
      </w:pPr>
      <w:r>
        <w:rPr>
          <w:rFonts w:ascii="Calibri" w:hAnsi="Calibri"/>
          <w:color w:val="1F2937"/>
        </w:rPr>
        <w:t>Open the local or deployed cockpit /login route.</w:t>
      </w:r>
    </w:p>
    <w:p>
      <w:pPr>
        <w:pStyle w:val="ListNumber"/>
        <w:keepLines w:val="0"/>
        <w:spacing w:before="0" w:after="80" w:line="300" w:lineRule="auto"/>
      </w:pPr>
      <w:r>
        <w:rPr>
          <w:rFonts w:ascii="Calibri" w:hAnsi="Calibri"/>
          <w:color w:val="1F2937"/>
        </w:rPr>
        <w:t>Confirm loginId and password fields render; no blank page or console-visible crash should appear.</w:t>
      </w:r>
    </w:p>
    <w:p>
      <w:pPr>
        <w:pStyle w:val="ListNumber"/>
        <w:keepLines w:val="0"/>
        <w:spacing w:before="0" w:after="80" w:line="300" w:lineRule="auto"/>
      </w:pPr>
      <w:r>
        <w:rPr>
          <w:rFonts w:ascii="Calibri" w:hAnsi="Calibri"/>
          <w:color w:val="1F2937"/>
        </w:rPr>
        <w:t>Enter Maya as the login ID and the approved demo password. Click Open Forensics Workspace or Open Workspace, depending on the current button copy.</w:t>
      </w:r>
    </w:p>
    <w:p>
      <w:pPr>
        <w:pStyle w:val="ListNumber"/>
        <w:keepLines w:val="0"/>
        <w:spacing w:before="0" w:after="80" w:line="300" w:lineRule="auto"/>
      </w:pPr>
      <w:r>
        <w:rPr>
          <w:rFonts w:ascii="Calibri" w:hAnsi="Calibri"/>
          <w:color w:val="1F2937"/>
        </w:rPr>
        <w:t>Wait for navigation to /forensics/shadcn.</w:t>
      </w:r>
    </w:p>
    <w:p>
      <w:pPr>
        <w:pStyle w:val="ListNumber"/>
        <w:keepLines w:val="0"/>
        <w:spacing w:before="0" w:after="80" w:line="300" w:lineRule="auto"/>
      </w:pPr>
      <w:r>
        <w:rPr>
          <w:rFonts w:ascii="Calibri" w:hAnsi="Calibri"/>
          <w:color w:val="1F2937"/>
        </w:rPr>
        <w:t>During backend delay, confirm the loading shell appears and then resolves to the Maya shadcn workbench.</w:t>
      </w:r>
    </w:p>
    <w:p>
      <w:pPr>
        <w:pStyle w:val="ListNumber"/>
        <w:keepLines w:val="0"/>
        <w:spacing w:before="0" w:after="80" w:line="300" w:lineRule="auto"/>
      </w:pPr>
      <w:r>
        <w:rPr>
          <w:rFonts w:ascii="Calibri" w:hAnsi="Calibri"/>
          <w:color w:val="1F2937"/>
        </w:rPr>
        <w:t>Click Worklist and confirm at least one worklist row renders.</w:t>
      </w:r>
    </w:p>
    <w:p>
      <w:pPr>
        <w:pStyle w:val="Heading3"/>
        <w:keepLines/>
        <w:spacing w:before="200" w:after="100" w:line="276" w:lineRule="auto"/>
      </w:pPr>
      <w:r>
        <w:rPr>
          <w:rFonts w:ascii="Calibri" w:hAnsi="Calibri"/>
          <w:b/>
          <w:color w:val="1F4D78"/>
          <w:sz w:val="24"/>
        </w:rPr>
        <w:t>What QA must check</w:t>
      </w:r>
    </w:p>
    <w:p>
      <w:pPr>
        <w:pStyle w:val="ListBullet"/>
        <w:keepLines w:val="0"/>
        <w:spacing w:before="0" w:after="80" w:line="300" w:lineRule="auto"/>
      </w:pPr>
      <w:r>
        <w:rPr>
          <w:rFonts w:ascii="Calibri" w:hAnsi="Calibri"/>
          <w:color w:val="1F2937"/>
        </w:rPr>
        <w:t>Unauthorized /forensics access redirects to /login.</w:t>
      </w:r>
    </w:p>
    <w:p>
      <w:pPr>
        <w:pStyle w:val="ListBullet"/>
        <w:keepLines w:val="0"/>
        <w:spacing w:before="0" w:after="80" w:line="300" w:lineRule="auto"/>
      </w:pPr>
      <w:r>
        <w:rPr>
          <w:rFonts w:ascii="Calibri" w:hAnsi="Calibri"/>
          <w:color w:val="1F2937"/>
        </w:rPr>
        <w:t>The workbench is not a static mock page; source readiness and worklist data load from backend/read models.</w:t>
      </w:r>
    </w:p>
    <w:p>
      <w:pPr>
        <w:pStyle w:val="ListBullet"/>
        <w:keepLines w:val="0"/>
        <w:spacing w:before="0" w:after="80" w:line="300" w:lineRule="auto"/>
      </w:pPr>
      <w:r>
        <w:rPr>
          <w:rFonts w:ascii="Calibri" w:hAnsi="Calibri"/>
          <w:color w:val="1F2937"/>
        </w:rPr>
        <w:t>If the backend is slow, the loading shell appears before data finishes instead of leaving the user with a dead screen.</w:t>
      </w:r>
    </w:p>
    <w:p>
      <w:pPr>
        <w:pStyle w:val="ListBullet"/>
        <w:keepLines w:val="0"/>
        <w:spacing w:before="0" w:after="80" w:line="300" w:lineRule="auto"/>
      </w:pPr>
      <w:r>
        <w:rPr>
          <w:rFonts w:ascii="Calibri" w:hAnsi="Calibri"/>
          <w:color w:val="1F2937"/>
        </w:rPr>
        <w:t>No credentials, tokens, or secret values are captured in notes or screenshots.</w:t>
      </w:r>
    </w:p>
    <w:p>
      <w:pPr>
        <w:pStyle w:val="Heading2"/>
        <w:keepLines/>
        <w:spacing w:before="280" w:after="140" w:line="276" w:lineRule="auto"/>
      </w:pPr>
      <w:r>
        <w:rPr>
          <w:rFonts w:ascii="Calibri" w:hAnsi="Calibri"/>
          <w:b/>
          <w:color w:val="2E74B5"/>
          <w:sz w:val="26"/>
        </w:rPr>
        <w:t>TC-02 - Source readiness and force refresh</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1800"/>
        <w:gridCol w:w="7560"/>
      </w:tblGrid>
      <w:tr>
        <w:trPr>
          <w:tblHeader w:val="true"/>
        </w:trPr>
        <w:tc>
          <w:tcPr>
            <w:tcW w:type="dxa" w:w="180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Field</w:t>
            </w:r>
          </w:p>
        </w:tc>
        <w:tc>
          <w:tcPr>
            <w:tcW w:type="dxa" w:w="756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Detail</w:t>
            </w:r>
          </w:p>
        </w:tc>
      </w:tr>
      <w:tr>
        <w:tc>
          <w:tcPr>
            <w:tcW w:type="dxa" w:w="1800"/>
          </w:tcPr>
          <w:p>
            <w:pPr>
              <w:keepLines w:val="0"/>
              <w:spacing w:before="0" w:after="0" w:line="276" w:lineRule="auto"/>
            </w:pPr>
            <w:r>
              <w:rPr>
                <w:rFonts w:ascii="Calibri" w:hAnsi="Calibri"/>
                <w:b w:val="0"/>
                <w:color w:val="1F2937"/>
                <w:sz w:val="18"/>
              </w:rPr>
              <w:t>Purpose</w:t>
            </w:r>
          </w:p>
        </w:tc>
        <w:tc>
          <w:tcPr>
            <w:tcW w:type="dxa" w:w="7560"/>
          </w:tcPr>
          <w:p>
            <w:pPr>
              <w:keepLines w:val="0"/>
              <w:spacing w:before="0" w:after="0" w:line="276" w:lineRule="auto"/>
            </w:pPr>
            <w:r>
              <w:rPr>
                <w:rFonts w:ascii="Calibri" w:hAnsi="Calibri"/>
                <w:b w:val="0"/>
                <w:color w:val="1F2937"/>
                <w:sz w:val="18"/>
              </w:rPr>
              <w:t>Prove Maya sees honest source-readiness state and can force a source-backed refresh.</w:t>
            </w:r>
          </w:p>
        </w:tc>
      </w:tr>
      <w:tr>
        <w:tc>
          <w:tcPr>
            <w:tcW w:type="dxa" w:w="1800"/>
          </w:tcPr>
          <w:p>
            <w:pPr>
              <w:keepLines w:val="0"/>
              <w:spacing w:before="0" w:after="0" w:line="276" w:lineRule="auto"/>
            </w:pPr>
            <w:r>
              <w:rPr>
                <w:rFonts w:ascii="Calibri" w:hAnsi="Calibri"/>
                <w:b w:val="0"/>
                <w:color w:val="1F2937"/>
                <w:sz w:val="18"/>
              </w:rPr>
              <w:t>Automated/source evidence</w:t>
            </w:r>
          </w:p>
        </w:tc>
        <w:tc>
          <w:tcPr>
            <w:tcW w:type="dxa" w:w="7560"/>
          </w:tcPr>
          <w:p>
            <w:pPr>
              <w:keepLines w:val="0"/>
              <w:spacing w:before="0" w:after="0" w:line="276" w:lineRule="auto"/>
            </w:pPr>
            <w:r>
              <w:rPr>
                <w:rFonts w:ascii="Calibri" w:hAnsi="Calibri"/>
                <w:b w:val="0"/>
                <w:color w:val="1F2937"/>
                <w:sz w:val="18"/>
              </w:rPr>
              <w:t>tests/e2e/maya-real-backend-e2e.ts assertRenderedSourceReadinessMatchesBackend and assertForceRefreshReloadsSourceBackedWorklist.</w:t>
            </w:r>
          </w:p>
        </w:tc>
      </w:tr>
      <w:tr>
        <w:tc>
          <w:tcPr>
            <w:tcW w:type="dxa" w:w="1800"/>
          </w:tcPr>
          <w:p>
            <w:pPr>
              <w:keepLines w:val="0"/>
              <w:spacing w:before="0" w:after="0" w:line="276" w:lineRule="auto"/>
            </w:pPr>
            <w:r>
              <w:rPr>
                <w:rFonts w:ascii="Calibri" w:hAnsi="Calibri"/>
                <w:b w:val="0"/>
                <w:color w:val="1F2937"/>
                <w:sz w:val="18"/>
              </w:rPr>
              <w:t>Where agentic makes a difference</w:t>
            </w:r>
          </w:p>
        </w:tc>
        <w:tc>
          <w:tcPr>
            <w:tcW w:type="dxa" w:w="7560"/>
          </w:tcPr>
          <w:p>
            <w:pPr>
              <w:keepLines w:val="0"/>
              <w:spacing w:before="0" w:after="0" w:line="276" w:lineRule="auto"/>
            </w:pPr>
            <w:r>
              <w:rPr>
                <w:rFonts w:ascii="Calibri" w:hAnsi="Calibri"/>
                <w:b w:val="0"/>
                <w:color w:val="1F2937"/>
                <w:sz w:val="18"/>
              </w:rPr>
              <w:t>Agentic behavior is only trusted when the source rail says the underlying evidence is available or honestly fail-closed. The refresh path lets Maya rehydrate real sources before asking the agent to reason.</w:t>
            </w:r>
          </w:p>
        </w:tc>
      </w:tr>
    </w:tbl>
    <w:p/>
    <w:p>
      <w:pPr>
        <w:pStyle w:val="Heading3"/>
        <w:keepLines/>
        <w:spacing w:before="200" w:after="100" w:line="276" w:lineRule="auto"/>
      </w:pPr>
      <w:r>
        <w:rPr>
          <w:rFonts w:ascii="Calibri" w:hAnsi="Calibri"/>
          <w:b/>
          <w:color w:val="1F4D78"/>
          <w:sz w:val="24"/>
        </w:rPr>
        <w:t>Screen navigation</w:t>
      </w:r>
    </w:p>
    <w:p>
      <w:pPr>
        <w:pStyle w:val="ListNumber"/>
        <w:keepLines w:val="0"/>
        <w:spacing w:before="0" w:after="80" w:line="300" w:lineRule="auto"/>
      </w:pPr>
      <w:r>
        <w:rPr>
          <w:rFonts w:ascii="Calibri" w:hAnsi="Calibri"/>
          <w:color w:val="1F2937"/>
        </w:rPr>
        <w:t>From the workbench, open Overview.</w:t>
      </w:r>
    </w:p>
    <w:p>
      <w:pPr>
        <w:pStyle w:val="ListNumber"/>
        <w:keepLines w:val="0"/>
        <w:spacing w:before="0" w:after="80" w:line="300" w:lineRule="auto"/>
      </w:pPr>
      <w:r>
        <w:rPr>
          <w:rFonts w:ascii="Calibri" w:hAnsi="Calibri"/>
          <w:color w:val="1F2937"/>
        </w:rPr>
        <w:t>Inspect the source readiness strip at the top of the workspace.</w:t>
      </w:r>
    </w:p>
    <w:p>
      <w:pPr>
        <w:pStyle w:val="ListNumber"/>
        <w:keepLines w:val="0"/>
        <w:spacing w:before="0" w:after="80" w:line="300" w:lineRule="auto"/>
      </w:pPr>
      <w:r>
        <w:rPr>
          <w:rFonts w:ascii="Calibri" w:hAnsi="Calibri"/>
          <w:color w:val="1F2937"/>
        </w:rPr>
        <w:t>Confirm each tile has a label, state, mode/proof details, and a status tone such as ready, synthetic, or blocked.</w:t>
      </w:r>
    </w:p>
    <w:p>
      <w:pPr>
        <w:pStyle w:val="ListNumber"/>
        <w:keepLines w:val="0"/>
        <w:spacing w:before="0" w:after="80" w:line="300" w:lineRule="auto"/>
      </w:pPr>
      <w:r>
        <w:rPr>
          <w:rFonts w:ascii="Calibri" w:hAnsi="Calibri"/>
          <w:color w:val="1F2937"/>
        </w:rPr>
        <w:t>Open Worklist and click the force-refresh/source-refresh control when available.</w:t>
      </w:r>
    </w:p>
    <w:p>
      <w:pPr>
        <w:pStyle w:val="ListNumber"/>
        <w:keepLines w:val="0"/>
        <w:spacing w:before="0" w:after="80" w:line="300" w:lineRule="auto"/>
      </w:pPr>
      <w:r>
        <w:rPr>
          <w:rFonts w:ascii="Calibri" w:hAnsi="Calibri"/>
          <w:color w:val="1F2937"/>
        </w:rPr>
        <w:t>Wait for refresh to complete and confirm the worklist rows return from /forensics/refresh.</w:t>
      </w:r>
    </w:p>
    <w:p>
      <w:pPr>
        <w:pStyle w:val="ListNumber"/>
        <w:keepLines w:val="0"/>
        <w:spacing w:before="0" w:after="80" w:line="300" w:lineRule="auto"/>
      </w:pPr>
      <w:r>
        <w:rPr>
          <w:rFonts w:ascii="Calibri" w:hAnsi="Calibri"/>
          <w:color w:val="1F2937"/>
        </w:rPr>
        <w:t>Re-open source details if any source is blocked or synthetic and record the fail-closed reason.</w:t>
      </w:r>
    </w:p>
    <w:p>
      <w:pPr>
        <w:pStyle w:val="Heading3"/>
        <w:keepLines/>
        <w:spacing w:before="200" w:after="100" w:line="276" w:lineRule="auto"/>
      </w:pPr>
      <w:r>
        <w:rPr>
          <w:rFonts w:ascii="Calibri" w:hAnsi="Calibri"/>
          <w:b/>
          <w:color w:val="1F4D78"/>
          <w:sz w:val="24"/>
        </w:rPr>
        <w:t>What QA must check</w:t>
      </w:r>
    </w:p>
    <w:p>
      <w:pPr>
        <w:pStyle w:val="ListBullet"/>
        <w:keepLines w:val="0"/>
        <w:spacing w:before="0" w:after="80" w:line="300" w:lineRule="auto"/>
      </w:pPr>
      <w:r>
        <w:rPr>
          <w:rFonts w:ascii="Calibri" w:hAnsi="Calibri"/>
          <w:color w:val="1F2937"/>
        </w:rPr>
        <w:t>Source tiles match the connector model; red/blocked states are not hidden as green success.</w:t>
      </w:r>
    </w:p>
    <w:p>
      <w:pPr>
        <w:pStyle w:val="ListBullet"/>
        <w:keepLines w:val="0"/>
        <w:spacing w:before="0" w:after="80" w:line="300" w:lineRule="auto"/>
      </w:pPr>
      <w:r>
        <w:rPr>
          <w:rFonts w:ascii="Calibri" w:hAnsi="Calibri"/>
          <w:color w:val="1F2937"/>
        </w:rPr>
        <w:t>Refresh reloads a source-backed worklist and does not create dummy rows.</w:t>
      </w:r>
    </w:p>
    <w:p>
      <w:pPr>
        <w:pStyle w:val="ListBullet"/>
        <w:keepLines w:val="0"/>
        <w:spacing w:before="0" w:after="80" w:line="300" w:lineRule="auto"/>
      </w:pPr>
      <w:r>
        <w:rPr>
          <w:rFonts w:ascii="Calibri" w:hAnsi="Calibri"/>
          <w:color w:val="1F2937"/>
        </w:rPr>
        <w:t>If a source is unavailable, QA records the source gap and does not approve a business action from stale or missing evidence.</w:t>
      </w:r>
    </w:p>
    <w:p>
      <w:pPr>
        <w:pStyle w:val="Heading2"/>
        <w:keepLines/>
        <w:spacing w:before="280" w:after="140" w:line="276" w:lineRule="auto"/>
      </w:pPr>
      <w:r>
        <w:rPr>
          <w:rFonts w:ascii="Calibri" w:hAnsi="Calibri"/>
          <w:b/>
          <w:color w:val="2E74B5"/>
          <w:sz w:val="26"/>
        </w:rPr>
        <w:t>TC-03 - Worklist triage and selecting a test case</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1800"/>
        <w:gridCol w:w="7560"/>
      </w:tblGrid>
      <w:tr>
        <w:trPr>
          <w:tblHeader w:val="true"/>
        </w:trPr>
        <w:tc>
          <w:tcPr>
            <w:tcW w:type="dxa" w:w="180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Field</w:t>
            </w:r>
          </w:p>
        </w:tc>
        <w:tc>
          <w:tcPr>
            <w:tcW w:type="dxa" w:w="756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Detail</w:t>
            </w:r>
          </w:p>
        </w:tc>
      </w:tr>
      <w:tr>
        <w:tc>
          <w:tcPr>
            <w:tcW w:type="dxa" w:w="1800"/>
          </w:tcPr>
          <w:p>
            <w:pPr>
              <w:keepLines w:val="0"/>
              <w:spacing w:before="0" w:after="0" w:line="276" w:lineRule="auto"/>
            </w:pPr>
            <w:r>
              <w:rPr>
                <w:rFonts w:ascii="Calibri" w:hAnsi="Calibri"/>
                <w:b w:val="0"/>
                <w:color w:val="1F2937"/>
                <w:sz w:val="18"/>
              </w:rPr>
              <w:t>Purpose</w:t>
            </w:r>
          </w:p>
        </w:tc>
        <w:tc>
          <w:tcPr>
            <w:tcW w:type="dxa" w:w="7560"/>
          </w:tcPr>
          <w:p>
            <w:pPr>
              <w:keepLines w:val="0"/>
              <w:spacing w:before="0" w:after="0" w:line="276" w:lineRule="auto"/>
            </w:pPr>
            <w:r>
              <w:rPr>
                <w:rFonts w:ascii="Calibri" w:hAnsi="Calibri"/>
                <w:b w:val="0"/>
                <w:color w:val="1F2937"/>
                <w:sz w:val="18"/>
              </w:rPr>
              <w:t>Prove Maya can choose a case from the daily queue and that the row data is source-backed.</w:t>
            </w:r>
          </w:p>
        </w:tc>
      </w:tr>
      <w:tr>
        <w:tc>
          <w:tcPr>
            <w:tcW w:type="dxa" w:w="1800"/>
          </w:tcPr>
          <w:p>
            <w:pPr>
              <w:keepLines w:val="0"/>
              <w:spacing w:before="0" w:after="0" w:line="276" w:lineRule="auto"/>
            </w:pPr>
            <w:r>
              <w:rPr>
                <w:rFonts w:ascii="Calibri" w:hAnsi="Calibri"/>
                <w:b w:val="0"/>
                <w:color w:val="1F2937"/>
                <w:sz w:val="18"/>
              </w:rPr>
              <w:t>Automated/source evidence</w:t>
            </w:r>
          </w:p>
        </w:tc>
        <w:tc>
          <w:tcPr>
            <w:tcW w:type="dxa" w:w="7560"/>
          </w:tcPr>
          <w:p>
            <w:pPr>
              <w:keepLines w:val="0"/>
              <w:spacing w:before="0" w:after="0" w:line="276" w:lineRule="auto"/>
            </w:pPr>
            <w:r>
              <w:rPr>
                <w:rFonts w:ascii="Calibri" w:hAnsi="Calibri"/>
                <w:b w:val="0"/>
                <w:color w:val="1F2937"/>
                <w:sz w:val="18"/>
              </w:rPr>
              <w:t>tests/e2e/maya-real-backend-e2e.ts assertRenderedWorklistTableMatchesBackend, assertRenderedRecommendedActionCellMatchesBackend, and openOneRealBackendWorkItem.</w:t>
            </w:r>
          </w:p>
        </w:tc>
      </w:tr>
      <w:tr>
        <w:tc>
          <w:tcPr>
            <w:tcW w:type="dxa" w:w="1800"/>
          </w:tcPr>
          <w:p>
            <w:pPr>
              <w:keepLines w:val="0"/>
              <w:spacing w:before="0" w:after="0" w:line="276" w:lineRule="auto"/>
            </w:pPr>
            <w:r>
              <w:rPr>
                <w:rFonts w:ascii="Calibri" w:hAnsi="Calibri"/>
                <w:b w:val="0"/>
                <w:color w:val="1F2937"/>
                <w:sz w:val="18"/>
              </w:rPr>
              <w:t>Where agentic makes a difference</w:t>
            </w:r>
          </w:p>
        </w:tc>
        <w:tc>
          <w:tcPr>
            <w:tcW w:type="dxa" w:w="7560"/>
          </w:tcPr>
          <w:p>
            <w:pPr>
              <w:keepLines w:val="0"/>
              <w:spacing w:before="0" w:after="0" w:line="276" w:lineRule="auto"/>
            </w:pPr>
            <w:r>
              <w:rPr>
                <w:rFonts w:ascii="Calibri" w:hAnsi="Calibri"/>
                <w:b w:val="0"/>
                <w:color w:val="1F2937"/>
                <w:sz w:val="18"/>
              </w:rPr>
              <w:t>The agentic difference is prioritization: Maya starts from a pre-triaged, evidence-ranked worklist instead of twenty raw deduction lines. QA still verifies that the triage labels are source-derived.</w:t>
            </w:r>
          </w:p>
        </w:tc>
      </w:tr>
    </w:tbl>
    <w:p/>
    <w:p>
      <w:pPr>
        <w:pStyle w:val="Heading3"/>
        <w:keepLines/>
        <w:spacing w:before="200" w:after="100" w:line="276" w:lineRule="auto"/>
      </w:pPr>
      <w:r>
        <w:rPr>
          <w:rFonts w:ascii="Calibri" w:hAnsi="Calibri"/>
          <w:b/>
          <w:color w:val="1F4D78"/>
          <w:sz w:val="24"/>
        </w:rPr>
        <w:t>Screen navigation</w:t>
      </w:r>
    </w:p>
    <w:p>
      <w:pPr>
        <w:pStyle w:val="ListNumber"/>
        <w:keepLines w:val="0"/>
        <w:spacing w:before="0" w:after="80" w:line="300" w:lineRule="auto"/>
      </w:pPr>
      <w:r>
        <w:rPr>
          <w:rFonts w:ascii="Calibri" w:hAnsi="Calibri"/>
          <w:color w:val="1F2937"/>
        </w:rPr>
        <w:t>Click Worklist in the left sidebar or click the header work-item count shortcut.</w:t>
      </w:r>
    </w:p>
    <w:p>
      <w:pPr>
        <w:pStyle w:val="ListNumber"/>
        <w:keepLines w:val="0"/>
        <w:spacing w:before="0" w:after="80" w:line="300" w:lineRule="auto"/>
      </w:pPr>
      <w:r>
        <w:rPr>
          <w:rFonts w:ascii="Calibri" w:hAnsi="Calibri"/>
          <w:color w:val="1F2937"/>
        </w:rPr>
        <w:t>Scan rows for scenario label, customer label, amount, verdict label, evidence score, evidence label, queue, routing label, and recommended action.</w:t>
      </w:r>
    </w:p>
    <w:p>
      <w:pPr>
        <w:pStyle w:val="ListNumber"/>
        <w:keepLines w:val="0"/>
        <w:spacing w:before="0" w:after="80" w:line="300" w:lineRule="auto"/>
      </w:pPr>
      <w:r>
        <w:rPr>
          <w:rFonts w:ascii="Calibri" w:hAnsi="Calibri"/>
          <w:color w:val="1F2937"/>
        </w:rPr>
        <w:t>For approval lifecycle, select S1-L1 if present. For query proof, select S3-L1 if present. For memory/vector checks, select S6-L1 if present.</w:t>
      </w:r>
    </w:p>
    <w:p>
      <w:pPr>
        <w:pStyle w:val="ListNumber"/>
        <w:keepLines w:val="0"/>
        <w:spacing w:before="0" w:after="80" w:line="300" w:lineRule="auto"/>
      </w:pPr>
      <w:r>
        <w:rPr>
          <w:rFonts w:ascii="Calibri" w:hAnsi="Calibri"/>
          <w:color w:val="1F2937"/>
        </w:rPr>
        <w:t>Click the row or its Open action. If a local open button appears after row selection, click Open.</w:t>
      </w:r>
    </w:p>
    <w:p>
      <w:pPr>
        <w:pStyle w:val="ListNumber"/>
        <w:keepLines w:val="0"/>
        <w:spacing w:before="0" w:after="80" w:line="300" w:lineRule="auto"/>
      </w:pPr>
      <w:r>
        <w:rPr>
          <w:rFonts w:ascii="Calibri" w:hAnsi="Calibri"/>
          <w:color w:val="1F2937"/>
        </w:rPr>
        <w:t>Wait for the case workspace to render.</w:t>
      </w:r>
    </w:p>
    <w:p>
      <w:pPr>
        <w:pStyle w:val="ListNumber"/>
        <w:keepLines w:val="0"/>
        <w:spacing w:before="0" w:after="80" w:line="300" w:lineRule="auto"/>
      </w:pPr>
      <w:r>
        <w:rPr>
          <w:rFonts w:ascii="Calibri" w:hAnsi="Calibri"/>
          <w:color w:val="1F2937"/>
        </w:rPr>
        <w:t>Record selected line ID, scenario label, customer label, route, and recommended action as visible on screen.</w:t>
      </w:r>
    </w:p>
    <w:p>
      <w:pPr>
        <w:pStyle w:val="Heading3"/>
        <w:keepLines/>
        <w:spacing w:before="200" w:after="100" w:line="276" w:lineRule="auto"/>
      </w:pPr>
      <w:r>
        <w:rPr>
          <w:rFonts w:ascii="Calibri" w:hAnsi="Calibri"/>
          <w:b/>
          <w:color w:val="1F4D78"/>
          <w:sz w:val="24"/>
        </w:rPr>
        <w:t>What QA must check</w:t>
      </w:r>
    </w:p>
    <w:p>
      <w:pPr>
        <w:pStyle w:val="ListBullet"/>
        <w:keepLines w:val="0"/>
        <w:spacing w:before="0" w:after="80" w:line="300" w:lineRule="auto"/>
      </w:pPr>
      <w:r>
        <w:rPr>
          <w:rFonts w:ascii="Calibri" w:hAnsi="Calibri"/>
          <w:color w:val="1F2937"/>
        </w:rPr>
        <w:t>Rendered row count matches backend worklist count.</w:t>
      </w:r>
    </w:p>
    <w:p>
      <w:pPr>
        <w:pStyle w:val="ListBullet"/>
        <w:keepLines w:val="0"/>
        <w:spacing w:before="0" w:after="80" w:line="300" w:lineRule="auto"/>
      </w:pPr>
      <w:r>
        <w:rPr>
          <w:rFonts w:ascii="Calibri" w:hAnsi="Calibri"/>
          <w:color w:val="1F2937"/>
        </w:rPr>
        <w:t>Every visible row label is backed by the read model. No placeholder customer, route, evidence, or dollar value appears.</w:t>
      </w:r>
    </w:p>
    <w:p>
      <w:pPr>
        <w:pStyle w:val="ListBullet"/>
        <w:keepLines w:val="0"/>
        <w:spacing w:before="0" w:after="80" w:line="300" w:lineRule="auto"/>
      </w:pPr>
      <w:r>
        <w:rPr>
          <w:rFonts w:ascii="Calibri" w:hAnsi="Calibri"/>
          <w:color w:val="1F2937"/>
        </w:rPr>
        <w:t>Recommended action badges match backend action labels.</w:t>
      </w:r>
    </w:p>
    <w:p>
      <w:pPr>
        <w:pStyle w:val="ListBullet"/>
        <w:keepLines w:val="0"/>
        <w:spacing w:before="0" w:after="80" w:line="300" w:lineRule="auto"/>
      </w:pPr>
      <w:r>
        <w:rPr>
          <w:rFonts w:ascii="Calibri" w:hAnsi="Calibri"/>
          <w:color w:val="1F2937"/>
        </w:rPr>
        <w:t>Opening a row calls the work-item detail route and does not reuse wrong-row evidence.</w:t>
      </w:r>
    </w:p>
    <w:p>
      <w:pPr>
        <w:pStyle w:val="Heading2"/>
        <w:keepLines/>
        <w:spacing w:before="280" w:after="140" w:line="276" w:lineRule="auto"/>
      </w:pPr>
      <w:r>
        <w:rPr>
          <w:rFonts w:ascii="Calibri" w:hAnsi="Calibri"/>
          <w:b/>
          <w:color w:val="2E74B5"/>
          <w:sz w:val="26"/>
        </w:rPr>
        <w:t>TC-04 - Case overview and line selector</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1800"/>
        <w:gridCol w:w="7560"/>
      </w:tblGrid>
      <w:tr>
        <w:trPr>
          <w:tblHeader w:val="true"/>
        </w:trPr>
        <w:tc>
          <w:tcPr>
            <w:tcW w:type="dxa" w:w="180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Field</w:t>
            </w:r>
          </w:p>
        </w:tc>
        <w:tc>
          <w:tcPr>
            <w:tcW w:type="dxa" w:w="756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Detail</w:t>
            </w:r>
          </w:p>
        </w:tc>
      </w:tr>
      <w:tr>
        <w:tc>
          <w:tcPr>
            <w:tcW w:type="dxa" w:w="1800"/>
          </w:tcPr>
          <w:p>
            <w:pPr>
              <w:keepLines w:val="0"/>
              <w:spacing w:before="0" w:after="0" w:line="276" w:lineRule="auto"/>
            </w:pPr>
            <w:r>
              <w:rPr>
                <w:rFonts w:ascii="Calibri" w:hAnsi="Calibri"/>
                <w:b w:val="0"/>
                <w:color w:val="1F2937"/>
                <w:sz w:val="18"/>
              </w:rPr>
              <w:t>Purpose</w:t>
            </w:r>
          </w:p>
        </w:tc>
        <w:tc>
          <w:tcPr>
            <w:tcW w:type="dxa" w:w="7560"/>
          </w:tcPr>
          <w:p>
            <w:pPr>
              <w:keepLines w:val="0"/>
              <w:spacing w:before="0" w:after="0" w:line="276" w:lineRule="auto"/>
            </w:pPr>
            <w:r>
              <w:rPr>
                <w:rFonts w:ascii="Calibri" w:hAnsi="Calibri"/>
                <w:b w:val="0"/>
                <w:color w:val="1F2937"/>
                <w:sz w:val="18"/>
              </w:rPr>
              <w:t>Prove the opened case shows the selected line, deterministic basis, and line-level source details without exposing raw IDs as primary UI clutter.</w:t>
            </w:r>
          </w:p>
        </w:tc>
      </w:tr>
      <w:tr>
        <w:tc>
          <w:tcPr>
            <w:tcW w:type="dxa" w:w="1800"/>
          </w:tcPr>
          <w:p>
            <w:pPr>
              <w:keepLines w:val="0"/>
              <w:spacing w:before="0" w:after="0" w:line="276" w:lineRule="auto"/>
            </w:pPr>
            <w:r>
              <w:rPr>
                <w:rFonts w:ascii="Calibri" w:hAnsi="Calibri"/>
                <w:b w:val="0"/>
                <w:color w:val="1F2937"/>
                <w:sz w:val="18"/>
              </w:rPr>
              <w:t>Automated/source evidence</w:t>
            </w:r>
          </w:p>
        </w:tc>
        <w:tc>
          <w:tcPr>
            <w:tcW w:type="dxa" w:w="7560"/>
          </w:tcPr>
          <w:p>
            <w:pPr>
              <w:keepLines w:val="0"/>
              <w:spacing w:before="0" w:after="0" w:line="276" w:lineRule="auto"/>
            </w:pPr>
            <w:r>
              <w:rPr>
                <w:rFonts w:ascii="Calibri" w:hAnsi="Calibri"/>
                <w:b w:val="0"/>
                <w:color w:val="1F2937"/>
                <w:sz w:val="18"/>
              </w:rPr>
              <w:t>tests/e2e/maya-real-backend-e2e.ts assertCaseLineSelectorControls and assertSelectedCaseLineOverviewMatchesBackend.</w:t>
            </w:r>
          </w:p>
        </w:tc>
      </w:tr>
      <w:tr>
        <w:tc>
          <w:tcPr>
            <w:tcW w:type="dxa" w:w="1800"/>
          </w:tcPr>
          <w:p>
            <w:pPr>
              <w:keepLines w:val="0"/>
              <w:spacing w:before="0" w:after="0" w:line="276" w:lineRule="auto"/>
            </w:pPr>
            <w:r>
              <w:rPr>
                <w:rFonts w:ascii="Calibri" w:hAnsi="Calibri"/>
                <w:b w:val="0"/>
                <w:color w:val="1F2937"/>
                <w:sz w:val="18"/>
              </w:rPr>
              <w:t>Where agentic makes a difference</w:t>
            </w:r>
          </w:p>
        </w:tc>
        <w:tc>
          <w:tcPr>
            <w:tcW w:type="dxa" w:w="7560"/>
          </w:tcPr>
          <w:p>
            <w:pPr>
              <w:keepLines w:val="0"/>
              <w:spacing w:before="0" w:after="0" w:line="276" w:lineRule="auto"/>
            </w:pPr>
            <w:r>
              <w:rPr>
                <w:rFonts w:ascii="Calibri" w:hAnsi="Calibri"/>
                <w:b w:val="0"/>
                <w:color w:val="1F2937"/>
                <w:sz w:val="18"/>
              </w:rPr>
              <w:t>The agentic surface depends on exact selected evidence scope. This scenario proves the agent will reason over the selected line rather than a stale or neighboring line.</w:t>
            </w:r>
          </w:p>
        </w:tc>
      </w:tr>
    </w:tbl>
    <w:p/>
    <w:p>
      <w:pPr>
        <w:pStyle w:val="Heading3"/>
        <w:keepLines/>
        <w:spacing w:before="200" w:after="100" w:line="276" w:lineRule="auto"/>
      </w:pPr>
      <w:r>
        <w:rPr>
          <w:rFonts w:ascii="Calibri" w:hAnsi="Calibri"/>
          <w:b/>
          <w:color w:val="1F4D78"/>
          <w:sz w:val="24"/>
        </w:rPr>
        <w:t>Screen navigation</w:t>
      </w:r>
    </w:p>
    <w:p>
      <w:pPr>
        <w:pStyle w:val="ListNumber"/>
        <w:keepLines w:val="0"/>
        <w:spacing w:before="0" w:after="80" w:line="300" w:lineRule="auto"/>
      </w:pPr>
      <w:r>
        <w:rPr>
          <w:rFonts w:ascii="Calibri" w:hAnsi="Calibri"/>
          <w:color w:val="1F2937"/>
        </w:rPr>
        <w:t>Inside the case workspace, open the Overview tab.</w:t>
      </w:r>
    </w:p>
    <w:p>
      <w:pPr>
        <w:pStyle w:val="ListNumber"/>
        <w:keepLines w:val="0"/>
        <w:spacing w:before="0" w:after="80" w:line="300" w:lineRule="auto"/>
      </w:pPr>
      <w:r>
        <w:rPr>
          <w:rFonts w:ascii="Calibri" w:hAnsi="Calibri"/>
          <w:color w:val="1F2937"/>
        </w:rPr>
        <w:t>Read the selected-line label and deterministic basis.</w:t>
      </w:r>
    </w:p>
    <w:p>
      <w:pPr>
        <w:pStyle w:val="ListNumber"/>
        <w:keepLines w:val="0"/>
        <w:spacing w:before="0" w:after="80" w:line="300" w:lineRule="auto"/>
      </w:pPr>
      <w:r>
        <w:rPr>
          <w:rFonts w:ascii="Calibri" w:hAnsi="Calibri"/>
          <w:color w:val="1F2937"/>
        </w:rPr>
        <w:t>If the work item has multiple lines, click Line 2, then Line 3 if present, and return to the original selected line.</w:t>
      </w:r>
    </w:p>
    <w:p>
      <w:pPr>
        <w:pStyle w:val="ListNumber"/>
        <w:keepLines w:val="0"/>
        <w:spacing w:before="0" w:after="80" w:line="300" w:lineRule="auto"/>
      </w:pPr>
      <w:r>
        <w:rPr>
          <w:rFonts w:ascii="Calibri" w:hAnsi="Calibri"/>
          <w:color w:val="1F2937"/>
        </w:rPr>
        <w:t>Open Line source details and confirm the raw backend line ID is available there.</w:t>
      </w:r>
    </w:p>
    <w:p>
      <w:pPr>
        <w:pStyle w:val="ListNumber"/>
        <w:keepLines w:val="0"/>
        <w:spacing w:before="0" w:after="80" w:line="300" w:lineRule="auto"/>
      </w:pPr>
      <w:r>
        <w:rPr>
          <w:rFonts w:ascii="Calibri" w:hAnsi="Calibri"/>
          <w:color w:val="1F2937"/>
        </w:rPr>
        <w:t>Verify the Overview basis updates when switching lines.</w:t>
      </w:r>
    </w:p>
    <w:p>
      <w:pPr>
        <w:pStyle w:val="ListNumber"/>
        <w:keepLines w:val="0"/>
        <w:spacing w:before="0" w:after="80" w:line="300" w:lineRule="auto"/>
      </w:pPr>
      <w:r>
        <w:rPr>
          <w:rFonts w:ascii="Calibri" w:hAnsi="Calibri"/>
          <w:color w:val="1F2937"/>
        </w:rPr>
        <w:t>Return to the original selected line before continuing to Evidence or Query.</w:t>
      </w:r>
    </w:p>
    <w:p>
      <w:pPr>
        <w:pStyle w:val="Heading3"/>
        <w:keepLines/>
        <w:spacing w:before="200" w:after="100" w:line="276" w:lineRule="auto"/>
      </w:pPr>
      <w:r>
        <w:rPr>
          <w:rFonts w:ascii="Calibri" w:hAnsi="Calibri"/>
          <w:b/>
          <w:color w:val="1F4D78"/>
          <w:sz w:val="24"/>
        </w:rPr>
        <w:t>What QA must check</w:t>
      </w:r>
    </w:p>
    <w:p>
      <w:pPr>
        <w:pStyle w:val="ListBullet"/>
        <w:keepLines w:val="0"/>
        <w:spacing w:before="0" w:after="80" w:line="300" w:lineRule="auto"/>
      </w:pPr>
      <w:r>
        <w:rPr>
          <w:rFonts w:ascii="Calibri" w:hAnsi="Calibri"/>
          <w:color w:val="1F2937"/>
        </w:rPr>
        <w:t>Primary line controls say Line 1, Line 2, etc.; raw IDs are not used as the main button labels.</w:t>
      </w:r>
    </w:p>
    <w:p>
      <w:pPr>
        <w:pStyle w:val="ListBullet"/>
        <w:keepLines w:val="0"/>
        <w:spacing w:before="0" w:after="80" w:line="300" w:lineRule="auto"/>
      </w:pPr>
      <w:r>
        <w:rPr>
          <w:rFonts w:ascii="Calibri" w:hAnsi="Calibri"/>
          <w:color w:val="1F2937"/>
        </w:rPr>
        <w:t>Line source details include the backend raw line ID for auditability.</w:t>
      </w:r>
    </w:p>
    <w:p>
      <w:pPr>
        <w:pStyle w:val="ListBullet"/>
        <w:keepLines w:val="0"/>
        <w:spacing w:before="0" w:after="80" w:line="300" w:lineRule="auto"/>
      </w:pPr>
      <w:r>
        <w:rPr>
          <w:rFonts w:ascii="Calibri" w:hAnsi="Calibri"/>
          <w:color w:val="1F2937"/>
        </w:rPr>
        <w:t>Selected payload, recommended action, and recovery draft all move together when the selected line changes.</w:t>
      </w:r>
    </w:p>
    <w:p>
      <w:pPr>
        <w:pStyle w:val="ListBullet"/>
        <w:keepLines w:val="0"/>
        <w:spacing w:before="0" w:after="80" w:line="300" w:lineRule="auto"/>
      </w:pPr>
      <w:r>
        <w:rPr>
          <w:rFonts w:ascii="Calibri" w:hAnsi="Calibri"/>
          <w:color w:val="1F2937"/>
        </w:rPr>
        <w:t>No wrong-row basis or recommendation remains after line switching.</w:t>
      </w:r>
    </w:p>
    <w:p>
      <w:pPr>
        <w:pStyle w:val="Heading2"/>
        <w:keepLines/>
        <w:spacing w:before="280" w:after="140" w:line="276" w:lineRule="auto"/>
      </w:pPr>
      <w:r>
        <w:rPr>
          <w:rFonts w:ascii="Calibri" w:hAnsi="Calibri"/>
          <w:b/>
          <w:color w:val="2E74B5"/>
          <w:sz w:val="26"/>
        </w:rPr>
        <w:t>TC-05 - Evidence dossier and provenance</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1800"/>
        <w:gridCol w:w="7560"/>
      </w:tblGrid>
      <w:tr>
        <w:trPr>
          <w:tblHeader w:val="true"/>
        </w:trPr>
        <w:tc>
          <w:tcPr>
            <w:tcW w:type="dxa" w:w="180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Field</w:t>
            </w:r>
          </w:p>
        </w:tc>
        <w:tc>
          <w:tcPr>
            <w:tcW w:type="dxa" w:w="756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Detail</w:t>
            </w:r>
          </w:p>
        </w:tc>
      </w:tr>
      <w:tr>
        <w:tc>
          <w:tcPr>
            <w:tcW w:type="dxa" w:w="1800"/>
          </w:tcPr>
          <w:p>
            <w:pPr>
              <w:keepLines w:val="0"/>
              <w:spacing w:before="0" w:after="0" w:line="276" w:lineRule="auto"/>
            </w:pPr>
            <w:r>
              <w:rPr>
                <w:rFonts w:ascii="Calibri" w:hAnsi="Calibri"/>
                <w:b w:val="0"/>
                <w:color w:val="1F2937"/>
                <w:sz w:val="18"/>
              </w:rPr>
              <w:t>Purpose</w:t>
            </w:r>
          </w:p>
        </w:tc>
        <w:tc>
          <w:tcPr>
            <w:tcW w:type="dxa" w:w="7560"/>
          </w:tcPr>
          <w:p>
            <w:pPr>
              <w:keepLines w:val="0"/>
              <w:spacing w:before="0" w:after="0" w:line="276" w:lineRule="auto"/>
            </w:pPr>
            <w:r>
              <w:rPr>
                <w:rFonts w:ascii="Calibri" w:hAnsi="Calibri"/>
                <w:b w:val="0"/>
                <w:color w:val="1F2937"/>
                <w:sz w:val="18"/>
              </w:rPr>
              <w:t>Prove Maya can inspect the primary evidence pack before trusting a verdict, draft, or answer.</w:t>
            </w:r>
          </w:p>
        </w:tc>
      </w:tr>
      <w:tr>
        <w:tc>
          <w:tcPr>
            <w:tcW w:type="dxa" w:w="1800"/>
          </w:tcPr>
          <w:p>
            <w:pPr>
              <w:keepLines w:val="0"/>
              <w:spacing w:before="0" w:after="0" w:line="276" w:lineRule="auto"/>
            </w:pPr>
            <w:r>
              <w:rPr>
                <w:rFonts w:ascii="Calibri" w:hAnsi="Calibri"/>
                <w:b w:val="0"/>
                <w:color w:val="1F2937"/>
                <w:sz w:val="18"/>
              </w:rPr>
              <w:t>Automated/source evidence</w:t>
            </w:r>
          </w:p>
        </w:tc>
        <w:tc>
          <w:tcPr>
            <w:tcW w:type="dxa" w:w="7560"/>
          </w:tcPr>
          <w:p>
            <w:pPr>
              <w:keepLines w:val="0"/>
              <w:spacing w:before="0" w:after="0" w:line="276" w:lineRule="auto"/>
            </w:pPr>
            <w:r>
              <w:rPr>
                <w:rFonts w:ascii="Calibri" w:hAnsi="Calibri"/>
                <w:b w:val="0"/>
                <w:color w:val="1F2937"/>
                <w:sz w:val="18"/>
              </w:rPr>
              <w:t>tests/e2e/maya-real-backend-e2e.ts assertRenderedEvidenceDossierMatchesBackend and docs/storyboards/maya-beat-05-shadcn-spec.md.</w:t>
            </w:r>
          </w:p>
        </w:tc>
      </w:tr>
      <w:tr>
        <w:tc>
          <w:tcPr>
            <w:tcW w:type="dxa" w:w="1800"/>
          </w:tcPr>
          <w:p>
            <w:pPr>
              <w:keepLines w:val="0"/>
              <w:spacing w:before="0" w:after="0" w:line="276" w:lineRule="auto"/>
            </w:pPr>
            <w:r>
              <w:rPr>
                <w:rFonts w:ascii="Calibri" w:hAnsi="Calibri"/>
                <w:b w:val="0"/>
                <w:color w:val="1F2937"/>
                <w:sz w:val="18"/>
              </w:rPr>
              <w:t>Where agentic makes a difference</w:t>
            </w:r>
          </w:p>
        </w:tc>
        <w:tc>
          <w:tcPr>
            <w:tcW w:type="dxa" w:w="7560"/>
          </w:tcPr>
          <w:p>
            <w:pPr>
              <w:keepLines w:val="0"/>
              <w:spacing w:before="0" w:after="0" w:line="276" w:lineRule="auto"/>
            </w:pPr>
            <w:r>
              <w:rPr>
                <w:rFonts w:ascii="Calibri" w:hAnsi="Calibri"/>
                <w:b w:val="0"/>
                <w:color w:val="1F2937"/>
                <w:sz w:val="18"/>
              </w:rPr>
              <w:t>Agentic makes a difference by assembling a citation-ready dossier. Maya still checks the underlying documents and source details before opening the approval path.</w:t>
            </w:r>
          </w:p>
        </w:tc>
      </w:tr>
    </w:tbl>
    <w:p/>
    <w:p>
      <w:pPr>
        <w:pStyle w:val="Heading3"/>
        <w:keepLines/>
        <w:spacing w:before="200" w:after="100" w:line="276" w:lineRule="auto"/>
      </w:pPr>
      <w:r>
        <w:rPr>
          <w:rFonts w:ascii="Calibri" w:hAnsi="Calibri"/>
          <w:b/>
          <w:color w:val="1F4D78"/>
          <w:sz w:val="24"/>
        </w:rPr>
        <w:t>Screen navigation</w:t>
      </w:r>
    </w:p>
    <w:p>
      <w:pPr>
        <w:pStyle w:val="ListNumber"/>
        <w:keepLines w:val="0"/>
        <w:spacing w:before="0" w:after="80" w:line="300" w:lineRule="auto"/>
      </w:pPr>
      <w:r>
        <w:rPr>
          <w:rFonts w:ascii="Calibri" w:hAnsi="Calibri"/>
          <w:color w:val="1F2937"/>
        </w:rPr>
        <w:t>Click the Evidence tab in the case workspace.</w:t>
      </w:r>
    </w:p>
    <w:p>
      <w:pPr>
        <w:pStyle w:val="ListNumber"/>
        <w:keepLines w:val="0"/>
        <w:spacing w:before="0" w:after="80" w:line="300" w:lineRule="auto"/>
      </w:pPr>
      <w:r>
        <w:rPr>
          <w:rFonts w:ascii="Calibri" w:hAnsi="Calibri"/>
          <w:color w:val="1F2937"/>
        </w:rPr>
        <w:t>Expand any collapsed evidence/business groups.</w:t>
      </w:r>
    </w:p>
    <w:p>
      <w:pPr>
        <w:pStyle w:val="ListNumber"/>
        <w:keepLines w:val="0"/>
        <w:spacing w:before="0" w:after="80" w:line="300" w:lineRule="auto"/>
      </w:pPr>
      <w:r>
        <w:rPr>
          <w:rFonts w:ascii="Calibri" w:hAnsi="Calibri"/>
          <w:color w:val="1F2937"/>
        </w:rPr>
        <w:t>Review each document row for document ID, citation ID, document type, source label, verification label, and summary.</w:t>
      </w:r>
    </w:p>
    <w:p>
      <w:pPr>
        <w:pStyle w:val="ListNumber"/>
        <w:keepLines w:val="0"/>
        <w:spacing w:before="0" w:after="80" w:line="300" w:lineRule="auto"/>
      </w:pPr>
      <w:r>
        <w:rPr>
          <w:rFonts w:ascii="Calibri" w:hAnsi="Calibri"/>
          <w:color w:val="1F2937"/>
        </w:rPr>
        <w:t>Open Evidence source details.</w:t>
      </w:r>
    </w:p>
    <w:p>
      <w:pPr>
        <w:pStyle w:val="ListNumber"/>
        <w:keepLines w:val="0"/>
        <w:spacing w:before="0" w:after="80" w:line="300" w:lineRule="auto"/>
      </w:pPr>
      <w:r>
        <w:rPr>
          <w:rFonts w:ascii="Calibri" w:hAnsi="Calibri"/>
          <w:color w:val="1F2937"/>
        </w:rPr>
        <w:t>Compare record IDs in the source details to the selected evidence pack and selected line.</w:t>
      </w:r>
    </w:p>
    <w:p>
      <w:pPr>
        <w:pStyle w:val="ListNumber"/>
        <w:keepLines w:val="0"/>
        <w:spacing w:before="0" w:after="80" w:line="300" w:lineRule="auto"/>
      </w:pPr>
      <w:r>
        <w:rPr>
          <w:rFonts w:ascii="Calibri" w:hAnsi="Calibri"/>
          <w:color w:val="1F2937"/>
        </w:rPr>
        <w:t>Review source provenance rows for each connector/source tile.</w:t>
      </w:r>
    </w:p>
    <w:p>
      <w:pPr>
        <w:pStyle w:val="Heading3"/>
        <w:keepLines/>
        <w:spacing w:before="200" w:after="100" w:line="276" w:lineRule="auto"/>
      </w:pPr>
      <w:r>
        <w:rPr>
          <w:rFonts w:ascii="Calibri" w:hAnsi="Calibri"/>
          <w:b/>
          <w:color w:val="1F4D78"/>
          <w:sz w:val="24"/>
        </w:rPr>
        <w:t>What QA must check</w:t>
      </w:r>
    </w:p>
    <w:p>
      <w:pPr>
        <w:pStyle w:val="ListBullet"/>
        <w:keepLines w:val="0"/>
        <w:spacing w:before="0" w:after="80" w:line="300" w:lineRule="auto"/>
      </w:pPr>
      <w:r>
        <w:rPr>
          <w:rFonts w:ascii="Calibri" w:hAnsi="Calibri"/>
          <w:color w:val="1F2937"/>
        </w:rPr>
        <w:t>Evidence row count matches backend documents for the selected case.</w:t>
      </w:r>
    </w:p>
    <w:p>
      <w:pPr>
        <w:pStyle w:val="ListBullet"/>
        <w:keepLines w:val="0"/>
        <w:spacing w:before="0" w:after="80" w:line="300" w:lineRule="auto"/>
      </w:pPr>
      <w:r>
        <w:rPr>
          <w:rFonts w:ascii="Calibri" w:hAnsi="Calibri"/>
          <w:color w:val="1F2937"/>
        </w:rPr>
        <w:t>Document IDs, citation IDs, and summaries are visible and match the backend detail.</w:t>
      </w:r>
    </w:p>
    <w:p>
      <w:pPr>
        <w:pStyle w:val="ListBullet"/>
        <w:keepLines w:val="0"/>
        <w:spacing w:before="0" w:after="80" w:line="300" w:lineRule="auto"/>
      </w:pPr>
      <w:r>
        <w:rPr>
          <w:rFonts w:ascii="Calibri" w:hAnsi="Calibri"/>
          <w:color w:val="1F2937"/>
        </w:rPr>
        <w:t>Source details expose exact record IDs while the main screen remains readable.</w:t>
      </w:r>
    </w:p>
    <w:p>
      <w:pPr>
        <w:pStyle w:val="ListBullet"/>
        <w:keepLines w:val="0"/>
        <w:spacing w:before="0" w:after="80" w:line="300" w:lineRule="auto"/>
      </w:pPr>
      <w:r>
        <w:rPr>
          <w:rFonts w:ascii="Calibri" w:hAnsi="Calibri"/>
          <w:color w:val="1F2937"/>
        </w:rPr>
        <w:t>No evidence from a different selected row appears after switching or reopening cases.</w:t>
      </w:r>
    </w:p>
    <w:p>
      <w:pPr>
        <w:pStyle w:val="Heading2"/>
        <w:keepLines/>
        <w:spacing w:before="280" w:after="140" w:line="276" w:lineRule="auto"/>
      </w:pPr>
      <w:r>
        <w:rPr>
          <w:rFonts w:ascii="Calibri" w:hAnsi="Calibri"/>
          <w:b/>
          <w:color w:val="2E74B5"/>
          <w:sz w:val="26"/>
        </w:rPr>
        <w:t>TC-06 - RAG query and cited answer</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1800"/>
        <w:gridCol w:w="7560"/>
      </w:tblGrid>
      <w:tr>
        <w:trPr>
          <w:tblHeader w:val="true"/>
        </w:trPr>
        <w:tc>
          <w:tcPr>
            <w:tcW w:type="dxa" w:w="180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Field</w:t>
            </w:r>
          </w:p>
        </w:tc>
        <w:tc>
          <w:tcPr>
            <w:tcW w:type="dxa" w:w="756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Detail</w:t>
            </w:r>
          </w:p>
        </w:tc>
      </w:tr>
      <w:tr>
        <w:tc>
          <w:tcPr>
            <w:tcW w:type="dxa" w:w="1800"/>
          </w:tcPr>
          <w:p>
            <w:pPr>
              <w:keepLines w:val="0"/>
              <w:spacing w:before="0" w:after="0" w:line="276" w:lineRule="auto"/>
            </w:pPr>
            <w:r>
              <w:rPr>
                <w:rFonts w:ascii="Calibri" w:hAnsi="Calibri"/>
                <w:b w:val="0"/>
                <w:color w:val="1F2937"/>
                <w:sz w:val="18"/>
              </w:rPr>
              <w:t>Purpose</w:t>
            </w:r>
          </w:p>
        </w:tc>
        <w:tc>
          <w:tcPr>
            <w:tcW w:type="dxa" w:w="7560"/>
          </w:tcPr>
          <w:p>
            <w:pPr>
              <w:keepLines w:val="0"/>
              <w:spacing w:before="0" w:after="0" w:line="276" w:lineRule="auto"/>
            </w:pPr>
            <w:r>
              <w:rPr>
                <w:rFonts w:ascii="Calibri" w:hAnsi="Calibri"/>
                <w:b w:val="0"/>
                <w:color w:val="1F2937"/>
                <w:sz w:val="18"/>
              </w:rPr>
              <w:t>Prove Maya can ask case-scoped questions and receive grounded answers with citations and deterministic basis.</w:t>
            </w:r>
          </w:p>
        </w:tc>
      </w:tr>
      <w:tr>
        <w:tc>
          <w:tcPr>
            <w:tcW w:type="dxa" w:w="1800"/>
          </w:tcPr>
          <w:p>
            <w:pPr>
              <w:keepLines w:val="0"/>
              <w:spacing w:before="0" w:after="0" w:line="276" w:lineRule="auto"/>
            </w:pPr>
            <w:r>
              <w:rPr>
                <w:rFonts w:ascii="Calibri" w:hAnsi="Calibri"/>
                <w:b w:val="0"/>
                <w:color w:val="1F2937"/>
                <w:sz w:val="18"/>
              </w:rPr>
              <w:t>Automated/source evidence</w:t>
            </w:r>
          </w:p>
        </w:tc>
        <w:tc>
          <w:tcPr>
            <w:tcW w:type="dxa" w:w="7560"/>
          </w:tcPr>
          <w:p>
            <w:pPr>
              <w:keepLines w:val="0"/>
              <w:spacing w:before="0" w:after="0" w:line="276" w:lineRule="auto"/>
            </w:pPr>
            <w:r>
              <w:rPr>
                <w:rFonts w:ascii="Calibri" w:hAnsi="Calibri"/>
                <w:b w:val="0"/>
                <w:color w:val="1F2937"/>
                <w:sz w:val="18"/>
              </w:rPr>
              <w:t>tests/e2e/maya-real-backend-e2e.ts realMayaQueryScenarios, runRealMayaQueryScenarios, assertRenderedCitedAnswerMatchesBackend, and assertRenderedConversationTurnsMatchBackend.</w:t>
            </w:r>
          </w:p>
        </w:tc>
      </w:tr>
      <w:tr>
        <w:tc>
          <w:tcPr>
            <w:tcW w:type="dxa" w:w="1800"/>
          </w:tcPr>
          <w:p>
            <w:pPr>
              <w:keepLines w:val="0"/>
              <w:spacing w:before="0" w:after="0" w:line="276" w:lineRule="auto"/>
            </w:pPr>
            <w:r>
              <w:rPr>
                <w:rFonts w:ascii="Calibri" w:hAnsi="Calibri"/>
                <w:b w:val="0"/>
                <w:color w:val="1F2937"/>
                <w:sz w:val="18"/>
              </w:rPr>
              <w:t>Where agentic makes a difference</w:t>
            </w:r>
          </w:p>
        </w:tc>
        <w:tc>
          <w:tcPr>
            <w:tcW w:type="dxa" w:w="7560"/>
          </w:tcPr>
          <w:p>
            <w:pPr>
              <w:keepLines w:val="0"/>
              <w:spacing w:before="0" w:after="0" w:line="276" w:lineRule="auto"/>
            </w:pPr>
            <w:r>
              <w:rPr>
                <w:rFonts w:ascii="Calibri" w:hAnsi="Calibri"/>
                <w:b w:val="0"/>
                <w:color w:val="1F2937"/>
                <w:sz w:val="18"/>
              </w:rPr>
              <w:t>This is the clearest agentic moment: Forensics can answer Maya in the context of the selected evidence packet, Recovery Drafter can be invoked through traceable handoff, and the final answer is grounded rather than a generic chatbot response.</w:t>
            </w:r>
          </w:p>
        </w:tc>
      </w:tr>
    </w:tbl>
    <w:p/>
    <w:p>
      <w:pPr>
        <w:pStyle w:val="Heading3"/>
        <w:keepLines/>
        <w:spacing w:before="200" w:after="100" w:line="276" w:lineRule="auto"/>
      </w:pPr>
      <w:r>
        <w:rPr>
          <w:rFonts w:ascii="Calibri" w:hAnsi="Calibri"/>
          <w:b/>
          <w:color w:val="1F4D78"/>
          <w:sz w:val="24"/>
        </w:rPr>
        <w:t>Screen navigation</w:t>
      </w:r>
    </w:p>
    <w:p>
      <w:pPr>
        <w:pStyle w:val="ListNumber"/>
        <w:keepLines w:val="0"/>
        <w:spacing w:before="0" w:after="80" w:line="300" w:lineRule="auto"/>
      </w:pPr>
      <w:r>
        <w:rPr>
          <w:rFonts w:ascii="Calibri" w:hAnsi="Calibri"/>
          <w:color w:val="1F2937"/>
        </w:rPr>
        <w:t>From the selected case, click Query evidence or open the floating Recoup Agent from the bottom-left workspace control.</w:t>
      </w:r>
    </w:p>
    <w:p>
      <w:pPr>
        <w:pStyle w:val="ListNumber"/>
        <w:keepLines w:val="0"/>
        <w:spacing w:before="0" w:after="80" w:line="300" w:lineRule="auto"/>
      </w:pPr>
      <w:r>
        <w:rPr>
          <w:rFonts w:ascii="Calibri" w:hAnsi="Calibri"/>
          <w:color w:val="1F2937"/>
        </w:rPr>
        <w:t>Confirm the query drawer shows the selected line and selected evidence record IDs.</w:t>
      </w:r>
    </w:p>
    <w:p>
      <w:pPr>
        <w:pStyle w:val="ListNumber"/>
        <w:keepLines w:val="0"/>
        <w:spacing w:before="0" w:after="80" w:line="300" w:lineRule="auto"/>
      </w:pPr>
      <w:r>
        <w:rPr>
          <w:rFonts w:ascii="Calibri" w:hAnsi="Calibri"/>
          <w:color w:val="1F2937"/>
        </w:rPr>
        <w:t>Choose one of the prompt chips or paste one of the five query prompts in the table below.</w:t>
      </w:r>
    </w:p>
    <w:p>
      <w:pPr>
        <w:pStyle w:val="ListNumber"/>
        <w:keepLines w:val="0"/>
        <w:spacing w:before="0" w:after="80" w:line="300" w:lineRule="auto"/>
      </w:pPr>
      <w:r>
        <w:rPr>
          <w:rFonts w:ascii="Calibri" w:hAnsi="Calibri"/>
          <w:color w:val="1F2937"/>
        </w:rPr>
        <w:t>Click Run query.</w:t>
      </w:r>
    </w:p>
    <w:p>
      <w:pPr>
        <w:pStyle w:val="ListNumber"/>
        <w:keepLines w:val="0"/>
        <w:spacing w:before="0" w:after="80" w:line="300" w:lineRule="auto"/>
      </w:pPr>
      <w:r>
        <w:rPr>
          <w:rFonts w:ascii="Calibri" w:hAnsi="Calibri"/>
          <w:color w:val="1F2937"/>
        </w:rPr>
        <w:t>Wait for the submitted question to appear in the conversation and for the assistant answer to render.</w:t>
      </w:r>
    </w:p>
    <w:p>
      <w:pPr>
        <w:pStyle w:val="ListNumber"/>
        <w:keepLines w:val="0"/>
        <w:spacing w:before="0" w:after="80" w:line="300" w:lineRule="auto"/>
      </w:pPr>
      <w:r>
        <w:rPr>
          <w:rFonts w:ascii="Calibri" w:hAnsi="Calibri"/>
          <w:color w:val="1F2937"/>
        </w:rPr>
        <w:t>Open Basis and Sources details on the cited answer.</w:t>
      </w:r>
    </w:p>
    <w:p>
      <w:pPr>
        <w:pStyle w:val="ListNumber"/>
        <w:keepLines w:val="0"/>
        <w:spacing w:before="0" w:after="80" w:line="300" w:lineRule="auto"/>
      </w:pPr>
      <w:r>
        <w:rPr>
          <w:rFonts w:ascii="Calibri" w:hAnsi="Calibri"/>
          <w:color w:val="1F2937"/>
        </w:rPr>
        <w:t>Repeat the five query prompts for S3-L1 or the backend-selected query case when available.</w:t>
      </w:r>
    </w:p>
    <w:p>
      <w:pPr>
        <w:pStyle w:val="Heading3"/>
        <w:keepLines/>
        <w:spacing w:before="200" w:after="100" w:line="276" w:lineRule="auto"/>
      </w:pPr>
      <w:r>
        <w:rPr>
          <w:rFonts w:ascii="Calibri" w:hAnsi="Calibri"/>
          <w:b/>
          <w:color w:val="1F4D78"/>
          <w:sz w:val="24"/>
        </w:rPr>
        <w:t>What QA must check</w:t>
      </w:r>
    </w:p>
    <w:p>
      <w:pPr>
        <w:pStyle w:val="ListBullet"/>
        <w:keepLines w:val="0"/>
        <w:spacing w:before="0" w:after="80" w:line="300" w:lineRule="auto"/>
      </w:pPr>
      <w:r>
        <w:rPr>
          <w:rFonts w:ascii="Calibri" w:hAnsi="Calibri"/>
          <w:color w:val="1F2937"/>
        </w:rPr>
        <w:t>The request is submitted to /forensics/query with the current selectedLineId and selected record IDs.</w:t>
      </w:r>
    </w:p>
    <w:p>
      <w:pPr>
        <w:pStyle w:val="ListBullet"/>
        <w:keepLines w:val="0"/>
        <w:spacing w:before="0" w:after="80" w:line="300" w:lineRule="auto"/>
      </w:pPr>
      <w:r>
        <w:rPr>
          <w:rFonts w:ascii="Calibri" w:hAnsi="Calibri"/>
          <w:color w:val="1F2937"/>
        </w:rPr>
        <w:t>The answer contains no unsupported dollar figures, verdicts, routes, or approval claims.</w:t>
      </w:r>
    </w:p>
    <w:p>
      <w:pPr>
        <w:pStyle w:val="ListBullet"/>
        <w:keepLines w:val="0"/>
        <w:spacing w:before="0" w:after="80" w:line="300" w:lineRule="auto"/>
      </w:pPr>
      <w:r>
        <w:rPr>
          <w:rFonts w:ascii="Calibri" w:hAnsi="Calibri"/>
          <w:color w:val="1F2937"/>
        </w:rPr>
        <w:t>Raw record IDs are shown in Sources/citation rows, not sprayed into the conversational prose.</w:t>
      </w:r>
    </w:p>
    <w:p>
      <w:pPr>
        <w:pStyle w:val="ListBullet"/>
        <w:keepLines w:val="0"/>
        <w:spacing w:before="0" w:after="80" w:line="300" w:lineRule="auto"/>
      </w:pPr>
      <w:r>
        <w:rPr>
          <w:rFonts w:ascii="Calibri" w:hAnsi="Calibri"/>
          <w:color w:val="1F2937"/>
        </w:rPr>
        <w:t>Basis details show deterministic basis; source rows show record IDs, document IDs/source, and summaries where available.</w:t>
      </w:r>
    </w:p>
    <w:p>
      <w:pPr>
        <w:pStyle w:val="ListBullet"/>
        <w:keepLines w:val="0"/>
        <w:spacing w:before="0" w:after="80" w:line="300" w:lineRule="auto"/>
      </w:pPr>
      <w:r>
        <w:rPr>
          <w:rFonts w:ascii="Calibri" w:hAnsi="Calibri"/>
          <w:color w:val="1F2937"/>
        </w:rPr>
        <w:t>If an answer is blocked, the blocked state is explicit and fail-closed.</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1900"/>
        <w:gridCol w:w="5000"/>
        <w:gridCol w:w="2460"/>
      </w:tblGrid>
      <w:tr>
        <w:trPr>
          <w:tblHeader w:val="true"/>
        </w:trPr>
        <w:tc>
          <w:tcPr>
            <w:tcW w:type="dxa" w:w="1900"/>
            <w:vAlign w:val="center"/>
            <w:tcMar>
              <w:top w:w="80" w:type="dxa"/>
              <w:start w:w="120" w:type="dxa"/>
              <w:bottom w:w="80" w:type="dxa"/>
              <w:end w:w="120" w:type="dxa"/>
            </w:tcMar>
            <w:shd w:fill="E8EEF5"/>
          </w:tcPr>
          <w:p>
            <w:pPr>
              <w:keepLines w:val="0"/>
              <w:spacing w:before="0" w:after="0" w:line="276" w:lineRule="auto"/>
            </w:pPr>
            <w:r>
              <w:rPr>
                <w:rFonts w:ascii="Calibri" w:hAnsi="Calibri"/>
                <w:b/>
                <w:color w:val="1F2937"/>
                <w:sz w:val="16"/>
              </w:rPr>
              <w:t>Scenario ID</w:t>
            </w:r>
          </w:p>
        </w:tc>
        <w:tc>
          <w:tcPr>
            <w:tcW w:type="dxa" w:w="5000"/>
            <w:vAlign w:val="center"/>
            <w:tcMar>
              <w:top w:w="80" w:type="dxa"/>
              <w:start w:w="120" w:type="dxa"/>
              <w:bottom w:w="80" w:type="dxa"/>
              <w:end w:w="120" w:type="dxa"/>
            </w:tcMar>
            <w:shd w:fill="E8EEF5"/>
          </w:tcPr>
          <w:p>
            <w:pPr>
              <w:keepLines w:val="0"/>
              <w:spacing w:before="0" w:after="0" w:line="276" w:lineRule="auto"/>
            </w:pPr>
            <w:r>
              <w:rPr>
                <w:rFonts w:ascii="Calibri" w:hAnsi="Calibri"/>
                <w:b/>
                <w:color w:val="1F2937"/>
                <w:sz w:val="16"/>
              </w:rPr>
              <w:t>Prompt to run</w:t>
            </w:r>
          </w:p>
        </w:tc>
        <w:tc>
          <w:tcPr>
            <w:tcW w:type="dxa" w:w="2460"/>
            <w:vAlign w:val="center"/>
            <w:tcMar>
              <w:top w:w="80" w:type="dxa"/>
              <w:start w:w="120" w:type="dxa"/>
              <w:bottom w:w="80" w:type="dxa"/>
              <w:end w:w="120" w:type="dxa"/>
            </w:tcMar>
            <w:shd w:fill="E8EEF5"/>
          </w:tcPr>
          <w:p>
            <w:pPr>
              <w:keepLines w:val="0"/>
              <w:spacing w:before="0" w:after="0" w:line="276" w:lineRule="auto"/>
            </w:pPr>
            <w:r>
              <w:rPr>
                <w:rFonts w:ascii="Calibri" w:hAnsi="Calibri"/>
                <w:b/>
                <w:color w:val="1F2937"/>
                <w:sz w:val="16"/>
              </w:rPr>
              <w:t>Expected QA focus</w:t>
            </w:r>
          </w:p>
        </w:tc>
      </w:tr>
      <w:tr>
        <w:tc>
          <w:tcPr>
            <w:tcW w:type="dxa" w:w="1900"/>
          </w:tcPr>
          <w:p>
            <w:pPr>
              <w:keepLines w:val="0"/>
              <w:spacing w:before="0" w:after="0" w:line="276" w:lineRule="auto"/>
            </w:pPr>
            <w:r>
              <w:rPr>
                <w:rFonts w:ascii="Calibri" w:hAnsi="Calibri"/>
                <w:b w:val="0"/>
                <w:color w:val="1F2937"/>
                <w:sz w:val="16"/>
              </w:rPr>
              <w:t>customer-dispute-response</w:t>
            </w:r>
          </w:p>
        </w:tc>
        <w:tc>
          <w:tcPr>
            <w:tcW w:type="dxa" w:w="5000"/>
          </w:tcPr>
          <w:p>
            <w:pPr>
              <w:keepLines w:val="0"/>
              <w:spacing w:before="0" w:after="0" w:line="276" w:lineRule="auto"/>
            </w:pPr>
            <w:r>
              <w:rPr>
                <w:rFonts w:ascii="Calibri" w:hAnsi="Calibri"/>
                <w:b w:val="0"/>
                <w:color w:val="1F2937"/>
                <w:sz w:val="16"/>
              </w:rPr>
              <w:t>The customer says this was a valid shortage deduction. Which cited proof can I use to challenge it?</w:t>
            </w:r>
          </w:p>
        </w:tc>
        <w:tc>
          <w:tcPr>
            <w:tcW w:type="dxa" w:w="2460"/>
          </w:tcPr>
          <w:p>
            <w:pPr>
              <w:keepLines w:val="0"/>
              <w:spacing w:before="0" w:after="0" w:line="276" w:lineRule="auto"/>
            </w:pPr>
            <w:r>
              <w:rPr>
                <w:rFonts w:ascii="Calibri" w:hAnsi="Calibri"/>
                <w:b w:val="0"/>
                <w:color w:val="1F2937"/>
                <w:sz w:val="16"/>
              </w:rPr>
              <w:t>Answer should use selected evidence only, cite record IDs in Sources, and avoid unsupported verdict/dollar claims.</w:t>
            </w:r>
          </w:p>
        </w:tc>
      </w:tr>
      <w:tr>
        <w:tc>
          <w:tcPr>
            <w:tcW w:type="dxa" w:w="1900"/>
          </w:tcPr>
          <w:p>
            <w:pPr>
              <w:keepLines w:val="0"/>
              <w:spacing w:before="0" w:after="0" w:line="276" w:lineRule="auto"/>
            </w:pPr>
            <w:r>
              <w:rPr>
                <w:rFonts w:ascii="Calibri" w:hAnsi="Calibri"/>
                <w:b w:val="0"/>
                <w:color w:val="1F2937"/>
                <w:sz w:val="16"/>
              </w:rPr>
              <w:t>manager-approval-brief</w:t>
            </w:r>
          </w:p>
        </w:tc>
        <w:tc>
          <w:tcPr>
            <w:tcW w:type="dxa" w:w="5000"/>
          </w:tcPr>
          <w:p>
            <w:pPr>
              <w:keepLines w:val="0"/>
              <w:spacing w:before="0" w:after="0" w:line="276" w:lineRule="auto"/>
            </w:pPr>
            <w:r>
              <w:rPr>
                <w:rFonts w:ascii="Calibri" w:hAnsi="Calibri"/>
                <w:b w:val="0"/>
                <w:color w:val="1F2937"/>
                <w:sz w:val="16"/>
              </w:rPr>
              <w:t>What should I tell my manager before I ask for approval on the recovery draft?</w:t>
            </w:r>
          </w:p>
        </w:tc>
        <w:tc>
          <w:tcPr>
            <w:tcW w:type="dxa" w:w="2460"/>
          </w:tcPr>
          <w:p>
            <w:pPr>
              <w:keepLines w:val="0"/>
              <w:spacing w:before="0" w:after="0" w:line="276" w:lineRule="auto"/>
            </w:pPr>
            <w:r>
              <w:rPr>
                <w:rFonts w:ascii="Calibri" w:hAnsi="Calibri"/>
                <w:b w:val="0"/>
                <w:color w:val="1F2937"/>
                <w:sz w:val="16"/>
              </w:rPr>
              <w:t>Manager brief should be approval-ready but still preserve HITL gate.</w:t>
            </w:r>
          </w:p>
        </w:tc>
      </w:tr>
      <w:tr>
        <w:tc>
          <w:tcPr>
            <w:tcW w:type="dxa" w:w="1900"/>
          </w:tcPr>
          <w:p>
            <w:pPr>
              <w:keepLines w:val="0"/>
              <w:spacing w:before="0" w:after="0" w:line="276" w:lineRule="auto"/>
            </w:pPr>
            <w:r>
              <w:rPr>
                <w:rFonts w:ascii="Calibri" w:hAnsi="Calibri"/>
                <w:b w:val="0"/>
                <w:color w:val="1F2937"/>
                <w:sz w:val="16"/>
              </w:rPr>
              <w:t>billing-vs-recovery-route</w:t>
            </w:r>
          </w:p>
        </w:tc>
        <w:tc>
          <w:tcPr>
            <w:tcW w:type="dxa" w:w="5000"/>
          </w:tcPr>
          <w:p>
            <w:pPr>
              <w:keepLines w:val="0"/>
              <w:spacing w:before="0" w:after="0" w:line="276" w:lineRule="auto"/>
            </w:pPr>
            <w:r>
              <w:rPr>
                <w:rFonts w:ascii="Calibri" w:hAnsi="Calibri"/>
                <w:b w:val="0"/>
                <w:color w:val="1F2937"/>
                <w:sz w:val="16"/>
              </w:rPr>
              <w:t>Is this a billing correction or a recovery pursuit, and what proof drives that route?</w:t>
            </w:r>
          </w:p>
        </w:tc>
        <w:tc>
          <w:tcPr>
            <w:tcW w:type="dxa" w:w="2460"/>
          </w:tcPr>
          <w:p>
            <w:pPr>
              <w:keepLines w:val="0"/>
              <w:spacing w:before="0" w:after="0" w:line="276" w:lineRule="auto"/>
            </w:pPr>
            <w:r>
              <w:rPr>
                <w:rFonts w:ascii="Calibri" w:hAnsi="Calibri"/>
                <w:b w:val="0"/>
                <w:color w:val="1F2937"/>
                <w:sz w:val="16"/>
              </w:rPr>
              <w:t>Route explanation should cite deterministic basis and selected case records.</w:t>
            </w:r>
          </w:p>
        </w:tc>
      </w:tr>
      <w:tr>
        <w:tc>
          <w:tcPr>
            <w:tcW w:type="dxa" w:w="1900"/>
          </w:tcPr>
          <w:p>
            <w:pPr>
              <w:keepLines w:val="0"/>
              <w:spacing w:before="0" w:after="0" w:line="276" w:lineRule="auto"/>
            </w:pPr>
            <w:r>
              <w:rPr>
                <w:rFonts w:ascii="Calibri" w:hAnsi="Calibri"/>
                <w:b w:val="0"/>
                <w:color w:val="1F2937"/>
                <w:sz w:val="16"/>
              </w:rPr>
              <w:t>handoff-hitl-draft-gate</w:t>
            </w:r>
          </w:p>
        </w:tc>
        <w:tc>
          <w:tcPr>
            <w:tcW w:type="dxa" w:w="5000"/>
          </w:tcPr>
          <w:p>
            <w:pPr>
              <w:keepLines w:val="0"/>
              <w:spacing w:before="0" w:after="0" w:line="276" w:lineRule="auto"/>
            </w:pPr>
            <w:r>
              <w:rPr>
                <w:rFonts w:ascii="Calibri" w:hAnsi="Calibri"/>
                <w:b w:val="0"/>
                <w:color w:val="1F2937"/>
                <w:sz w:val="16"/>
              </w:rPr>
              <w:t>Using only this selected evidence packet, have Forensics hand off to Recovery Drafter and confirm whether the recovery draft remains human-approval-gated. Which cited record IDs support that?</w:t>
            </w:r>
          </w:p>
        </w:tc>
        <w:tc>
          <w:tcPr>
            <w:tcW w:type="dxa" w:w="2460"/>
          </w:tcPr>
          <w:p>
            <w:pPr>
              <w:keepLines w:val="0"/>
              <w:spacing w:before="0" w:after="0" w:line="276" w:lineRule="auto"/>
            </w:pPr>
            <w:r>
              <w:rPr>
                <w:rFonts w:ascii="Calibri" w:hAnsi="Calibri"/>
                <w:b w:val="0"/>
                <w:color w:val="1F2937"/>
                <w:sz w:val="16"/>
              </w:rPr>
              <w:t>Trace should show handoff and the draft should remain blocked before human approval.</w:t>
            </w:r>
          </w:p>
        </w:tc>
      </w:tr>
      <w:tr>
        <w:tc>
          <w:tcPr>
            <w:tcW w:type="dxa" w:w="1900"/>
          </w:tcPr>
          <w:p>
            <w:pPr>
              <w:keepLines w:val="0"/>
              <w:spacing w:before="0" w:after="0" w:line="276" w:lineRule="auto"/>
            </w:pPr>
            <w:r>
              <w:rPr>
                <w:rFonts w:ascii="Calibri" w:hAnsi="Calibri"/>
                <w:b w:val="0"/>
                <w:color w:val="1F2937"/>
                <w:sz w:val="16"/>
              </w:rPr>
              <w:t>valid-deduction-counterfactual</w:t>
            </w:r>
          </w:p>
        </w:tc>
        <w:tc>
          <w:tcPr>
            <w:tcW w:type="dxa" w:w="5000"/>
          </w:tcPr>
          <w:p>
            <w:pPr>
              <w:keepLines w:val="0"/>
              <w:spacing w:before="0" w:after="0" w:line="276" w:lineRule="auto"/>
            </w:pPr>
            <w:r>
              <w:rPr>
                <w:rFonts w:ascii="Calibri" w:hAnsi="Calibri"/>
                <w:b w:val="0"/>
                <w:color w:val="1F2937"/>
                <w:sz w:val="16"/>
              </w:rPr>
              <w:t>What cited evidence would make this a valid deduction, and which selected SAP or document records show that this case does not meet that valid-deduction pattern?</w:t>
            </w:r>
          </w:p>
        </w:tc>
        <w:tc>
          <w:tcPr>
            <w:tcW w:type="dxa" w:w="2460"/>
          </w:tcPr>
          <w:p>
            <w:pPr>
              <w:keepLines w:val="0"/>
              <w:spacing w:before="0" w:after="0" w:line="276" w:lineRule="auto"/>
            </w:pPr>
            <w:r>
              <w:rPr>
                <w:rFonts w:ascii="Calibri" w:hAnsi="Calibri"/>
                <w:b w:val="0"/>
                <w:color w:val="1F2937"/>
                <w:sz w:val="16"/>
              </w:rPr>
              <w:t>Counterfactual must distinguish valid-proof pattern from selected recoverable case without inventing evidence.</w:t>
            </w:r>
          </w:p>
        </w:tc>
      </w:tr>
    </w:tbl>
    <w:p/>
    <w:p>
      <w:pPr>
        <w:pStyle w:val="Heading2"/>
        <w:keepLines/>
        <w:spacing w:before="280" w:after="140" w:line="276" w:lineRule="auto"/>
      </w:pPr>
      <w:r>
        <w:rPr>
          <w:rFonts w:ascii="Calibri" w:hAnsi="Calibri"/>
          <w:b/>
          <w:color w:val="2E74B5"/>
          <w:sz w:val="26"/>
        </w:rPr>
        <w:t>TC-07 - Agent trace and handoff proof</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1800"/>
        <w:gridCol w:w="7560"/>
      </w:tblGrid>
      <w:tr>
        <w:trPr>
          <w:tblHeader w:val="true"/>
        </w:trPr>
        <w:tc>
          <w:tcPr>
            <w:tcW w:type="dxa" w:w="180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Field</w:t>
            </w:r>
          </w:p>
        </w:tc>
        <w:tc>
          <w:tcPr>
            <w:tcW w:type="dxa" w:w="756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Detail</w:t>
            </w:r>
          </w:p>
        </w:tc>
      </w:tr>
      <w:tr>
        <w:tc>
          <w:tcPr>
            <w:tcW w:type="dxa" w:w="1800"/>
          </w:tcPr>
          <w:p>
            <w:pPr>
              <w:keepLines w:val="0"/>
              <w:spacing w:before="0" w:after="0" w:line="276" w:lineRule="auto"/>
            </w:pPr>
            <w:r>
              <w:rPr>
                <w:rFonts w:ascii="Calibri" w:hAnsi="Calibri"/>
                <w:b w:val="0"/>
                <w:color w:val="1F2937"/>
                <w:sz w:val="18"/>
              </w:rPr>
              <w:t>Purpose</w:t>
            </w:r>
          </w:p>
        </w:tc>
        <w:tc>
          <w:tcPr>
            <w:tcW w:type="dxa" w:w="7560"/>
          </w:tcPr>
          <w:p>
            <w:pPr>
              <w:keepLines w:val="0"/>
              <w:spacing w:before="0" w:after="0" w:line="276" w:lineRule="auto"/>
            </w:pPr>
            <w:r>
              <w:rPr>
                <w:rFonts w:ascii="Calibri" w:hAnsi="Calibri"/>
                <w:b w:val="0"/>
                <w:color w:val="1F2937"/>
                <w:sz w:val="18"/>
              </w:rPr>
              <w:t>Prove Maya can audit how the agent produced the answer or draft instead of trusting opaque text.</w:t>
            </w:r>
          </w:p>
        </w:tc>
      </w:tr>
      <w:tr>
        <w:tc>
          <w:tcPr>
            <w:tcW w:type="dxa" w:w="1800"/>
          </w:tcPr>
          <w:p>
            <w:pPr>
              <w:keepLines w:val="0"/>
              <w:spacing w:before="0" w:after="0" w:line="276" w:lineRule="auto"/>
            </w:pPr>
            <w:r>
              <w:rPr>
                <w:rFonts w:ascii="Calibri" w:hAnsi="Calibri"/>
                <w:b w:val="0"/>
                <w:color w:val="1F2937"/>
                <w:sz w:val="18"/>
              </w:rPr>
              <w:t>Automated/source evidence</w:t>
            </w:r>
          </w:p>
        </w:tc>
        <w:tc>
          <w:tcPr>
            <w:tcW w:type="dxa" w:w="7560"/>
          </w:tcPr>
          <w:p>
            <w:pPr>
              <w:keepLines w:val="0"/>
              <w:spacing w:before="0" w:after="0" w:line="276" w:lineRule="auto"/>
            </w:pPr>
            <w:r>
              <w:rPr>
                <w:rFonts w:ascii="Calibri" w:hAnsi="Calibri"/>
                <w:b w:val="0"/>
                <w:color w:val="1F2937"/>
                <w:sz w:val="18"/>
              </w:rPr>
              <w:t>tests/e2e/maya-real-backend-e2e.ts assertAgentProcessMapBeforeQuery, assertAgentProcessMapAfterQuery, assertRenderedAgentTracePanelMatchesBackend, and assertRenderedTraceRowsMatchBackend.</w:t>
            </w:r>
          </w:p>
        </w:tc>
      </w:tr>
      <w:tr>
        <w:tc>
          <w:tcPr>
            <w:tcW w:type="dxa" w:w="1800"/>
          </w:tcPr>
          <w:p>
            <w:pPr>
              <w:keepLines w:val="0"/>
              <w:spacing w:before="0" w:after="0" w:line="276" w:lineRule="auto"/>
            </w:pPr>
            <w:r>
              <w:rPr>
                <w:rFonts w:ascii="Calibri" w:hAnsi="Calibri"/>
                <w:b w:val="0"/>
                <w:color w:val="1F2937"/>
                <w:sz w:val="18"/>
              </w:rPr>
              <w:t>Where agentic makes a difference</w:t>
            </w:r>
          </w:p>
        </w:tc>
        <w:tc>
          <w:tcPr>
            <w:tcW w:type="dxa" w:w="7560"/>
          </w:tcPr>
          <w:p>
            <w:pPr>
              <w:keepLines w:val="0"/>
              <w:spacing w:before="0" w:after="0" w:line="276" w:lineRule="auto"/>
            </w:pPr>
            <w:r>
              <w:rPr>
                <w:rFonts w:ascii="Calibri" w:hAnsi="Calibri"/>
                <w:b w:val="0"/>
                <w:color w:val="1F2937"/>
                <w:sz w:val="18"/>
              </w:rPr>
              <w:t>Agentic makes a difference by exposing the chain of retrieval, guardrail, handoff, and answer steps. This is the proof that the system is not just returning attractive prose.</w:t>
            </w:r>
          </w:p>
        </w:tc>
      </w:tr>
    </w:tbl>
    <w:p/>
    <w:p>
      <w:pPr>
        <w:pStyle w:val="Heading3"/>
        <w:keepLines/>
        <w:spacing w:before="200" w:after="100" w:line="276" w:lineRule="auto"/>
      </w:pPr>
      <w:r>
        <w:rPr>
          <w:rFonts w:ascii="Calibri" w:hAnsi="Calibri"/>
          <w:b/>
          <w:color w:val="1F4D78"/>
          <w:sz w:val="24"/>
        </w:rPr>
        <w:t>Screen navigation</w:t>
      </w:r>
    </w:p>
    <w:p>
      <w:pPr>
        <w:pStyle w:val="ListNumber"/>
        <w:keepLines w:val="0"/>
        <w:spacing w:before="0" w:after="80" w:line="300" w:lineRule="auto"/>
      </w:pPr>
      <w:r>
        <w:rPr>
          <w:rFonts w:ascii="Calibri" w:hAnsi="Calibri"/>
          <w:color w:val="1F2937"/>
        </w:rPr>
        <w:t>Before running a query, open Agent Trace from the case workspace.</w:t>
      </w:r>
    </w:p>
    <w:p>
      <w:pPr>
        <w:pStyle w:val="ListNumber"/>
        <w:keepLines w:val="0"/>
        <w:spacing w:before="0" w:after="80" w:line="300" w:lineRule="auto"/>
      </w:pPr>
      <w:r>
        <w:rPr>
          <w:rFonts w:ascii="Calibri" w:hAnsi="Calibri"/>
          <w:color w:val="1F2937"/>
        </w:rPr>
        <w:t>Confirm the compact process map is visible and that source proof is available in details.</w:t>
      </w:r>
    </w:p>
    <w:p>
      <w:pPr>
        <w:pStyle w:val="ListNumber"/>
        <w:keepLines w:val="0"/>
        <w:spacing w:before="0" w:after="80" w:line="300" w:lineRule="auto"/>
      </w:pPr>
      <w:r>
        <w:rPr>
          <w:rFonts w:ascii="Calibri" w:hAnsi="Calibri"/>
          <w:color w:val="1F2937"/>
        </w:rPr>
        <w:t>Run one query from TC-06.</w:t>
      </w:r>
    </w:p>
    <w:p>
      <w:pPr>
        <w:pStyle w:val="ListNumber"/>
        <w:keepLines w:val="0"/>
        <w:spacing w:before="0" w:after="80" w:line="300" w:lineRule="auto"/>
      </w:pPr>
      <w:r>
        <w:rPr>
          <w:rFonts w:ascii="Calibri" w:hAnsi="Calibri"/>
          <w:color w:val="1F2937"/>
        </w:rPr>
        <w:t>Close the query drawer if needed and reopen Agent Trace.</w:t>
      </w:r>
    </w:p>
    <w:p>
      <w:pPr>
        <w:pStyle w:val="ListNumber"/>
        <w:keepLines w:val="0"/>
        <w:spacing w:before="0" w:after="80" w:line="300" w:lineRule="auto"/>
      </w:pPr>
      <w:r>
        <w:rPr>
          <w:rFonts w:ascii="Calibri" w:hAnsi="Calibri"/>
          <w:color w:val="1F2937"/>
        </w:rPr>
        <w:t>Open Trace details and inspect backend trace rows.</w:t>
      </w:r>
    </w:p>
    <w:p>
      <w:pPr>
        <w:pStyle w:val="ListNumber"/>
        <w:keepLines w:val="0"/>
        <w:spacing w:before="0" w:after="80" w:line="300" w:lineRule="auto"/>
      </w:pPr>
      <w:r>
        <w:rPr>
          <w:rFonts w:ascii="Calibri" w:hAnsi="Calibri"/>
          <w:color w:val="1F2937"/>
        </w:rPr>
        <w:t>Check agent names, hooks, phases, deterministic basis, tool names where present, and cited record IDs.</w:t>
      </w:r>
    </w:p>
    <w:p>
      <w:pPr>
        <w:pStyle w:val="Heading3"/>
        <w:keepLines/>
        <w:spacing w:before="200" w:after="100" w:line="276" w:lineRule="auto"/>
      </w:pPr>
      <w:r>
        <w:rPr>
          <w:rFonts w:ascii="Calibri" w:hAnsi="Calibri"/>
          <w:b/>
          <w:color w:val="1F4D78"/>
          <w:sz w:val="24"/>
        </w:rPr>
        <w:t>What QA must check</w:t>
      </w:r>
    </w:p>
    <w:p>
      <w:pPr>
        <w:pStyle w:val="ListBullet"/>
        <w:keepLines w:val="0"/>
        <w:spacing w:before="0" w:after="80" w:line="300" w:lineRule="auto"/>
      </w:pPr>
      <w:r>
        <w:rPr>
          <w:rFonts w:ascii="Calibri" w:hAnsi="Calibri"/>
          <w:color w:val="1F2937"/>
        </w:rPr>
        <w:t>Before query, compact trace does not leak raw selected record IDs; details/data attributes preserve them for audit.</w:t>
      </w:r>
    </w:p>
    <w:p>
      <w:pPr>
        <w:pStyle w:val="ListBullet"/>
        <w:keepLines w:val="0"/>
        <w:spacing w:before="0" w:after="80" w:line="300" w:lineRule="auto"/>
      </w:pPr>
      <w:r>
        <w:rPr>
          <w:rFonts w:ascii="Calibri" w:hAnsi="Calibri"/>
          <w:color w:val="1F2937"/>
        </w:rPr>
        <w:t>After query, process nodes match backend trace rows.</w:t>
      </w:r>
    </w:p>
    <w:p>
      <w:pPr>
        <w:pStyle w:val="ListBullet"/>
        <w:keepLines w:val="0"/>
        <w:spacing w:before="0" w:after="80" w:line="300" w:lineRule="auto"/>
      </w:pPr>
      <w:r>
        <w:rPr>
          <w:rFonts w:ascii="Calibri" w:hAnsi="Calibri"/>
          <w:color w:val="1F2937"/>
        </w:rPr>
        <w:t>Technical labels such as retrieval source/tool details stay in trace details rather than cluttering the primary timeline.</w:t>
      </w:r>
    </w:p>
    <w:p>
      <w:pPr>
        <w:pStyle w:val="ListBullet"/>
        <w:keepLines w:val="0"/>
        <w:spacing w:before="0" w:after="80" w:line="300" w:lineRule="auto"/>
      </w:pPr>
      <w:r>
        <w:rPr>
          <w:rFonts w:ascii="Calibri" w:hAnsi="Calibri"/>
          <w:color w:val="1F2937"/>
        </w:rPr>
        <w:t>Forensics-to-Recovery handoff is visible when the prompt asks for draft-gate proof.</w:t>
      </w:r>
    </w:p>
    <w:p>
      <w:pPr>
        <w:pStyle w:val="Heading2"/>
        <w:keepLines/>
        <w:spacing w:before="280" w:after="140" w:line="276" w:lineRule="auto"/>
      </w:pPr>
      <w:r>
        <w:rPr>
          <w:rFonts w:ascii="Calibri" w:hAnsi="Calibri"/>
          <w:b/>
          <w:color w:val="2E74B5"/>
          <w:sz w:val="26"/>
        </w:rPr>
        <w:t>TC-08 - Draft review and route for approval</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1800"/>
        <w:gridCol w:w="7560"/>
      </w:tblGrid>
      <w:tr>
        <w:trPr>
          <w:tblHeader w:val="true"/>
        </w:trPr>
        <w:tc>
          <w:tcPr>
            <w:tcW w:type="dxa" w:w="180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Field</w:t>
            </w:r>
          </w:p>
        </w:tc>
        <w:tc>
          <w:tcPr>
            <w:tcW w:type="dxa" w:w="756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Detail</w:t>
            </w:r>
          </w:p>
        </w:tc>
      </w:tr>
      <w:tr>
        <w:tc>
          <w:tcPr>
            <w:tcW w:type="dxa" w:w="1800"/>
          </w:tcPr>
          <w:p>
            <w:pPr>
              <w:keepLines w:val="0"/>
              <w:spacing w:before="0" w:after="0" w:line="276" w:lineRule="auto"/>
            </w:pPr>
            <w:r>
              <w:rPr>
                <w:rFonts w:ascii="Calibri" w:hAnsi="Calibri"/>
                <w:b w:val="0"/>
                <w:color w:val="1F2937"/>
                <w:sz w:val="18"/>
              </w:rPr>
              <w:t>Purpose</w:t>
            </w:r>
          </w:p>
        </w:tc>
        <w:tc>
          <w:tcPr>
            <w:tcW w:type="dxa" w:w="7560"/>
          </w:tcPr>
          <w:p>
            <w:pPr>
              <w:keepLines w:val="0"/>
              <w:spacing w:before="0" w:after="0" w:line="276" w:lineRule="auto"/>
            </w:pPr>
            <w:r>
              <w:rPr>
                <w:rFonts w:ascii="Calibri" w:hAnsi="Calibri"/>
                <w:b w:val="0"/>
                <w:color w:val="1F2937"/>
                <w:sz w:val="18"/>
              </w:rPr>
              <w:t>Prove the recommended recovery or billing route is staged as a human-gated draft.</w:t>
            </w:r>
          </w:p>
        </w:tc>
      </w:tr>
      <w:tr>
        <w:tc>
          <w:tcPr>
            <w:tcW w:type="dxa" w:w="1800"/>
          </w:tcPr>
          <w:p>
            <w:pPr>
              <w:keepLines w:val="0"/>
              <w:spacing w:before="0" w:after="0" w:line="276" w:lineRule="auto"/>
            </w:pPr>
            <w:r>
              <w:rPr>
                <w:rFonts w:ascii="Calibri" w:hAnsi="Calibri"/>
                <w:b w:val="0"/>
                <w:color w:val="1F2937"/>
                <w:sz w:val="18"/>
              </w:rPr>
              <w:t>Automated/source evidence</w:t>
            </w:r>
          </w:p>
        </w:tc>
        <w:tc>
          <w:tcPr>
            <w:tcW w:type="dxa" w:w="7560"/>
          </w:tcPr>
          <w:p>
            <w:pPr>
              <w:keepLines w:val="0"/>
              <w:spacing w:before="0" w:after="0" w:line="276" w:lineRule="auto"/>
            </w:pPr>
            <w:r>
              <w:rPr>
                <w:rFonts w:ascii="Calibri" w:hAnsi="Calibri"/>
                <w:b w:val="0"/>
                <w:color w:val="1F2937"/>
                <w:sz w:val="18"/>
              </w:rPr>
              <w:t>tests/e2e/maya-real-backend-e2e.ts assertRenderedRecoveryDraftMatchesBackend and AGENTS.md HITL/no ERP writeback invariants.</w:t>
            </w:r>
          </w:p>
        </w:tc>
      </w:tr>
      <w:tr>
        <w:tc>
          <w:tcPr>
            <w:tcW w:type="dxa" w:w="1800"/>
          </w:tcPr>
          <w:p>
            <w:pPr>
              <w:keepLines w:val="0"/>
              <w:spacing w:before="0" w:after="0" w:line="276" w:lineRule="auto"/>
            </w:pPr>
            <w:r>
              <w:rPr>
                <w:rFonts w:ascii="Calibri" w:hAnsi="Calibri"/>
                <w:b w:val="0"/>
                <w:color w:val="1F2937"/>
                <w:sz w:val="18"/>
              </w:rPr>
              <w:t>Where agentic makes a difference</w:t>
            </w:r>
          </w:p>
        </w:tc>
        <w:tc>
          <w:tcPr>
            <w:tcW w:type="dxa" w:w="7560"/>
          </w:tcPr>
          <w:p>
            <w:pPr>
              <w:keepLines w:val="0"/>
              <w:spacing w:before="0" w:after="0" w:line="276" w:lineRule="auto"/>
            </w:pPr>
            <w:r>
              <w:rPr>
                <w:rFonts w:ascii="Calibri" w:hAnsi="Calibri"/>
                <w:b w:val="0"/>
                <w:color w:val="1F2937"/>
                <w:sz w:val="18"/>
              </w:rPr>
              <w:t>Agentic makes a difference by drafting the next action and route. The control point remains human approval, so Maya gets leverage without autonomous execution.</w:t>
            </w:r>
          </w:p>
        </w:tc>
      </w:tr>
    </w:tbl>
    <w:p/>
    <w:p>
      <w:pPr>
        <w:pStyle w:val="Heading3"/>
        <w:keepLines/>
        <w:spacing w:before="200" w:after="100" w:line="276" w:lineRule="auto"/>
      </w:pPr>
      <w:r>
        <w:rPr>
          <w:rFonts w:ascii="Calibri" w:hAnsi="Calibri"/>
          <w:b/>
          <w:color w:val="1F4D78"/>
          <w:sz w:val="24"/>
        </w:rPr>
        <w:t>Screen navigation</w:t>
      </w:r>
    </w:p>
    <w:p>
      <w:pPr>
        <w:pStyle w:val="ListNumber"/>
        <w:keepLines w:val="0"/>
        <w:spacing w:before="0" w:after="80" w:line="300" w:lineRule="auto"/>
      </w:pPr>
      <w:r>
        <w:rPr>
          <w:rFonts w:ascii="Calibri" w:hAnsi="Calibri"/>
          <w:color w:val="1F2937"/>
        </w:rPr>
        <w:t>From the selected case workspace, click the Draft tab.</w:t>
      </w:r>
    </w:p>
    <w:p>
      <w:pPr>
        <w:pStyle w:val="ListNumber"/>
        <w:keepLines w:val="0"/>
        <w:spacing w:before="0" w:after="80" w:line="300" w:lineRule="auto"/>
      </w:pPr>
      <w:r>
        <w:rPr>
          <w:rFonts w:ascii="Calibri" w:hAnsi="Calibri"/>
          <w:color w:val="1F2937"/>
        </w:rPr>
        <w:t>Review action label, action type, status label, amount, and deterministic basis as rendered.</w:t>
      </w:r>
    </w:p>
    <w:p>
      <w:pPr>
        <w:pStyle w:val="ListNumber"/>
        <w:keepLines w:val="0"/>
        <w:spacing w:before="0" w:after="80" w:line="300" w:lineRule="auto"/>
      </w:pPr>
      <w:r>
        <w:rPr>
          <w:rFonts w:ascii="Calibri" w:hAnsi="Calibri"/>
          <w:color w:val="1F2937"/>
        </w:rPr>
        <w:t>Open Draft source details.</w:t>
      </w:r>
    </w:p>
    <w:p>
      <w:pPr>
        <w:pStyle w:val="ListNumber"/>
        <w:keepLines w:val="0"/>
        <w:spacing w:before="0" w:after="80" w:line="300" w:lineRule="auto"/>
      </w:pPr>
      <w:r>
        <w:rPr>
          <w:rFonts w:ascii="Calibri" w:hAnsi="Calibri"/>
          <w:color w:val="1F2937"/>
        </w:rPr>
        <w:t>Confirm selected line and evidence record IDs are present.</w:t>
      </w:r>
    </w:p>
    <w:p>
      <w:pPr>
        <w:pStyle w:val="ListNumber"/>
        <w:keepLines w:val="0"/>
        <w:spacing w:before="0" w:after="80" w:line="300" w:lineRule="auto"/>
      </w:pPr>
      <w:r>
        <w:rPr>
          <w:rFonts w:ascii="Calibri" w:hAnsi="Calibri"/>
          <w:color w:val="1F2937"/>
        </w:rPr>
        <w:t>Read the human-decision rail for available approval actions and reason requirements.</w:t>
      </w:r>
    </w:p>
    <w:p>
      <w:pPr>
        <w:pStyle w:val="ListNumber"/>
        <w:keepLines w:val="0"/>
        <w:spacing w:before="0" w:after="80" w:line="300" w:lineRule="auto"/>
      </w:pPr>
      <w:r>
        <w:rPr>
          <w:rFonts w:ascii="Calibri" w:hAnsi="Calibri"/>
          <w:color w:val="1F2937"/>
        </w:rPr>
        <w:t>Click Open approval but do not approve until TC-09.</w:t>
      </w:r>
    </w:p>
    <w:p>
      <w:pPr>
        <w:pStyle w:val="Heading3"/>
        <w:keepLines/>
        <w:spacing w:before="200" w:after="100" w:line="276" w:lineRule="auto"/>
      </w:pPr>
      <w:r>
        <w:rPr>
          <w:rFonts w:ascii="Calibri" w:hAnsi="Calibri"/>
          <w:b/>
          <w:color w:val="1F4D78"/>
          <w:sz w:val="24"/>
        </w:rPr>
        <w:t>What QA must check</w:t>
      </w:r>
    </w:p>
    <w:p>
      <w:pPr>
        <w:pStyle w:val="ListBullet"/>
        <w:keepLines w:val="0"/>
        <w:spacing w:before="0" w:after="80" w:line="300" w:lineRule="auto"/>
      </w:pPr>
      <w:r>
        <w:rPr>
          <w:rFonts w:ascii="Calibri" w:hAnsi="Calibri"/>
          <w:color w:val="1F2937"/>
        </w:rPr>
        <w:t>Draft amount and basis are readonly and backend-sourced.</w:t>
      </w:r>
    </w:p>
    <w:p>
      <w:pPr>
        <w:pStyle w:val="ListBullet"/>
        <w:keepLines w:val="0"/>
        <w:spacing w:before="0" w:after="80" w:line="300" w:lineRule="auto"/>
      </w:pPr>
      <w:r>
        <w:rPr>
          <w:rFonts w:ascii="Calibri" w:hAnsi="Calibri"/>
          <w:color w:val="1F2937"/>
        </w:rPr>
        <w:t>Draft source details cite selected evidence record IDs.</w:t>
      </w:r>
    </w:p>
    <w:p>
      <w:pPr>
        <w:pStyle w:val="ListBullet"/>
        <w:keepLines w:val="0"/>
        <w:spacing w:before="0" w:after="80" w:line="300" w:lineRule="auto"/>
      </w:pPr>
      <w:r>
        <w:rPr>
          <w:rFonts w:ascii="Calibri" w:hAnsi="Calibri"/>
          <w:color w:val="1F2937"/>
        </w:rPr>
        <w:t>The screen explicitly says Human approval required and No external action before human approval.</w:t>
      </w:r>
    </w:p>
    <w:p>
      <w:pPr>
        <w:pStyle w:val="ListBullet"/>
        <w:keepLines w:val="0"/>
        <w:spacing w:before="0" w:after="80" w:line="300" w:lineRule="auto"/>
      </w:pPr>
      <w:r>
        <w:rPr>
          <w:rFonts w:ascii="Calibri" w:hAnsi="Calibri"/>
          <w:color w:val="1F2937"/>
        </w:rPr>
        <w:t>Approval actions in the draft rail match backend approval actions.</w:t>
      </w:r>
    </w:p>
    <w:p>
      <w:pPr>
        <w:pStyle w:val="Heading2"/>
        <w:keepLines/>
        <w:spacing w:before="280" w:after="140" w:line="276" w:lineRule="auto"/>
      </w:pPr>
      <w:r>
        <w:rPr>
          <w:rFonts w:ascii="Calibri" w:hAnsi="Calibri"/>
          <w:b/>
          <w:color w:val="2E74B5"/>
          <w:sz w:val="26"/>
        </w:rPr>
        <w:t>TC-09 - Human approval and audit receipt</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1800"/>
        <w:gridCol w:w="7560"/>
      </w:tblGrid>
      <w:tr>
        <w:trPr>
          <w:tblHeader w:val="true"/>
        </w:trPr>
        <w:tc>
          <w:tcPr>
            <w:tcW w:type="dxa" w:w="180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Field</w:t>
            </w:r>
          </w:p>
        </w:tc>
        <w:tc>
          <w:tcPr>
            <w:tcW w:type="dxa" w:w="756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Detail</w:t>
            </w:r>
          </w:p>
        </w:tc>
      </w:tr>
      <w:tr>
        <w:tc>
          <w:tcPr>
            <w:tcW w:type="dxa" w:w="1800"/>
          </w:tcPr>
          <w:p>
            <w:pPr>
              <w:keepLines w:val="0"/>
              <w:spacing w:before="0" w:after="0" w:line="276" w:lineRule="auto"/>
            </w:pPr>
            <w:r>
              <w:rPr>
                <w:rFonts w:ascii="Calibri" w:hAnsi="Calibri"/>
                <w:b w:val="0"/>
                <w:color w:val="1F2937"/>
                <w:sz w:val="18"/>
              </w:rPr>
              <w:t>Purpose</w:t>
            </w:r>
          </w:p>
        </w:tc>
        <w:tc>
          <w:tcPr>
            <w:tcW w:type="dxa" w:w="7560"/>
          </w:tcPr>
          <w:p>
            <w:pPr>
              <w:keepLines w:val="0"/>
              <w:spacing w:before="0" w:after="0" w:line="276" w:lineRule="auto"/>
            </w:pPr>
            <w:r>
              <w:rPr>
                <w:rFonts w:ascii="Calibri" w:hAnsi="Calibri"/>
                <w:b w:val="0"/>
                <w:color w:val="1F2937"/>
                <w:sz w:val="18"/>
              </w:rPr>
              <w:t>Prove a human approver, not the agent, commits an approval decision and audit receipt.</w:t>
            </w:r>
          </w:p>
        </w:tc>
      </w:tr>
      <w:tr>
        <w:tc>
          <w:tcPr>
            <w:tcW w:type="dxa" w:w="1800"/>
          </w:tcPr>
          <w:p>
            <w:pPr>
              <w:keepLines w:val="0"/>
              <w:spacing w:before="0" w:after="0" w:line="276" w:lineRule="auto"/>
            </w:pPr>
            <w:r>
              <w:rPr>
                <w:rFonts w:ascii="Calibri" w:hAnsi="Calibri"/>
                <w:b w:val="0"/>
                <w:color w:val="1F2937"/>
                <w:sz w:val="18"/>
              </w:rPr>
              <w:t>Automated/source evidence</w:t>
            </w:r>
          </w:p>
        </w:tc>
        <w:tc>
          <w:tcPr>
            <w:tcW w:type="dxa" w:w="7560"/>
          </w:tcPr>
          <w:p>
            <w:pPr>
              <w:keepLines w:val="0"/>
              <w:spacing w:before="0" w:after="0" w:line="276" w:lineRule="auto"/>
            </w:pPr>
            <w:r>
              <w:rPr>
                <w:rFonts w:ascii="Calibri" w:hAnsi="Calibri"/>
                <w:b w:val="0"/>
                <w:color w:val="1F2937"/>
                <w:sz w:val="18"/>
              </w:rPr>
              <w:t>tests/e2e/maya-approval-lifecycle-e2e.ts submitBrowserApproval and tests/e2e/maya-real-backend-e2e.ts assertRenderedApprovalGateMatchesBackend.</w:t>
            </w:r>
          </w:p>
        </w:tc>
      </w:tr>
      <w:tr>
        <w:tc>
          <w:tcPr>
            <w:tcW w:type="dxa" w:w="1800"/>
          </w:tcPr>
          <w:p>
            <w:pPr>
              <w:keepLines w:val="0"/>
              <w:spacing w:before="0" w:after="0" w:line="276" w:lineRule="auto"/>
            </w:pPr>
            <w:r>
              <w:rPr>
                <w:rFonts w:ascii="Calibri" w:hAnsi="Calibri"/>
                <w:b w:val="0"/>
                <w:color w:val="1F2937"/>
                <w:sz w:val="18"/>
              </w:rPr>
              <w:t>Where agentic makes a difference</w:t>
            </w:r>
          </w:p>
        </w:tc>
        <w:tc>
          <w:tcPr>
            <w:tcW w:type="dxa" w:w="7560"/>
          </w:tcPr>
          <w:p>
            <w:pPr>
              <w:keepLines w:val="0"/>
              <w:spacing w:before="0" w:after="0" w:line="276" w:lineRule="auto"/>
            </w:pPr>
            <w:r>
              <w:rPr>
                <w:rFonts w:ascii="Calibri" w:hAnsi="Calibri"/>
                <w:b w:val="0"/>
                <w:color w:val="1F2937"/>
                <w:sz w:val="18"/>
              </w:rPr>
              <w:t>The key agentic contrast is that the agent prepares the case, but Maya or another human approves. This is the HITL proof point reviewers should see.</w:t>
            </w:r>
          </w:p>
        </w:tc>
      </w:tr>
    </w:tbl>
    <w:p/>
    <w:p>
      <w:pPr>
        <w:pStyle w:val="Heading3"/>
        <w:keepLines/>
        <w:spacing w:before="200" w:after="100" w:line="276" w:lineRule="auto"/>
      </w:pPr>
      <w:r>
        <w:rPr>
          <w:rFonts w:ascii="Calibri" w:hAnsi="Calibri"/>
          <w:b/>
          <w:color w:val="1F4D78"/>
          <w:sz w:val="24"/>
        </w:rPr>
        <w:t>Screen navigation</w:t>
      </w:r>
    </w:p>
    <w:p>
      <w:pPr>
        <w:pStyle w:val="ListNumber"/>
        <w:keepLines w:val="0"/>
        <w:spacing w:before="0" w:after="80" w:line="300" w:lineRule="auto"/>
      </w:pPr>
      <w:r>
        <w:rPr>
          <w:rFonts w:ascii="Calibri" w:hAnsi="Calibri"/>
          <w:color w:val="1F2937"/>
        </w:rPr>
        <w:t>Use S1-L1 for the deterministic approval lifecycle proof when available.</w:t>
      </w:r>
    </w:p>
    <w:p>
      <w:pPr>
        <w:pStyle w:val="ListNumber"/>
        <w:keepLines w:val="0"/>
        <w:spacing w:before="0" w:after="80" w:line="300" w:lineRule="auto"/>
      </w:pPr>
      <w:r>
        <w:rPr>
          <w:rFonts w:ascii="Calibri" w:hAnsi="Calibri"/>
          <w:color w:val="1F2937"/>
        </w:rPr>
        <w:t>From the Draft tab, click Open approval.</w:t>
      </w:r>
    </w:p>
    <w:p>
      <w:pPr>
        <w:pStyle w:val="ListNumber"/>
        <w:keepLines w:val="0"/>
        <w:spacing w:before="0" w:after="80" w:line="300" w:lineRule="auto"/>
      </w:pPr>
      <w:r>
        <w:rPr>
          <w:rFonts w:ascii="Calibri" w:hAnsi="Calibri"/>
          <w:color w:val="1F2937"/>
        </w:rPr>
        <w:t>Confirm the approval dialog shows draft label, draft status, deterministic basis, source details, and available decision buttons.</w:t>
      </w:r>
    </w:p>
    <w:p>
      <w:pPr>
        <w:pStyle w:val="ListNumber"/>
        <w:keepLines w:val="0"/>
        <w:spacing w:before="0" w:after="80" w:line="300" w:lineRule="auto"/>
      </w:pPr>
      <w:r>
        <w:rPr>
          <w:rFonts w:ascii="Calibri" w:hAnsi="Calibri"/>
          <w:color w:val="1F2937"/>
        </w:rPr>
        <w:t>If the dialog says approval is blocked, record the status and stop; do not force a decision.</w:t>
      </w:r>
    </w:p>
    <w:p>
      <w:pPr>
        <w:pStyle w:val="ListNumber"/>
        <w:keepLines w:val="0"/>
        <w:spacing w:before="0" w:after="80" w:line="300" w:lineRule="auto"/>
      </w:pPr>
      <w:r>
        <w:rPr>
          <w:rFonts w:ascii="Calibri" w:hAnsi="Calibri"/>
          <w:color w:val="1F2937"/>
        </w:rPr>
        <w:t>If eligible, click Approve for the browser-proof path. Use Modify or Reject only when the QA plan explicitly asks for that branch.</w:t>
      </w:r>
    </w:p>
    <w:p>
      <w:pPr>
        <w:pStyle w:val="ListNumber"/>
        <w:keepLines w:val="0"/>
        <w:spacing w:before="0" w:after="80" w:line="300" w:lineRule="auto"/>
      </w:pPr>
      <w:r>
        <w:rPr>
          <w:rFonts w:ascii="Calibri" w:hAnsi="Calibri"/>
          <w:color w:val="1F2937"/>
        </w:rPr>
        <w:t>Wait for Approval response recorded, then close the dialog.</w:t>
      </w:r>
    </w:p>
    <w:p>
      <w:pPr>
        <w:pStyle w:val="ListNumber"/>
        <w:keepLines w:val="0"/>
        <w:spacing w:before="0" w:after="80" w:line="300" w:lineRule="auto"/>
      </w:pPr>
      <w:r>
        <w:rPr>
          <w:rFonts w:ascii="Calibri" w:hAnsi="Calibri"/>
          <w:color w:val="1F2937"/>
        </w:rPr>
        <w:t>Open Audit and verify the receipt state.</w:t>
      </w:r>
    </w:p>
    <w:p>
      <w:pPr>
        <w:pStyle w:val="Heading3"/>
        <w:keepLines/>
        <w:spacing w:before="200" w:after="100" w:line="276" w:lineRule="auto"/>
      </w:pPr>
      <w:r>
        <w:rPr>
          <w:rFonts w:ascii="Calibri" w:hAnsi="Calibri"/>
          <w:b/>
          <w:color w:val="1F4D78"/>
          <w:sz w:val="24"/>
        </w:rPr>
        <w:t>What QA must check</w:t>
      </w:r>
    </w:p>
    <w:p>
      <w:pPr>
        <w:pStyle w:val="ListBullet"/>
        <w:keepLines w:val="0"/>
        <w:spacing w:before="0" w:after="80" w:line="300" w:lineRule="auto"/>
      </w:pPr>
      <w:r>
        <w:rPr>
          <w:rFonts w:ascii="Calibri" w:hAnsi="Calibri"/>
          <w:color w:val="1F2937"/>
        </w:rPr>
        <w:t>Approval dialog includes source details and cited record IDs.</w:t>
      </w:r>
    </w:p>
    <w:p>
      <w:pPr>
        <w:pStyle w:val="ListBullet"/>
        <w:keepLines w:val="0"/>
        <w:spacing w:before="0" w:after="80" w:line="300" w:lineRule="auto"/>
      </w:pPr>
      <w:r>
        <w:rPr>
          <w:rFonts w:ascii="Calibri" w:hAnsi="Calibri"/>
          <w:color w:val="1F2937"/>
        </w:rPr>
        <w:t>Approve button is enabled only when backend eligibility allows it.</w:t>
      </w:r>
    </w:p>
    <w:p>
      <w:pPr>
        <w:pStyle w:val="ListBullet"/>
        <w:keepLines w:val="0"/>
        <w:spacing w:before="0" w:after="80" w:line="300" w:lineRule="auto"/>
      </w:pPr>
      <w:r>
        <w:rPr>
          <w:rFonts w:ascii="Calibri" w:hAnsi="Calibri"/>
          <w:color w:val="1F2937"/>
        </w:rPr>
        <w:t>After approval, backend detail status becomes human_decided.</w:t>
      </w:r>
    </w:p>
    <w:p>
      <w:pPr>
        <w:pStyle w:val="ListBullet"/>
        <w:keepLines w:val="0"/>
        <w:spacing w:before="0" w:after="80" w:line="300" w:lineRule="auto"/>
      </w:pPr>
      <w:r>
        <w:rPr>
          <w:rFonts w:ascii="Calibri" w:hAnsi="Calibri"/>
          <w:color w:val="1F2937"/>
        </w:rPr>
        <w:t>Audit receipt includes action ID, decision, status, cited record IDs, and a 64-character audit hash.</w:t>
      </w:r>
    </w:p>
    <w:p>
      <w:pPr>
        <w:pStyle w:val="ListBullet"/>
        <w:keepLines w:val="0"/>
        <w:spacing w:before="0" w:after="80" w:line="300" w:lineRule="auto"/>
      </w:pPr>
      <w:r>
        <w:rPr>
          <w:rFonts w:ascii="Calibri" w:hAnsi="Calibri"/>
          <w:color w:val="1F2937"/>
        </w:rPr>
        <w:t>No ERP writeback or external dispatch occurs as part of the QA approval.</w:t>
      </w:r>
    </w:p>
    <w:p>
      <w:pPr>
        <w:pStyle w:val="Heading2"/>
        <w:keepLines/>
        <w:spacing w:before="280" w:after="140" w:line="276" w:lineRule="auto"/>
      </w:pPr>
      <w:r>
        <w:rPr>
          <w:rFonts w:ascii="Calibri" w:hAnsi="Calibri"/>
          <w:b/>
          <w:color w:val="2E74B5"/>
          <w:sz w:val="26"/>
        </w:rPr>
        <w:t>TC-10 - Logout/relogin persistence after approval</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1800"/>
        <w:gridCol w:w="7560"/>
      </w:tblGrid>
      <w:tr>
        <w:trPr>
          <w:tblHeader w:val="true"/>
        </w:trPr>
        <w:tc>
          <w:tcPr>
            <w:tcW w:type="dxa" w:w="180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Field</w:t>
            </w:r>
          </w:p>
        </w:tc>
        <w:tc>
          <w:tcPr>
            <w:tcW w:type="dxa" w:w="756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Detail</w:t>
            </w:r>
          </w:p>
        </w:tc>
      </w:tr>
      <w:tr>
        <w:tc>
          <w:tcPr>
            <w:tcW w:type="dxa" w:w="1800"/>
          </w:tcPr>
          <w:p>
            <w:pPr>
              <w:keepLines w:val="0"/>
              <w:spacing w:before="0" w:after="0" w:line="276" w:lineRule="auto"/>
            </w:pPr>
            <w:r>
              <w:rPr>
                <w:rFonts w:ascii="Calibri" w:hAnsi="Calibri"/>
                <w:b w:val="0"/>
                <w:color w:val="1F2937"/>
                <w:sz w:val="18"/>
              </w:rPr>
              <w:t>Purpose</w:t>
            </w:r>
          </w:p>
        </w:tc>
        <w:tc>
          <w:tcPr>
            <w:tcW w:type="dxa" w:w="7560"/>
          </w:tcPr>
          <w:p>
            <w:pPr>
              <w:keepLines w:val="0"/>
              <w:spacing w:before="0" w:after="0" w:line="276" w:lineRule="auto"/>
            </w:pPr>
            <w:r>
              <w:rPr>
                <w:rFonts w:ascii="Calibri" w:hAnsi="Calibri"/>
                <w:b w:val="0"/>
                <w:color w:val="1F2937"/>
                <w:sz w:val="18"/>
              </w:rPr>
              <w:t>Prove committed approval state is durable and duplicate approvals are not left open after relogin.</w:t>
            </w:r>
          </w:p>
        </w:tc>
      </w:tr>
      <w:tr>
        <w:tc>
          <w:tcPr>
            <w:tcW w:type="dxa" w:w="1800"/>
          </w:tcPr>
          <w:p>
            <w:pPr>
              <w:keepLines w:val="0"/>
              <w:spacing w:before="0" w:after="0" w:line="276" w:lineRule="auto"/>
            </w:pPr>
            <w:r>
              <w:rPr>
                <w:rFonts w:ascii="Calibri" w:hAnsi="Calibri"/>
                <w:b w:val="0"/>
                <w:color w:val="1F2937"/>
                <w:sz w:val="18"/>
              </w:rPr>
              <w:t>Automated/source evidence</w:t>
            </w:r>
          </w:p>
        </w:tc>
        <w:tc>
          <w:tcPr>
            <w:tcW w:type="dxa" w:w="7560"/>
          </w:tcPr>
          <w:p>
            <w:pPr>
              <w:keepLines w:val="0"/>
              <w:spacing w:before="0" w:after="0" w:line="276" w:lineRule="auto"/>
            </w:pPr>
            <w:r>
              <w:rPr>
                <w:rFonts w:ascii="Calibri" w:hAnsi="Calibri"/>
                <w:b w:val="0"/>
                <w:color w:val="1F2937"/>
                <w:sz w:val="18"/>
              </w:rPr>
              <w:t>tests/e2e/maya-approval-lifecycle-e2e.ts logout and relogin step.</w:t>
            </w:r>
          </w:p>
        </w:tc>
      </w:tr>
      <w:tr>
        <w:tc>
          <w:tcPr>
            <w:tcW w:type="dxa" w:w="1800"/>
          </w:tcPr>
          <w:p>
            <w:pPr>
              <w:keepLines w:val="0"/>
              <w:spacing w:before="0" w:after="0" w:line="276" w:lineRule="auto"/>
            </w:pPr>
            <w:r>
              <w:rPr>
                <w:rFonts w:ascii="Calibri" w:hAnsi="Calibri"/>
                <w:b w:val="0"/>
                <w:color w:val="1F2937"/>
                <w:sz w:val="18"/>
              </w:rPr>
              <w:t>Where agentic makes a difference</w:t>
            </w:r>
          </w:p>
        </w:tc>
        <w:tc>
          <w:tcPr>
            <w:tcW w:type="dxa" w:w="7560"/>
          </w:tcPr>
          <w:p>
            <w:pPr>
              <w:keepLines w:val="0"/>
              <w:spacing w:before="0" w:after="0" w:line="276" w:lineRule="auto"/>
            </w:pPr>
            <w:r>
              <w:rPr>
                <w:rFonts w:ascii="Calibri" w:hAnsi="Calibri"/>
                <w:b w:val="0"/>
                <w:color w:val="1F2937"/>
                <w:sz w:val="18"/>
              </w:rPr>
              <w:t>Agentic workflows are useful only if their human decisions survive session boundaries. This test proves the system is not just holding approval state in React.</w:t>
            </w:r>
          </w:p>
        </w:tc>
      </w:tr>
    </w:tbl>
    <w:p/>
    <w:p>
      <w:pPr>
        <w:pStyle w:val="Heading3"/>
        <w:keepLines/>
        <w:spacing w:before="200" w:after="100" w:line="276" w:lineRule="auto"/>
      </w:pPr>
      <w:r>
        <w:rPr>
          <w:rFonts w:ascii="Calibri" w:hAnsi="Calibri"/>
          <w:b/>
          <w:color w:val="1F4D78"/>
          <w:sz w:val="24"/>
        </w:rPr>
        <w:t>Screen navigation</w:t>
      </w:r>
    </w:p>
    <w:p>
      <w:pPr>
        <w:pStyle w:val="ListNumber"/>
        <w:keepLines w:val="0"/>
        <w:spacing w:before="0" w:after="80" w:line="300" w:lineRule="auto"/>
      </w:pPr>
      <w:r>
        <w:rPr>
          <w:rFonts w:ascii="Calibri" w:hAnsi="Calibri"/>
          <w:color w:val="1F2937"/>
        </w:rPr>
        <w:t>After TC-09 approval, click Sign out.</w:t>
      </w:r>
    </w:p>
    <w:p>
      <w:pPr>
        <w:pStyle w:val="ListNumber"/>
        <w:keepLines w:val="0"/>
        <w:spacing w:before="0" w:after="80" w:line="300" w:lineRule="auto"/>
      </w:pPr>
      <w:r>
        <w:rPr>
          <w:rFonts w:ascii="Calibri" w:hAnsi="Calibri"/>
          <w:color w:val="1F2937"/>
        </w:rPr>
        <w:t>Confirm the browser returns to /login.</w:t>
      </w:r>
    </w:p>
    <w:p>
      <w:pPr>
        <w:pStyle w:val="ListNumber"/>
        <w:keepLines w:val="0"/>
        <w:spacing w:before="0" w:after="80" w:line="300" w:lineRule="auto"/>
      </w:pPr>
      <w:r>
        <w:rPr>
          <w:rFonts w:ascii="Calibri" w:hAnsi="Calibri"/>
          <w:color w:val="1F2937"/>
        </w:rPr>
        <w:t>Log in again as Maya.</w:t>
      </w:r>
    </w:p>
    <w:p>
      <w:pPr>
        <w:pStyle w:val="ListNumber"/>
        <w:keepLines w:val="0"/>
        <w:spacing w:before="0" w:after="80" w:line="300" w:lineRule="auto"/>
      </w:pPr>
      <w:r>
        <w:rPr>
          <w:rFonts w:ascii="Calibri" w:hAnsi="Calibri"/>
          <w:color w:val="1F2937"/>
        </w:rPr>
        <w:t>Open Worklist and reopen S1-L1.</w:t>
      </w:r>
    </w:p>
    <w:p>
      <w:pPr>
        <w:pStyle w:val="ListNumber"/>
        <w:keepLines w:val="0"/>
        <w:spacing w:before="0" w:after="80" w:line="300" w:lineRule="auto"/>
      </w:pPr>
      <w:r>
        <w:rPr>
          <w:rFonts w:ascii="Calibri" w:hAnsi="Calibri"/>
          <w:color w:val="1F2937"/>
        </w:rPr>
        <w:t>Open Draft and then Audit.</w:t>
      </w:r>
    </w:p>
    <w:p>
      <w:pPr>
        <w:pStyle w:val="ListNumber"/>
        <w:keepLines w:val="0"/>
        <w:spacing w:before="0" w:after="80" w:line="300" w:lineRule="auto"/>
      </w:pPr>
      <w:r>
        <w:rPr>
          <w:rFonts w:ascii="Calibri" w:hAnsi="Calibri"/>
          <w:color w:val="1F2937"/>
        </w:rPr>
        <w:t>Confirm the audit state says Human decision recorded.</w:t>
      </w:r>
    </w:p>
    <w:p>
      <w:pPr>
        <w:pStyle w:val="Heading3"/>
        <w:keepLines/>
        <w:spacing w:before="200" w:after="100" w:line="276" w:lineRule="auto"/>
      </w:pPr>
      <w:r>
        <w:rPr>
          <w:rFonts w:ascii="Calibri" w:hAnsi="Calibri"/>
          <w:b/>
          <w:color w:val="1F4D78"/>
          <w:sz w:val="24"/>
        </w:rPr>
        <w:t>What QA must check</w:t>
      </w:r>
    </w:p>
    <w:p>
      <w:pPr>
        <w:pStyle w:val="ListBullet"/>
        <w:keepLines w:val="0"/>
        <w:spacing w:before="0" w:after="80" w:line="300" w:lineRule="auto"/>
      </w:pPr>
      <w:r>
        <w:rPr>
          <w:rFonts w:ascii="Calibri" w:hAnsi="Calibri"/>
          <w:color w:val="1F2937"/>
        </w:rPr>
        <w:t>Approval state persists after logout/relogin.</w:t>
      </w:r>
    </w:p>
    <w:p>
      <w:pPr>
        <w:pStyle w:val="ListBullet"/>
        <w:keepLines w:val="0"/>
        <w:spacing w:before="0" w:after="80" w:line="300" w:lineRule="auto"/>
      </w:pPr>
      <w:r>
        <w:rPr>
          <w:rFonts w:ascii="Calibri" w:hAnsi="Calibri"/>
          <w:color w:val="1F2937"/>
        </w:rPr>
        <w:t>Approval eligibility is no longer open for the already-approved action.</w:t>
      </w:r>
    </w:p>
    <w:p>
      <w:pPr>
        <w:pStyle w:val="ListBullet"/>
        <w:keepLines w:val="0"/>
        <w:spacing w:before="0" w:after="80" w:line="300" w:lineRule="auto"/>
      </w:pPr>
      <w:r>
        <w:rPr>
          <w:rFonts w:ascii="Calibri" w:hAnsi="Calibri"/>
          <w:color w:val="1F2937"/>
        </w:rPr>
        <w:t>Audit hash and decision receipt rehydrate from backend/memory/audit state.</w:t>
      </w:r>
    </w:p>
    <w:p>
      <w:pPr>
        <w:pStyle w:val="Heading2"/>
        <w:keepLines/>
        <w:spacing w:before="280" w:after="140" w:line="276" w:lineRule="auto"/>
      </w:pPr>
      <w:r>
        <w:rPr>
          <w:rFonts w:ascii="Calibri" w:hAnsi="Calibri"/>
          <w:b/>
          <w:color w:val="2E74B5"/>
          <w:sz w:val="26"/>
        </w:rPr>
        <w:t>TC-11 - Reset of test case and retest cycle</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1800"/>
        <w:gridCol w:w="7560"/>
      </w:tblGrid>
      <w:tr>
        <w:trPr>
          <w:tblHeader w:val="true"/>
        </w:trPr>
        <w:tc>
          <w:tcPr>
            <w:tcW w:type="dxa" w:w="180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Field</w:t>
            </w:r>
          </w:p>
        </w:tc>
        <w:tc>
          <w:tcPr>
            <w:tcW w:type="dxa" w:w="756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Detail</w:t>
            </w:r>
          </w:p>
        </w:tc>
      </w:tr>
      <w:tr>
        <w:tc>
          <w:tcPr>
            <w:tcW w:type="dxa" w:w="1800"/>
          </w:tcPr>
          <w:p>
            <w:pPr>
              <w:keepLines w:val="0"/>
              <w:spacing w:before="0" w:after="0" w:line="276" w:lineRule="auto"/>
            </w:pPr>
            <w:r>
              <w:rPr>
                <w:rFonts w:ascii="Calibri" w:hAnsi="Calibri"/>
                <w:b w:val="0"/>
                <w:color w:val="1F2937"/>
                <w:sz w:val="18"/>
              </w:rPr>
              <w:t>Purpose</w:t>
            </w:r>
          </w:p>
        </w:tc>
        <w:tc>
          <w:tcPr>
            <w:tcW w:type="dxa" w:w="7560"/>
          </w:tcPr>
          <w:p>
            <w:pPr>
              <w:keepLines w:val="0"/>
              <w:spacing w:before="0" w:after="0" w:line="276" w:lineRule="auto"/>
            </w:pPr>
            <w:r>
              <w:rPr>
                <w:rFonts w:ascii="Calibri" w:hAnsi="Calibri"/>
                <w:b w:val="0"/>
                <w:color w:val="1F2937"/>
                <w:sz w:val="18"/>
              </w:rPr>
              <w:t>Prove QA can reset the approval lifecycle test case and verify the UI returns to pending human state.</w:t>
            </w:r>
          </w:p>
        </w:tc>
      </w:tr>
      <w:tr>
        <w:tc>
          <w:tcPr>
            <w:tcW w:type="dxa" w:w="1800"/>
          </w:tcPr>
          <w:p>
            <w:pPr>
              <w:keepLines w:val="0"/>
              <w:spacing w:before="0" w:after="0" w:line="276" w:lineRule="auto"/>
            </w:pPr>
            <w:r>
              <w:rPr>
                <w:rFonts w:ascii="Calibri" w:hAnsi="Calibri"/>
                <w:b w:val="0"/>
                <w:color w:val="1F2937"/>
                <w:sz w:val="18"/>
              </w:rPr>
              <w:t>Automated/source evidence</w:t>
            </w:r>
          </w:p>
        </w:tc>
        <w:tc>
          <w:tcPr>
            <w:tcW w:type="dxa" w:w="7560"/>
          </w:tcPr>
          <w:p>
            <w:pPr>
              <w:keepLines w:val="0"/>
              <w:spacing w:before="0" w:after="0" w:line="276" w:lineRule="auto"/>
            </w:pPr>
            <w:r>
              <w:rPr>
                <w:rFonts w:ascii="Calibri" w:hAnsi="Calibri"/>
                <w:b w:val="0"/>
                <w:color w:val="1F2937"/>
                <w:sz w:val="18"/>
              </w:rPr>
              <w:t>tests/e2e/maya-approval-lifecycle-e2e.ts pre-test admin reset, admin reset after approval, and relogin after reset.</w:t>
            </w:r>
          </w:p>
        </w:tc>
      </w:tr>
      <w:tr>
        <w:tc>
          <w:tcPr>
            <w:tcW w:type="dxa" w:w="1800"/>
          </w:tcPr>
          <w:p>
            <w:pPr>
              <w:keepLines w:val="0"/>
              <w:spacing w:before="0" w:after="0" w:line="276" w:lineRule="auto"/>
            </w:pPr>
            <w:r>
              <w:rPr>
                <w:rFonts w:ascii="Calibri" w:hAnsi="Calibri"/>
                <w:b w:val="0"/>
                <w:color w:val="1F2937"/>
                <w:sz w:val="18"/>
              </w:rPr>
              <w:t>Where agentic makes a difference</w:t>
            </w:r>
          </w:p>
        </w:tc>
        <w:tc>
          <w:tcPr>
            <w:tcW w:type="dxa" w:w="7560"/>
          </w:tcPr>
          <w:p>
            <w:pPr>
              <w:keepLines w:val="0"/>
              <w:spacing w:before="0" w:after="0" w:line="276" w:lineRule="auto"/>
            </w:pPr>
            <w:r>
              <w:rPr>
                <w:rFonts w:ascii="Calibri" w:hAnsi="Calibri"/>
                <w:b w:val="0"/>
                <w:color w:val="1F2937"/>
                <w:sz w:val="18"/>
              </w:rPr>
              <w:t>Reset is not an agentic business action; it is a QA control. The agentic value is that the same human-gated flow can be replayed deterministically after state is cleared.</w:t>
            </w:r>
          </w:p>
        </w:tc>
      </w:tr>
    </w:tbl>
    <w:p/>
    <w:p>
      <w:pPr>
        <w:pStyle w:val="Heading3"/>
        <w:keepLines/>
        <w:spacing w:before="200" w:after="100" w:line="276" w:lineRule="auto"/>
      </w:pPr>
      <w:r>
        <w:rPr>
          <w:rFonts w:ascii="Calibri" w:hAnsi="Calibri"/>
          <w:b/>
          <w:color w:val="1F4D78"/>
          <w:sz w:val="24"/>
        </w:rPr>
        <w:t>Screen navigation</w:t>
      </w:r>
    </w:p>
    <w:p>
      <w:pPr>
        <w:pStyle w:val="ListNumber"/>
        <w:keepLines w:val="0"/>
        <w:spacing w:before="0" w:after="80" w:line="300" w:lineRule="auto"/>
      </w:pPr>
      <w:r>
        <w:rPr>
          <w:rFonts w:ascii="Calibri" w:hAnsi="Calibri"/>
          <w:color w:val="1F2937"/>
        </w:rPr>
        <w:t>Use only an approved QA/admin environment. Do not run reset in production unless explicitly approved by the owner.</w:t>
      </w:r>
    </w:p>
    <w:p>
      <w:pPr>
        <w:pStyle w:val="ListNumber"/>
        <w:keepLines w:val="0"/>
        <w:spacing w:before="0" w:after="80" w:line="300" w:lineRule="auto"/>
      </w:pPr>
      <w:r>
        <w:rPr>
          <w:rFonts w:ascii="Calibri" w:hAnsi="Calibri"/>
          <w:color w:val="1F2937"/>
        </w:rPr>
        <w:t>Call the admin reset control/API for action route-billing:S1-L1 with a QA reason. The automated suite uses /admin/demo-reset with the admin human principal and token.</w:t>
      </w:r>
    </w:p>
    <w:p>
      <w:pPr>
        <w:pStyle w:val="ListNumber"/>
        <w:keepLines w:val="0"/>
        <w:spacing w:before="0" w:after="80" w:line="300" w:lineRule="auto"/>
      </w:pPr>
      <w:r>
        <w:rPr>
          <w:rFonts w:ascii="Calibri" w:hAnsi="Calibri"/>
          <w:color w:val="1F2937"/>
        </w:rPr>
        <w:t>After reset succeeds, log out if currently signed in.</w:t>
      </w:r>
    </w:p>
    <w:p>
      <w:pPr>
        <w:pStyle w:val="ListNumber"/>
        <w:keepLines w:val="0"/>
        <w:spacing w:before="0" w:after="80" w:line="300" w:lineRule="auto"/>
      </w:pPr>
      <w:r>
        <w:rPr>
          <w:rFonts w:ascii="Calibri" w:hAnsi="Calibri"/>
          <w:color w:val="1F2937"/>
        </w:rPr>
        <w:t>Log back in as Maya.</w:t>
      </w:r>
    </w:p>
    <w:p>
      <w:pPr>
        <w:pStyle w:val="ListNumber"/>
        <w:keepLines w:val="0"/>
        <w:spacing w:before="0" w:after="80" w:line="300" w:lineRule="auto"/>
      </w:pPr>
      <w:r>
        <w:rPr>
          <w:rFonts w:ascii="Calibri" w:hAnsi="Calibri"/>
          <w:color w:val="1F2937"/>
        </w:rPr>
        <w:t>Open Worklist and reopen S1-L1.</w:t>
      </w:r>
    </w:p>
    <w:p>
      <w:pPr>
        <w:pStyle w:val="ListNumber"/>
        <w:keepLines w:val="0"/>
        <w:spacing w:before="0" w:after="80" w:line="300" w:lineRule="auto"/>
      </w:pPr>
      <w:r>
        <w:rPr>
          <w:rFonts w:ascii="Calibri" w:hAnsi="Calibri"/>
          <w:color w:val="1F2937"/>
        </w:rPr>
        <w:t>Open Draft and Audit.</w:t>
      </w:r>
    </w:p>
    <w:p>
      <w:pPr>
        <w:pStyle w:val="ListNumber"/>
        <w:keepLines w:val="0"/>
        <w:spacing w:before="0" w:after="80" w:line="300" w:lineRule="auto"/>
      </w:pPr>
      <w:r>
        <w:rPr>
          <w:rFonts w:ascii="Calibri" w:hAnsi="Calibri"/>
          <w:color w:val="1F2937"/>
        </w:rPr>
        <w:t>Confirm Audit shows Audit confirmation unavailable and the draft is pending human again.</w:t>
      </w:r>
    </w:p>
    <w:p>
      <w:pPr>
        <w:pStyle w:val="ListNumber"/>
        <w:keepLines w:val="0"/>
        <w:spacing w:before="0" w:after="80" w:line="300" w:lineRule="auto"/>
      </w:pPr>
      <w:r>
        <w:rPr>
          <w:rFonts w:ascii="Calibri" w:hAnsi="Calibri"/>
          <w:color w:val="1F2937"/>
        </w:rPr>
        <w:t>Optionally rerun TC-09 to prove approval can be submitted again after reset.</w:t>
      </w:r>
    </w:p>
    <w:p>
      <w:pPr>
        <w:pStyle w:val="Heading3"/>
        <w:keepLines/>
        <w:spacing w:before="200" w:after="100" w:line="276" w:lineRule="auto"/>
      </w:pPr>
      <w:r>
        <w:rPr>
          <w:rFonts w:ascii="Calibri" w:hAnsi="Calibri"/>
          <w:b/>
          <w:color w:val="1F4D78"/>
          <w:sz w:val="24"/>
        </w:rPr>
        <w:t>What QA must check</w:t>
      </w:r>
    </w:p>
    <w:p>
      <w:pPr>
        <w:pStyle w:val="ListBullet"/>
        <w:keepLines w:val="0"/>
        <w:spacing w:before="0" w:after="80" w:line="300" w:lineRule="auto"/>
      </w:pPr>
      <w:r>
        <w:rPr>
          <w:rFonts w:ascii="Calibri" w:hAnsi="Calibri"/>
          <w:color w:val="1F2937"/>
        </w:rPr>
        <w:t>Reset clears the approval receipt for S1-L1.</w:t>
      </w:r>
    </w:p>
    <w:p>
      <w:pPr>
        <w:pStyle w:val="ListBullet"/>
        <w:keepLines w:val="0"/>
        <w:spacing w:before="0" w:after="80" w:line="300" w:lineRule="auto"/>
      </w:pPr>
      <w:r>
        <w:rPr>
          <w:rFonts w:ascii="Calibri" w:hAnsi="Calibri"/>
          <w:color w:val="1F2937"/>
        </w:rPr>
        <w:t>Backend detail returns pending_human.</w:t>
      </w:r>
    </w:p>
    <w:p>
      <w:pPr>
        <w:pStyle w:val="ListBullet"/>
        <w:keepLines w:val="0"/>
        <w:spacing w:before="0" w:after="80" w:line="300" w:lineRule="auto"/>
      </w:pPr>
      <w:r>
        <w:rPr>
          <w:rFonts w:ascii="Calibri" w:hAnsi="Calibri"/>
          <w:color w:val="1F2937"/>
        </w:rPr>
        <w:t>Approval eligibility reopens after reset.</w:t>
      </w:r>
    </w:p>
    <w:p>
      <w:pPr>
        <w:pStyle w:val="ListBullet"/>
        <w:keepLines w:val="0"/>
        <w:spacing w:before="0" w:after="80" w:line="300" w:lineRule="auto"/>
      </w:pPr>
      <w:r>
        <w:rPr>
          <w:rFonts w:ascii="Calibri" w:hAnsi="Calibri"/>
          <w:color w:val="1F2937"/>
        </w:rPr>
        <w:t>The UI does not keep stale Human decision recorded text after reset.</w:t>
      </w:r>
    </w:p>
    <w:p>
      <w:pPr>
        <w:pStyle w:val="ListBullet"/>
        <w:keepLines w:val="0"/>
        <w:spacing w:before="0" w:after="80" w:line="300" w:lineRule="auto"/>
      </w:pPr>
      <w:r>
        <w:rPr>
          <w:rFonts w:ascii="Calibri" w:hAnsi="Calibri"/>
          <w:color w:val="1F2937"/>
        </w:rPr>
        <w:t>Admin token values are never pasted into the document, logs, or screenshots.</w:t>
      </w:r>
    </w:p>
    <w:p>
      <w:pPr>
        <w:pStyle w:val="Heading2"/>
        <w:keepLines/>
        <w:spacing w:before="280" w:after="140" w:line="276" w:lineRule="auto"/>
      </w:pPr>
      <w:r>
        <w:rPr>
          <w:rFonts w:ascii="Calibri" w:hAnsi="Calibri"/>
          <w:b/>
          <w:color w:val="2E74B5"/>
          <w:sz w:val="26"/>
        </w:rPr>
        <w:t>TC-12 - Agent memory scenarios</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1800"/>
        <w:gridCol w:w="7560"/>
      </w:tblGrid>
      <w:tr>
        <w:trPr>
          <w:tblHeader w:val="true"/>
        </w:trPr>
        <w:tc>
          <w:tcPr>
            <w:tcW w:type="dxa" w:w="180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Field</w:t>
            </w:r>
          </w:p>
        </w:tc>
        <w:tc>
          <w:tcPr>
            <w:tcW w:type="dxa" w:w="756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Detail</w:t>
            </w:r>
          </w:p>
        </w:tc>
      </w:tr>
      <w:tr>
        <w:tc>
          <w:tcPr>
            <w:tcW w:type="dxa" w:w="1800"/>
          </w:tcPr>
          <w:p>
            <w:pPr>
              <w:keepLines w:val="0"/>
              <w:spacing w:before="0" w:after="0" w:line="276" w:lineRule="auto"/>
            </w:pPr>
            <w:r>
              <w:rPr>
                <w:rFonts w:ascii="Calibri" w:hAnsi="Calibri"/>
                <w:b w:val="0"/>
                <w:color w:val="1F2937"/>
                <w:sz w:val="18"/>
              </w:rPr>
              <w:t>Purpose</w:t>
            </w:r>
          </w:p>
        </w:tc>
        <w:tc>
          <w:tcPr>
            <w:tcW w:type="dxa" w:w="7560"/>
          </w:tcPr>
          <w:p>
            <w:pPr>
              <w:keepLines w:val="0"/>
              <w:spacing w:before="0" w:after="0" w:line="276" w:lineRule="auto"/>
            </w:pPr>
            <w:r>
              <w:rPr>
                <w:rFonts w:ascii="Calibri" w:hAnsi="Calibri"/>
                <w:b w:val="0"/>
                <w:color w:val="1F2937"/>
                <w:sz w:val="18"/>
              </w:rPr>
              <w:t>Prove memory helps session continuity without becoming a decision source or storing unsafe content.</w:t>
            </w:r>
          </w:p>
        </w:tc>
      </w:tr>
      <w:tr>
        <w:tc>
          <w:tcPr>
            <w:tcW w:type="dxa" w:w="1800"/>
          </w:tcPr>
          <w:p>
            <w:pPr>
              <w:keepLines w:val="0"/>
              <w:spacing w:before="0" w:after="0" w:line="276" w:lineRule="auto"/>
            </w:pPr>
            <w:r>
              <w:rPr>
                <w:rFonts w:ascii="Calibri" w:hAnsi="Calibri"/>
                <w:b w:val="0"/>
                <w:color w:val="1F2937"/>
                <w:sz w:val="18"/>
              </w:rPr>
              <w:t>Automated/source evidence</w:t>
            </w:r>
          </w:p>
        </w:tc>
        <w:tc>
          <w:tcPr>
            <w:tcW w:type="dxa" w:w="7560"/>
          </w:tcPr>
          <w:p>
            <w:pPr>
              <w:keepLines w:val="0"/>
              <w:spacing w:before="0" w:after="0" w:line="276" w:lineRule="auto"/>
            </w:pPr>
            <w:r>
              <w:rPr>
                <w:rFonts w:ascii="Calibri" w:hAnsi="Calibri"/>
                <w:b w:val="0"/>
                <w:color w:val="1F2937"/>
                <w:sz w:val="18"/>
              </w:rPr>
              <w:t>tests/unit/memory.test.ts and tests/invariants/memory-contract.test.ts.</w:t>
            </w:r>
          </w:p>
        </w:tc>
      </w:tr>
      <w:tr>
        <w:tc>
          <w:tcPr>
            <w:tcW w:type="dxa" w:w="1800"/>
          </w:tcPr>
          <w:p>
            <w:pPr>
              <w:keepLines w:val="0"/>
              <w:spacing w:before="0" w:after="0" w:line="276" w:lineRule="auto"/>
            </w:pPr>
            <w:r>
              <w:rPr>
                <w:rFonts w:ascii="Calibri" w:hAnsi="Calibri"/>
                <w:b w:val="0"/>
                <w:color w:val="1F2937"/>
                <w:sz w:val="18"/>
              </w:rPr>
              <w:t>Where agentic makes a difference</w:t>
            </w:r>
          </w:p>
        </w:tc>
        <w:tc>
          <w:tcPr>
            <w:tcW w:type="dxa" w:w="7560"/>
          </w:tcPr>
          <w:p>
            <w:pPr>
              <w:keepLines w:val="0"/>
              <w:spacing w:before="0" w:after="0" w:line="276" w:lineRule="auto"/>
            </w:pPr>
            <w:r>
              <w:rPr>
                <w:rFonts w:ascii="Calibri" w:hAnsi="Calibri"/>
                <w:b w:val="0"/>
                <w:color w:val="1F2937"/>
                <w:sz w:val="18"/>
              </w:rPr>
              <w:t>Agentic memory makes a difference by preserving the selected evidence scope across query activity. It must never become a hidden source of business decisions.</w:t>
            </w:r>
          </w:p>
        </w:tc>
      </w:tr>
    </w:tbl>
    <w:p/>
    <w:p>
      <w:pPr>
        <w:pStyle w:val="Heading3"/>
        <w:keepLines/>
        <w:spacing w:before="200" w:after="100" w:line="276" w:lineRule="auto"/>
      </w:pPr>
      <w:r>
        <w:rPr>
          <w:rFonts w:ascii="Calibri" w:hAnsi="Calibri"/>
          <w:b/>
          <w:color w:val="1F4D78"/>
          <w:sz w:val="24"/>
        </w:rPr>
        <w:t>Screen navigation</w:t>
      </w:r>
    </w:p>
    <w:p>
      <w:pPr>
        <w:pStyle w:val="ListNumber"/>
        <w:keepLines w:val="0"/>
        <w:spacing w:before="0" w:after="80" w:line="300" w:lineRule="auto"/>
      </w:pPr>
      <w:r>
        <w:rPr>
          <w:rFonts w:ascii="Calibri" w:hAnsi="Calibri"/>
          <w:color w:val="1F2937"/>
        </w:rPr>
        <w:t>Run a safe query from TC-06 with a known session ID when the environment exposes durable memory.</w:t>
      </w:r>
    </w:p>
    <w:p>
      <w:pPr>
        <w:pStyle w:val="ListNumber"/>
        <w:keepLines w:val="0"/>
        <w:spacing w:before="0" w:after="80" w:line="300" w:lineRule="auto"/>
      </w:pPr>
      <w:r>
        <w:rPr>
          <w:rFonts w:ascii="Calibri" w:hAnsi="Calibri"/>
          <w:color w:val="1F2937"/>
        </w:rPr>
        <w:t>Inspect /memory or the configured Supabase memory table only if QA has approved read access.</w:t>
      </w:r>
    </w:p>
    <w:p>
      <w:pPr>
        <w:pStyle w:val="ListNumber"/>
        <w:keepLines w:val="0"/>
        <w:spacing w:before="0" w:after="80" w:line="300" w:lineRule="auto"/>
      </w:pPr>
      <w:r>
        <w:rPr>
          <w:rFonts w:ascii="Calibri" w:hAnsi="Calibri"/>
          <w:color w:val="1F2937"/>
        </w:rPr>
        <w:t>Find session:&lt;sessionId&gt;:maya-query-scope.</w:t>
      </w:r>
    </w:p>
    <w:p>
      <w:pPr>
        <w:pStyle w:val="ListNumber"/>
        <w:keepLines w:val="0"/>
        <w:spacing w:before="0" w:after="80" w:line="300" w:lineRule="auto"/>
      </w:pPr>
      <w:r>
        <w:rPr>
          <w:rFonts w:ascii="Calibri" w:hAnsi="Calibri"/>
          <w:color w:val="1F2937"/>
        </w:rPr>
        <w:t>Confirm the payload stores selectedLineId, selectedRecordIds, deterministicBasis, memoryType, and status only.</w:t>
      </w:r>
    </w:p>
    <w:p>
      <w:pPr>
        <w:pStyle w:val="ListNumber"/>
        <w:keepLines w:val="0"/>
        <w:spacing w:before="0" w:after="80" w:line="300" w:lineRule="auto"/>
      </w:pPr>
      <w:r>
        <w:rPr>
          <w:rFonts w:ascii="Calibri" w:hAnsi="Calibri"/>
          <w:color w:val="1F2937"/>
        </w:rPr>
        <w:t>Repeat with a blocked query response if the test harness supports it and confirm status becomes blocked.</w:t>
      </w:r>
    </w:p>
    <w:p>
      <w:pPr>
        <w:pStyle w:val="ListNumber"/>
        <w:keepLines w:val="0"/>
        <w:spacing w:before="0" w:after="80" w:line="300" w:lineRule="auto"/>
      </w:pPr>
      <w:r>
        <w:rPr>
          <w:rFonts w:ascii="Calibri" w:hAnsi="Calibri"/>
          <w:color w:val="1F2937"/>
        </w:rPr>
        <w:t>Run the unsafe-ID test in local/invariant form rather than through production UI; verify unsafe identifiers are rejected before persistence.</w:t>
      </w:r>
    </w:p>
    <w:p>
      <w:pPr>
        <w:pStyle w:val="ListNumber"/>
        <w:keepLines w:val="0"/>
        <w:spacing w:before="0" w:after="80" w:line="300" w:lineRule="auto"/>
      </w:pPr>
      <w:r>
        <w:rPr>
          <w:rFonts w:ascii="Calibri" w:hAnsi="Calibri"/>
          <w:color w:val="1F2937"/>
        </w:rPr>
        <w:t>Run with durable memory disabled and confirm query still works while memory is skipped.</w:t>
      </w:r>
    </w:p>
    <w:p>
      <w:pPr>
        <w:pStyle w:val="Heading3"/>
        <w:keepLines/>
        <w:spacing w:before="200" w:after="100" w:line="276" w:lineRule="auto"/>
      </w:pPr>
      <w:r>
        <w:rPr>
          <w:rFonts w:ascii="Calibri" w:hAnsi="Calibri"/>
          <w:b/>
          <w:color w:val="1F4D78"/>
          <w:sz w:val="24"/>
        </w:rPr>
        <w:t>What QA must check</w:t>
      </w:r>
    </w:p>
    <w:p>
      <w:pPr>
        <w:pStyle w:val="ListBullet"/>
        <w:keepLines w:val="0"/>
        <w:spacing w:before="0" w:after="80" w:line="300" w:lineRule="auto"/>
      </w:pPr>
      <w:r>
        <w:rPr>
          <w:rFonts w:ascii="Calibri" w:hAnsi="Calibri"/>
          <w:color w:val="1F2937"/>
        </w:rPr>
        <w:t>Memory payload excludes question text, answer text, dollar values, verdicts, routing, approval fields, PII, and secrets.</w:t>
      </w:r>
    </w:p>
    <w:p>
      <w:pPr>
        <w:pStyle w:val="ListBullet"/>
        <w:keepLines w:val="0"/>
        <w:spacing w:before="0" w:after="80" w:line="300" w:lineRule="auto"/>
      </w:pPr>
      <w:r>
        <w:rPr>
          <w:rFonts w:ascii="Calibri" w:hAnsi="Calibri"/>
          <w:color w:val="1F2937"/>
        </w:rPr>
        <w:t>Repeated writes update the deterministic session key instead of creating ambiguous active state.</w:t>
      </w:r>
    </w:p>
    <w:p>
      <w:pPr>
        <w:pStyle w:val="ListBullet"/>
        <w:keepLines w:val="0"/>
        <w:spacing w:before="0" w:after="80" w:line="300" w:lineRule="auto"/>
      </w:pPr>
      <w:r>
        <w:rPr>
          <w:rFonts w:ascii="Calibri" w:hAnsi="Calibri"/>
          <w:color w:val="1F2937"/>
        </w:rPr>
        <w:t>Unsafe record IDs prevent persistence; no partial unsafe record is stored.</w:t>
      </w:r>
    </w:p>
    <w:p>
      <w:pPr>
        <w:pStyle w:val="ListBullet"/>
        <w:keepLines w:val="0"/>
        <w:spacing w:before="0" w:after="80" w:line="300" w:lineRule="auto"/>
      </w:pPr>
      <w:r>
        <w:rPr>
          <w:rFonts w:ascii="Calibri" w:hAnsi="Calibri"/>
          <w:color w:val="1F2937"/>
        </w:rPr>
        <w:t>Core decision/rules remain independent from runtime memory.</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1900"/>
        <w:gridCol w:w="3300"/>
        <w:gridCol w:w="4160"/>
      </w:tblGrid>
      <w:tr>
        <w:trPr>
          <w:tblHeader w:val="true"/>
        </w:trPr>
        <w:tc>
          <w:tcPr>
            <w:tcW w:type="dxa" w:w="1900"/>
            <w:vAlign w:val="center"/>
            <w:tcMar>
              <w:top w:w="80" w:type="dxa"/>
              <w:start w:w="120" w:type="dxa"/>
              <w:bottom w:w="80" w:type="dxa"/>
              <w:end w:w="120" w:type="dxa"/>
            </w:tcMar>
            <w:shd w:fill="E8EEF5"/>
          </w:tcPr>
          <w:p>
            <w:pPr>
              <w:keepLines w:val="0"/>
              <w:spacing w:before="0" w:after="0" w:line="276" w:lineRule="auto"/>
            </w:pPr>
            <w:r>
              <w:rPr>
                <w:rFonts w:ascii="Calibri" w:hAnsi="Calibri"/>
                <w:b/>
                <w:color w:val="1F2937"/>
                <w:sz w:val="16"/>
              </w:rPr>
              <w:t>Memory case</w:t>
            </w:r>
          </w:p>
        </w:tc>
        <w:tc>
          <w:tcPr>
            <w:tcW w:type="dxa" w:w="3300"/>
            <w:vAlign w:val="center"/>
            <w:tcMar>
              <w:top w:w="80" w:type="dxa"/>
              <w:start w:w="120" w:type="dxa"/>
              <w:bottom w:w="80" w:type="dxa"/>
              <w:end w:w="120" w:type="dxa"/>
            </w:tcMar>
            <w:shd w:fill="E8EEF5"/>
          </w:tcPr>
          <w:p>
            <w:pPr>
              <w:keepLines w:val="0"/>
              <w:spacing w:before="0" w:after="0" w:line="276" w:lineRule="auto"/>
            </w:pPr>
            <w:r>
              <w:rPr>
                <w:rFonts w:ascii="Calibri" w:hAnsi="Calibri"/>
                <w:b/>
                <w:color w:val="1F2937"/>
                <w:sz w:val="16"/>
              </w:rPr>
              <w:t>How to exercise it</w:t>
            </w:r>
          </w:p>
        </w:tc>
        <w:tc>
          <w:tcPr>
            <w:tcW w:type="dxa" w:w="4160"/>
            <w:vAlign w:val="center"/>
            <w:tcMar>
              <w:top w:w="80" w:type="dxa"/>
              <w:start w:w="120" w:type="dxa"/>
              <w:bottom w:w="80" w:type="dxa"/>
              <w:end w:w="120" w:type="dxa"/>
            </w:tcMar>
            <w:shd w:fill="E8EEF5"/>
          </w:tcPr>
          <w:p>
            <w:pPr>
              <w:keepLines w:val="0"/>
              <w:spacing w:before="0" w:after="0" w:line="276" w:lineRule="auto"/>
            </w:pPr>
            <w:r>
              <w:rPr>
                <w:rFonts w:ascii="Calibri" w:hAnsi="Calibri"/>
                <w:b/>
                <w:color w:val="1F2937"/>
                <w:sz w:val="16"/>
              </w:rPr>
              <w:t>Expected result</w:t>
            </w:r>
          </w:p>
        </w:tc>
      </w:tr>
      <w:tr>
        <w:tc>
          <w:tcPr>
            <w:tcW w:type="dxa" w:w="1900"/>
          </w:tcPr>
          <w:p>
            <w:pPr>
              <w:keepLines w:val="0"/>
              <w:spacing w:before="0" w:after="0" w:line="276" w:lineRule="auto"/>
            </w:pPr>
            <w:r>
              <w:rPr>
                <w:rFonts w:ascii="Calibri" w:hAnsi="Calibri"/>
                <w:b w:val="0"/>
                <w:color w:val="1F2937"/>
                <w:sz w:val="16"/>
              </w:rPr>
              <w:t>Successful query memory</w:t>
            </w:r>
          </w:p>
        </w:tc>
        <w:tc>
          <w:tcPr>
            <w:tcW w:type="dxa" w:w="3300"/>
          </w:tcPr>
          <w:p>
            <w:pPr>
              <w:keepLines w:val="0"/>
              <w:spacing w:before="0" w:after="0" w:line="276" w:lineRule="auto"/>
            </w:pPr>
            <w:r>
              <w:rPr>
                <w:rFonts w:ascii="Calibri" w:hAnsi="Calibri"/>
                <w:b w:val="0"/>
                <w:color w:val="1F2937"/>
                <w:sz w:val="16"/>
              </w:rPr>
              <w:t>Run a safe query with selectedLineId and safe cited record IDs.</w:t>
            </w:r>
          </w:p>
        </w:tc>
        <w:tc>
          <w:tcPr>
            <w:tcW w:type="dxa" w:w="4160"/>
          </w:tcPr>
          <w:p>
            <w:pPr>
              <w:keepLines w:val="0"/>
              <w:spacing w:before="0" w:after="0" w:line="276" w:lineRule="auto"/>
            </w:pPr>
            <w:r>
              <w:rPr>
                <w:rFonts w:ascii="Calibri" w:hAnsi="Calibri"/>
                <w:b w:val="0"/>
                <w:color w:val="1F2937"/>
                <w:sz w:val="16"/>
              </w:rPr>
              <w:t>If durable memory is configured, one session_state record exists at session:&lt;sessionId&gt;:maya-query-scope with memoryType maya_short_term_query_scope, deterministicBasis, selectedLineId, selectedRecordIds, status, and recordIds only.</w:t>
            </w:r>
          </w:p>
        </w:tc>
      </w:tr>
      <w:tr>
        <w:tc>
          <w:tcPr>
            <w:tcW w:type="dxa" w:w="1900"/>
          </w:tcPr>
          <w:p>
            <w:pPr>
              <w:keepLines w:val="0"/>
              <w:spacing w:before="0" w:after="0" w:line="276" w:lineRule="auto"/>
            </w:pPr>
            <w:r>
              <w:rPr>
                <w:rFonts w:ascii="Calibri" w:hAnsi="Calibri"/>
                <w:b w:val="0"/>
                <w:color w:val="1F2937"/>
                <w:sz w:val="16"/>
              </w:rPr>
              <w:t>Blocked query memory</w:t>
            </w:r>
          </w:p>
        </w:tc>
        <w:tc>
          <w:tcPr>
            <w:tcW w:type="dxa" w:w="3300"/>
          </w:tcPr>
          <w:p>
            <w:pPr>
              <w:keepLines w:val="0"/>
              <w:spacing w:before="0" w:after="0" w:line="276" w:lineRule="auto"/>
            </w:pPr>
            <w:r>
              <w:rPr>
                <w:rFonts w:ascii="Calibri" w:hAnsi="Calibri"/>
                <w:b w:val="0"/>
                <w:color w:val="1F2937"/>
                <w:sz w:val="16"/>
              </w:rPr>
              <w:t>Force or observe a guarded query response with no answer but safe record IDs.</w:t>
            </w:r>
          </w:p>
        </w:tc>
        <w:tc>
          <w:tcPr>
            <w:tcW w:type="dxa" w:w="4160"/>
          </w:tcPr>
          <w:p>
            <w:pPr>
              <w:keepLines w:val="0"/>
              <w:spacing w:before="0" w:after="0" w:line="276" w:lineRule="auto"/>
            </w:pPr>
            <w:r>
              <w:rPr>
                <w:rFonts w:ascii="Calibri" w:hAnsi="Calibri"/>
                <w:b w:val="0"/>
                <w:color w:val="1F2937"/>
                <w:sz w:val="16"/>
              </w:rPr>
              <w:t>Status is blocked; no unsafe partial memory is written; answer path still fails closed.</w:t>
            </w:r>
          </w:p>
        </w:tc>
      </w:tr>
      <w:tr>
        <w:tc>
          <w:tcPr>
            <w:tcW w:type="dxa" w:w="1900"/>
          </w:tcPr>
          <w:p>
            <w:pPr>
              <w:keepLines w:val="0"/>
              <w:spacing w:before="0" w:after="0" w:line="276" w:lineRule="auto"/>
            </w:pPr>
            <w:r>
              <w:rPr>
                <w:rFonts w:ascii="Calibri" w:hAnsi="Calibri"/>
                <w:b w:val="0"/>
                <w:color w:val="1F2937"/>
                <w:sz w:val="16"/>
              </w:rPr>
              <w:t>Unsafe record IDs</w:t>
            </w:r>
          </w:p>
        </w:tc>
        <w:tc>
          <w:tcPr>
            <w:tcW w:type="dxa" w:w="3300"/>
          </w:tcPr>
          <w:p>
            <w:pPr>
              <w:keepLines w:val="0"/>
              <w:spacing w:before="0" w:after="0" w:line="276" w:lineRule="auto"/>
            </w:pPr>
            <w:r>
              <w:rPr>
                <w:rFonts w:ascii="Calibri" w:hAnsi="Calibri"/>
                <w:b w:val="0"/>
                <w:color w:val="1F2937"/>
                <w:sz w:val="16"/>
              </w:rPr>
              <w:t>Submit or test a memory write containing an unsafe identifier such as an email or secret-like token.</w:t>
            </w:r>
          </w:p>
        </w:tc>
        <w:tc>
          <w:tcPr>
            <w:tcW w:type="dxa" w:w="4160"/>
          </w:tcPr>
          <w:p>
            <w:pPr>
              <w:keepLines w:val="0"/>
              <w:spacing w:before="0" w:after="0" w:line="276" w:lineRule="auto"/>
            </w:pPr>
            <w:r>
              <w:rPr>
                <w:rFonts w:ascii="Calibri" w:hAnsi="Calibri"/>
                <w:b w:val="0"/>
                <w:color w:val="1F2937"/>
                <w:sz w:val="16"/>
              </w:rPr>
              <w:t>Persistence is rejected or skipped; no partial unsafe record appears.</w:t>
            </w:r>
          </w:p>
        </w:tc>
      </w:tr>
      <w:tr>
        <w:tc>
          <w:tcPr>
            <w:tcW w:type="dxa" w:w="1900"/>
          </w:tcPr>
          <w:p>
            <w:pPr>
              <w:keepLines w:val="0"/>
              <w:spacing w:before="0" w:after="0" w:line="276" w:lineRule="auto"/>
            </w:pPr>
            <w:r>
              <w:rPr>
                <w:rFonts w:ascii="Calibri" w:hAnsi="Calibri"/>
                <w:b w:val="0"/>
                <w:color w:val="1F2937"/>
                <w:sz w:val="16"/>
              </w:rPr>
              <w:t>Memory unavailable</w:t>
            </w:r>
          </w:p>
        </w:tc>
        <w:tc>
          <w:tcPr>
            <w:tcW w:type="dxa" w:w="3300"/>
          </w:tcPr>
          <w:p>
            <w:pPr>
              <w:keepLines w:val="0"/>
              <w:spacing w:before="0" w:after="0" w:line="276" w:lineRule="auto"/>
            </w:pPr>
            <w:r>
              <w:rPr>
                <w:rFonts w:ascii="Calibri" w:hAnsi="Calibri"/>
                <w:b w:val="0"/>
                <w:color w:val="1F2937"/>
                <w:sz w:val="16"/>
              </w:rPr>
              <w:t>Run without Supabase memory backend and without local memory DB path.</w:t>
            </w:r>
          </w:p>
        </w:tc>
        <w:tc>
          <w:tcPr>
            <w:tcW w:type="dxa" w:w="4160"/>
          </w:tcPr>
          <w:p>
            <w:pPr>
              <w:keepLines w:val="0"/>
              <w:spacing w:before="0" w:after="0" w:line="276" w:lineRule="auto"/>
            </w:pPr>
            <w:r>
              <w:rPr>
                <w:rFonts w:ascii="Calibri" w:hAnsi="Calibri"/>
                <w:b w:val="0"/>
                <w:color w:val="1F2937"/>
                <w:sz w:val="16"/>
              </w:rPr>
              <w:t>Query still works; memory write is skipped. Memory is additive and cannot block the answer path.</w:t>
            </w:r>
          </w:p>
        </w:tc>
      </w:tr>
      <w:tr>
        <w:tc>
          <w:tcPr>
            <w:tcW w:type="dxa" w:w="1900"/>
          </w:tcPr>
          <w:p>
            <w:pPr>
              <w:keepLines w:val="0"/>
              <w:spacing w:before="0" w:after="0" w:line="276" w:lineRule="auto"/>
            </w:pPr>
            <w:r>
              <w:rPr>
                <w:rFonts w:ascii="Calibri" w:hAnsi="Calibri"/>
                <w:b w:val="0"/>
                <w:color w:val="1F2937"/>
                <w:sz w:val="16"/>
              </w:rPr>
              <w:t>Memory does not drive decisions</w:t>
            </w:r>
          </w:p>
        </w:tc>
        <w:tc>
          <w:tcPr>
            <w:tcW w:type="dxa" w:w="3300"/>
          </w:tcPr>
          <w:p>
            <w:pPr>
              <w:keepLines w:val="0"/>
              <w:spacing w:before="0" w:after="0" w:line="276" w:lineRule="auto"/>
            </w:pPr>
            <w:r>
              <w:rPr>
                <w:rFonts w:ascii="Calibri" w:hAnsi="Calibri"/>
                <w:b w:val="0"/>
                <w:color w:val="1F2937"/>
                <w:sz w:val="16"/>
              </w:rPr>
              <w:t>Review core/invariant test evidence after a query.</w:t>
            </w:r>
          </w:p>
        </w:tc>
        <w:tc>
          <w:tcPr>
            <w:tcW w:type="dxa" w:w="4160"/>
          </w:tcPr>
          <w:p>
            <w:pPr>
              <w:keepLines w:val="0"/>
              <w:spacing w:before="0" w:after="0" w:line="276" w:lineRule="auto"/>
            </w:pPr>
            <w:r>
              <w:rPr>
                <w:rFonts w:ascii="Calibri" w:hAnsi="Calibri"/>
                <w:b w:val="0"/>
                <w:color w:val="1F2937"/>
                <w:sz w:val="16"/>
              </w:rPr>
              <w:t>Core rules and dollar/decision computation do not read runtime memory.</w:t>
            </w:r>
          </w:p>
        </w:tc>
      </w:tr>
    </w:tbl>
    <w:p/>
    <w:p>
      <w:pPr>
        <w:pStyle w:val="Heading2"/>
        <w:keepLines/>
        <w:spacing w:before="280" w:after="140" w:line="276" w:lineRule="auto"/>
      </w:pPr>
      <w:r>
        <w:rPr>
          <w:rFonts w:ascii="Calibri" w:hAnsi="Calibri"/>
          <w:b/>
          <w:color w:val="2E74B5"/>
          <w:sz w:val="26"/>
        </w:rPr>
        <w:t>TC-13 - RAG/vector metadata scenarios</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1800"/>
        <w:gridCol w:w="7560"/>
      </w:tblGrid>
      <w:tr>
        <w:trPr>
          <w:tblHeader w:val="true"/>
        </w:trPr>
        <w:tc>
          <w:tcPr>
            <w:tcW w:type="dxa" w:w="180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Field</w:t>
            </w:r>
          </w:p>
        </w:tc>
        <w:tc>
          <w:tcPr>
            <w:tcW w:type="dxa" w:w="756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Detail</w:t>
            </w:r>
          </w:p>
        </w:tc>
      </w:tr>
      <w:tr>
        <w:tc>
          <w:tcPr>
            <w:tcW w:type="dxa" w:w="1800"/>
          </w:tcPr>
          <w:p>
            <w:pPr>
              <w:keepLines w:val="0"/>
              <w:spacing w:before="0" w:after="0" w:line="276" w:lineRule="auto"/>
            </w:pPr>
            <w:r>
              <w:rPr>
                <w:rFonts w:ascii="Calibri" w:hAnsi="Calibri"/>
                <w:b w:val="0"/>
                <w:color w:val="1F2937"/>
                <w:sz w:val="18"/>
              </w:rPr>
              <w:t>Purpose</w:t>
            </w:r>
          </w:p>
        </w:tc>
        <w:tc>
          <w:tcPr>
            <w:tcW w:type="dxa" w:w="7560"/>
          </w:tcPr>
          <w:p>
            <w:pPr>
              <w:keepLines w:val="0"/>
              <w:spacing w:before="0" w:after="0" w:line="276" w:lineRule="auto"/>
            </w:pPr>
            <w:r>
              <w:rPr>
                <w:rFonts w:ascii="Calibri" w:hAnsi="Calibri"/>
                <w:b w:val="0"/>
                <w:color w:val="1F2937"/>
                <w:sz w:val="18"/>
              </w:rPr>
              <w:t>Prove retrieval-augmented evidence is bounded, metadata-cited, and fail-closed.</w:t>
            </w:r>
          </w:p>
        </w:tc>
      </w:tr>
      <w:tr>
        <w:tc>
          <w:tcPr>
            <w:tcW w:type="dxa" w:w="1800"/>
          </w:tcPr>
          <w:p>
            <w:pPr>
              <w:keepLines w:val="0"/>
              <w:spacing w:before="0" w:after="0" w:line="276" w:lineRule="auto"/>
            </w:pPr>
            <w:r>
              <w:rPr>
                <w:rFonts w:ascii="Calibri" w:hAnsi="Calibri"/>
                <w:b w:val="0"/>
                <w:color w:val="1F2937"/>
                <w:sz w:val="18"/>
              </w:rPr>
              <w:t>Automated/source evidence</w:t>
            </w:r>
          </w:p>
        </w:tc>
        <w:tc>
          <w:tcPr>
            <w:tcW w:type="dxa" w:w="7560"/>
          </w:tcPr>
          <w:p>
            <w:pPr>
              <w:keepLines w:val="0"/>
              <w:spacing w:before="0" w:after="0" w:line="276" w:lineRule="auto"/>
            </w:pPr>
            <w:r>
              <w:rPr>
                <w:rFonts w:ascii="Calibri" w:hAnsi="Calibri"/>
                <w:b w:val="0"/>
                <w:color w:val="1F2937"/>
                <w:sz w:val="18"/>
              </w:rPr>
              <w:t>tests/unit/enterprise-connectors.test.ts, tests/unit/forensics.test.ts, tests/invariants/deduction-evidence-pack.test.ts, and tests/invariants/runtime-config.test.ts.</w:t>
            </w:r>
          </w:p>
        </w:tc>
      </w:tr>
      <w:tr>
        <w:tc>
          <w:tcPr>
            <w:tcW w:type="dxa" w:w="1800"/>
          </w:tcPr>
          <w:p>
            <w:pPr>
              <w:keepLines w:val="0"/>
              <w:spacing w:before="0" w:after="0" w:line="276" w:lineRule="auto"/>
            </w:pPr>
            <w:r>
              <w:rPr>
                <w:rFonts w:ascii="Calibri" w:hAnsi="Calibri"/>
                <w:b w:val="0"/>
                <w:color w:val="1F2937"/>
                <w:sz w:val="18"/>
              </w:rPr>
              <w:t>Where agentic makes a difference</w:t>
            </w:r>
          </w:p>
        </w:tc>
        <w:tc>
          <w:tcPr>
            <w:tcW w:type="dxa" w:w="7560"/>
          </w:tcPr>
          <w:p>
            <w:pPr>
              <w:keepLines w:val="0"/>
              <w:spacing w:before="0" w:after="0" w:line="276" w:lineRule="auto"/>
            </w:pPr>
            <w:r>
              <w:rPr>
                <w:rFonts w:ascii="Calibri" w:hAnsi="Calibri"/>
                <w:b w:val="0"/>
                <w:color w:val="1F2937"/>
                <w:sz w:val="18"/>
              </w:rPr>
              <w:t>RAG makes a difference when Maya asks why a deduction is valid, invalid, partial, or recoverable. It brings supporting documents into the answer while keeping every claim traceable to metadata and selected records.</w:t>
            </w:r>
          </w:p>
        </w:tc>
      </w:tr>
    </w:tbl>
    <w:p/>
    <w:p>
      <w:pPr>
        <w:pStyle w:val="Heading3"/>
        <w:keepLines/>
        <w:spacing w:before="200" w:after="100" w:line="276" w:lineRule="auto"/>
      </w:pPr>
      <w:r>
        <w:rPr>
          <w:rFonts w:ascii="Calibri" w:hAnsi="Calibri"/>
          <w:b/>
          <w:color w:val="1F4D78"/>
          <w:sz w:val="24"/>
        </w:rPr>
        <w:t>Screen navigation</w:t>
      </w:r>
    </w:p>
    <w:p>
      <w:pPr>
        <w:pStyle w:val="ListNumber"/>
        <w:keepLines w:val="0"/>
        <w:spacing w:before="0" w:after="80" w:line="300" w:lineRule="auto"/>
      </w:pPr>
      <w:r>
        <w:rPr>
          <w:rFonts w:ascii="Calibri" w:hAnsi="Calibri"/>
          <w:color w:val="1F2937"/>
        </w:rPr>
        <w:t>Confirm runtime readiness reports OpenAI vector-store evidence as configured or missing without exposing secret values.</w:t>
      </w:r>
    </w:p>
    <w:p>
      <w:pPr>
        <w:pStyle w:val="ListNumber"/>
        <w:keepLines w:val="0"/>
        <w:spacing w:before="0" w:after="80" w:line="300" w:lineRule="auto"/>
      </w:pPr>
      <w:r>
        <w:rPr>
          <w:rFonts w:ascii="Calibri" w:hAnsi="Calibri"/>
          <w:color w:val="1F2937"/>
        </w:rPr>
        <w:t>If owner-approved credentials are available, run npm.cmd run provision:openai-evidence-vector-store in a controlled local environment.</w:t>
      </w:r>
    </w:p>
    <w:p>
      <w:pPr>
        <w:pStyle w:val="ListNumber"/>
        <w:keepLines w:val="0"/>
        <w:spacing w:before="0" w:after="80" w:line="300" w:lineRule="auto"/>
      </w:pPr>
      <w:r>
        <w:rPr>
          <w:rFonts w:ascii="Calibri" w:hAnsi="Calibri"/>
          <w:color w:val="1F2937"/>
        </w:rPr>
        <w:t>For UI QA, open S3-L1 or S6-L1 and run a query that asks for cited proof from the selected evidence packet.</w:t>
      </w:r>
    </w:p>
    <w:p>
      <w:pPr>
        <w:pStyle w:val="ListNumber"/>
        <w:keepLines w:val="0"/>
        <w:spacing w:before="0" w:after="80" w:line="300" w:lineRule="auto"/>
      </w:pPr>
      <w:r>
        <w:rPr>
          <w:rFonts w:ascii="Calibri" w:hAnsi="Calibri"/>
          <w:color w:val="1F2937"/>
        </w:rPr>
        <w:t>Open Sources and Basis details and verify the answer cites selected records only.</w:t>
      </w:r>
    </w:p>
    <w:p>
      <w:pPr>
        <w:pStyle w:val="ListNumber"/>
        <w:keepLines w:val="0"/>
        <w:spacing w:before="0" w:after="80" w:line="300" w:lineRule="auto"/>
      </w:pPr>
      <w:r>
        <w:rPr>
          <w:rFonts w:ascii="Calibri" w:hAnsi="Calibri"/>
          <w:color w:val="1F2937"/>
        </w:rPr>
        <w:t>For local technical QA, run enterprise connector and forensics evidence-source tests.</w:t>
      </w:r>
    </w:p>
    <w:p>
      <w:pPr>
        <w:pStyle w:val="Heading3"/>
        <w:keepLines/>
        <w:spacing w:before="200" w:after="100" w:line="276" w:lineRule="auto"/>
      </w:pPr>
      <w:r>
        <w:rPr>
          <w:rFonts w:ascii="Calibri" w:hAnsi="Calibri"/>
          <w:b/>
          <w:color w:val="1F4D78"/>
          <w:sz w:val="24"/>
        </w:rPr>
        <w:t>What QA must check</w:t>
      </w:r>
    </w:p>
    <w:p>
      <w:pPr>
        <w:pStyle w:val="ListBullet"/>
        <w:keepLines w:val="0"/>
        <w:spacing w:before="0" w:after="80" w:line="300" w:lineRule="auto"/>
      </w:pPr>
      <w:r>
        <w:rPr>
          <w:rFonts w:ascii="Calibri" w:hAnsi="Calibri"/>
          <w:color w:val="1F2937"/>
        </w:rPr>
        <w:t>Vector hits require source_table, record_id, customer_id, scenario_type, and provenance=synthetic.</w:t>
      </w:r>
    </w:p>
    <w:p>
      <w:pPr>
        <w:pStyle w:val="ListBullet"/>
        <w:keepLines w:val="0"/>
        <w:spacing w:before="0" w:after="80" w:line="300" w:lineRule="auto"/>
      </w:pPr>
      <w:r>
        <w:rPr>
          <w:rFonts w:ascii="Calibri" w:hAnsi="Calibri"/>
          <w:color w:val="1F2937"/>
        </w:rPr>
        <w:t>Wrong customer or wrong scenario hits are filtered.</w:t>
      </w:r>
    </w:p>
    <w:p>
      <w:pPr>
        <w:pStyle w:val="ListBullet"/>
        <w:keepLines w:val="0"/>
        <w:spacing w:before="0" w:after="80" w:line="300" w:lineRule="auto"/>
      </w:pPr>
      <w:r>
        <w:rPr>
          <w:rFonts w:ascii="Calibri" w:hAnsi="Calibri"/>
          <w:color w:val="1F2937"/>
        </w:rPr>
        <w:t>Malformed or non-2xx vector responses fail closed.</w:t>
      </w:r>
    </w:p>
    <w:p>
      <w:pPr>
        <w:pStyle w:val="ListBullet"/>
        <w:keepLines w:val="0"/>
        <w:spacing w:before="0" w:after="80" w:line="300" w:lineRule="auto"/>
      </w:pPr>
      <w:r>
        <w:rPr>
          <w:rFonts w:ascii="Calibri" w:hAnsi="Calibri"/>
          <w:color w:val="1F2937"/>
        </w:rPr>
        <w:t>Injected RAG evidence is additive; it does not replace deterministic core computation.</w:t>
      </w:r>
    </w:p>
    <w:p>
      <w:pPr>
        <w:pStyle w:val="ListBullet"/>
        <w:keepLines w:val="0"/>
        <w:spacing w:before="0" w:after="80" w:line="300" w:lineRule="auto"/>
      </w:pPr>
      <w:r>
        <w:rPr>
          <w:rFonts w:ascii="Calibri" w:hAnsi="Calibri"/>
          <w:color w:val="1F2937"/>
        </w:rPr>
        <w:t>No OpenAI API key or vector-store secret appears in screenshots or notes.</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1900"/>
        <w:gridCol w:w="3300"/>
        <w:gridCol w:w="4160"/>
      </w:tblGrid>
      <w:tr>
        <w:trPr>
          <w:tblHeader w:val="true"/>
        </w:trPr>
        <w:tc>
          <w:tcPr>
            <w:tcW w:type="dxa" w:w="1900"/>
            <w:vAlign w:val="center"/>
            <w:tcMar>
              <w:top w:w="80" w:type="dxa"/>
              <w:start w:w="120" w:type="dxa"/>
              <w:bottom w:w="80" w:type="dxa"/>
              <w:end w:w="120" w:type="dxa"/>
            </w:tcMar>
            <w:shd w:fill="E8EEF5"/>
          </w:tcPr>
          <w:p>
            <w:pPr>
              <w:keepLines w:val="0"/>
              <w:spacing w:before="0" w:after="0" w:line="276" w:lineRule="auto"/>
            </w:pPr>
            <w:r>
              <w:rPr>
                <w:rFonts w:ascii="Calibri" w:hAnsi="Calibri"/>
                <w:b/>
                <w:color w:val="1F2937"/>
                <w:sz w:val="16"/>
              </w:rPr>
              <w:t>RAG case</w:t>
            </w:r>
          </w:p>
        </w:tc>
        <w:tc>
          <w:tcPr>
            <w:tcW w:type="dxa" w:w="3300"/>
            <w:vAlign w:val="center"/>
            <w:tcMar>
              <w:top w:w="80" w:type="dxa"/>
              <w:start w:w="120" w:type="dxa"/>
              <w:bottom w:w="80" w:type="dxa"/>
              <w:end w:w="120" w:type="dxa"/>
            </w:tcMar>
            <w:shd w:fill="E8EEF5"/>
          </w:tcPr>
          <w:p>
            <w:pPr>
              <w:keepLines w:val="0"/>
              <w:spacing w:before="0" w:after="0" w:line="276" w:lineRule="auto"/>
            </w:pPr>
            <w:r>
              <w:rPr>
                <w:rFonts w:ascii="Calibri" w:hAnsi="Calibri"/>
                <w:b/>
                <w:color w:val="1F2937"/>
                <w:sz w:val="16"/>
              </w:rPr>
              <w:t>How to exercise it</w:t>
            </w:r>
          </w:p>
        </w:tc>
        <w:tc>
          <w:tcPr>
            <w:tcW w:type="dxa" w:w="4160"/>
            <w:vAlign w:val="center"/>
            <w:tcMar>
              <w:top w:w="80" w:type="dxa"/>
              <w:start w:w="120" w:type="dxa"/>
              <w:bottom w:w="80" w:type="dxa"/>
              <w:end w:w="120" w:type="dxa"/>
            </w:tcMar>
            <w:shd w:fill="E8EEF5"/>
          </w:tcPr>
          <w:p>
            <w:pPr>
              <w:keepLines w:val="0"/>
              <w:spacing w:before="0" w:after="0" w:line="276" w:lineRule="auto"/>
            </w:pPr>
            <w:r>
              <w:rPr>
                <w:rFonts w:ascii="Calibri" w:hAnsi="Calibri"/>
                <w:b/>
                <w:color w:val="1F2937"/>
                <w:sz w:val="16"/>
              </w:rPr>
              <w:t>Expected result</w:t>
            </w:r>
          </w:p>
        </w:tc>
      </w:tr>
      <w:tr>
        <w:tc>
          <w:tcPr>
            <w:tcW w:type="dxa" w:w="1900"/>
          </w:tcPr>
          <w:p>
            <w:pPr>
              <w:keepLines w:val="0"/>
              <w:spacing w:before="0" w:after="0" w:line="276" w:lineRule="auto"/>
            </w:pPr>
            <w:r>
              <w:rPr>
                <w:rFonts w:ascii="Calibri" w:hAnsi="Calibri"/>
                <w:b w:val="0"/>
                <w:color w:val="1F2937"/>
                <w:sz w:val="16"/>
              </w:rPr>
              <w:t>Vector metadata contract</w:t>
            </w:r>
          </w:p>
        </w:tc>
        <w:tc>
          <w:tcPr>
            <w:tcW w:type="dxa" w:w="3300"/>
          </w:tcPr>
          <w:p>
            <w:pPr>
              <w:keepLines w:val="0"/>
              <w:spacing w:before="0" w:after="0" w:line="276" w:lineRule="auto"/>
            </w:pPr>
            <w:r>
              <w:rPr>
                <w:rFonts w:ascii="Calibri" w:hAnsi="Calibri"/>
                <w:b w:val="0"/>
                <w:color w:val="1F2937"/>
                <w:sz w:val="16"/>
              </w:rPr>
              <w:t>Run enterprise connector tests or live vector retrieval when credentials are owner-approved.</w:t>
            </w:r>
          </w:p>
        </w:tc>
        <w:tc>
          <w:tcPr>
            <w:tcW w:type="dxa" w:w="4160"/>
          </w:tcPr>
          <w:p>
            <w:pPr>
              <w:keepLines w:val="0"/>
              <w:spacing w:before="0" w:after="0" w:line="276" w:lineRule="auto"/>
            </w:pPr>
            <w:r>
              <w:rPr>
                <w:rFonts w:ascii="Calibri" w:hAnsi="Calibri"/>
                <w:b w:val="0"/>
                <w:color w:val="1F2937"/>
                <w:sz w:val="16"/>
              </w:rPr>
              <w:t>Each hit has source_table, record_id, customer_id, scenario_type, and provenance=synthetic. Wrong customer/scenario hits are filtered.</w:t>
            </w:r>
          </w:p>
        </w:tc>
      </w:tr>
      <w:tr>
        <w:tc>
          <w:tcPr>
            <w:tcW w:type="dxa" w:w="1900"/>
          </w:tcPr>
          <w:p>
            <w:pPr>
              <w:keepLines w:val="0"/>
              <w:spacing w:before="0" w:after="0" w:line="276" w:lineRule="auto"/>
            </w:pPr>
            <w:r>
              <w:rPr>
                <w:rFonts w:ascii="Calibri" w:hAnsi="Calibri"/>
                <w:b w:val="0"/>
                <w:color w:val="1F2937"/>
                <w:sz w:val="16"/>
              </w:rPr>
              <w:t>Injected RAG evidence seam</w:t>
            </w:r>
          </w:p>
        </w:tc>
        <w:tc>
          <w:tcPr>
            <w:tcW w:type="dxa" w:w="3300"/>
          </w:tcPr>
          <w:p>
            <w:pPr>
              <w:keepLines w:val="0"/>
              <w:spacing w:before="0" w:after="0" w:line="276" w:lineRule="auto"/>
            </w:pPr>
            <w:r>
              <w:rPr>
                <w:rFonts w:ascii="Calibri" w:hAnsi="Calibri"/>
                <w:b w:val="0"/>
                <w:color w:val="1F2937"/>
                <w:sz w:val="16"/>
              </w:rPr>
              <w:t>Run forensics evidence-source tests.</w:t>
            </w:r>
          </w:p>
        </w:tc>
        <w:tc>
          <w:tcPr>
            <w:tcW w:type="dxa" w:w="4160"/>
          </w:tcPr>
          <w:p>
            <w:pPr>
              <w:keepLines w:val="0"/>
              <w:spacing w:before="0" w:after="0" w:line="276" w:lineRule="auto"/>
            </w:pPr>
            <w:r>
              <w:rPr>
                <w:rFonts w:ascii="Calibri" w:hAnsi="Calibri"/>
                <w:b w:val="0"/>
                <w:color w:val="1F2937"/>
                <w:sz w:val="16"/>
              </w:rPr>
              <w:t>Document evidence can be attached additively; the default deterministic run remains deterministic and cited.</w:t>
            </w:r>
          </w:p>
        </w:tc>
      </w:tr>
      <w:tr>
        <w:tc>
          <w:tcPr>
            <w:tcW w:type="dxa" w:w="1900"/>
          </w:tcPr>
          <w:p>
            <w:pPr>
              <w:keepLines w:val="0"/>
              <w:spacing w:before="0" w:after="0" w:line="276" w:lineRule="auto"/>
            </w:pPr>
            <w:r>
              <w:rPr>
                <w:rFonts w:ascii="Calibri" w:hAnsi="Calibri"/>
                <w:b w:val="0"/>
                <w:color w:val="1F2937"/>
                <w:sz w:val="16"/>
              </w:rPr>
              <w:t>Runtime readiness</w:t>
            </w:r>
          </w:p>
        </w:tc>
        <w:tc>
          <w:tcPr>
            <w:tcW w:type="dxa" w:w="3300"/>
          </w:tcPr>
          <w:p>
            <w:pPr>
              <w:keepLines w:val="0"/>
              <w:spacing w:before="0" w:after="0" w:line="276" w:lineRule="auto"/>
            </w:pPr>
            <w:r>
              <w:rPr>
                <w:rFonts w:ascii="Calibri" w:hAnsi="Calibri"/>
                <w:b w:val="0"/>
                <w:color w:val="1F2937"/>
                <w:sz w:val="16"/>
              </w:rPr>
              <w:t>Check runtime readiness with OPENAI_API_KEY and OPENAI_EVIDENCE_VECTOR_STORE_ID presence only.</w:t>
            </w:r>
          </w:p>
        </w:tc>
        <w:tc>
          <w:tcPr>
            <w:tcW w:type="dxa" w:w="4160"/>
          </w:tcPr>
          <w:p>
            <w:pPr>
              <w:keepLines w:val="0"/>
              <w:spacing w:before="0" w:after="0" w:line="276" w:lineRule="auto"/>
            </w:pPr>
            <w:r>
              <w:rPr>
                <w:rFonts w:ascii="Calibri" w:hAnsi="Calibri"/>
                <w:b w:val="0"/>
                <w:color w:val="1F2937"/>
                <w:sz w:val="16"/>
              </w:rPr>
              <w:t>Readiness reports configured/missing without logging secret values.</w:t>
            </w:r>
          </w:p>
        </w:tc>
      </w:tr>
      <w:tr>
        <w:tc>
          <w:tcPr>
            <w:tcW w:type="dxa" w:w="1900"/>
          </w:tcPr>
          <w:p>
            <w:pPr>
              <w:keepLines w:val="0"/>
              <w:spacing w:before="0" w:after="0" w:line="276" w:lineRule="auto"/>
            </w:pPr>
            <w:r>
              <w:rPr>
                <w:rFonts w:ascii="Calibri" w:hAnsi="Calibri"/>
                <w:b w:val="0"/>
                <w:color w:val="1F2937"/>
                <w:sz w:val="16"/>
              </w:rPr>
              <w:t>Provisioning</w:t>
            </w:r>
          </w:p>
        </w:tc>
        <w:tc>
          <w:tcPr>
            <w:tcW w:type="dxa" w:w="3300"/>
          </w:tcPr>
          <w:p>
            <w:pPr>
              <w:keepLines w:val="0"/>
              <w:spacing w:before="0" w:after="0" w:line="276" w:lineRule="auto"/>
            </w:pPr>
            <w:r>
              <w:rPr>
                <w:rFonts w:ascii="Calibri" w:hAnsi="Calibri"/>
                <w:b w:val="0"/>
                <w:color w:val="1F2937"/>
                <w:sz w:val="16"/>
              </w:rPr>
              <w:t>Run npm.cmd run provision:openai-evidence-vector-store only with owner-approved credentials.</w:t>
            </w:r>
          </w:p>
        </w:tc>
        <w:tc>
          <w:tcPr>
            <w:tcW w:type="dxa" w:w="4160"/>
          </w:tcPr>
          <w:p>
            <w:pPr>
              <w:keepLines w:val="0"/>
              <w:spacing w:before="0" w:after="0" w:line="276" w:lineRule="auto"/>
            </w:pPr>
            <w:r>
              <w:rPr>
                <w:rFonts w:ascii="Calibri" w:hAnsi="Calibri"/>
                <w:b w:val="0"/>
                <w:color w:val="1F2937"/>
                <w:sz w:val="16"/>
              </w:rPr>
              <w:t>Script creates/reuses vector store and writes only OPENAI_EVIDENCE_VECTOR_STORE_ID to .env.local.</w:t>
            </w:r>
          </w:p>
        </w:tc>
      </w:tr>
    </w:tbl>
    <w:p/>
    <w:p>
      <w:pPr>
        <w:pStyle w:val="Heading2"/>
        <w:keepLines/>
        <w:spacing w:before="280" w:after="140" w:line="276" w:lineRule="auto"/>
      </w:pPr>
      <w:r>
        <w:rPr>
          <w:rFonts w:ascii="Calibri" w:hAnsi="Calibri"/>
          <w:b/>
          <w:color w:val="2E74B5"/>
          <w:sz w:val="26"/>
        </w:rPr>
        <w:t>TC-14 - Return to worklist and stale-state check</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1800"/>
        <w:gridCol w:w="7560"/>
      </w:tblGrid>
      <w:tr>
        <w:trPr>
          <w:tblHeader w:val="true"/>
        </w:trPr>
        <w:tc>
          <w:tcPr>
            <w:tcW w:type="dxa" w:w="180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Field</w:t>
            </w:r>
          </w:p>
        </w:tc>
        <w:tc>
          <w:tcPr>
            <w:tcW w:type="dxa" w:w="756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Detail</w:t>
            </w:r>
          </w:p>
        </w:tc>
      </w:tr>
      <w:tr>
        <w:tc>
          <w:tcPr>
            <w:tcW w:type="dxa" w:w="1800"/>
          </w:tcPr>
          <w:p>
            <w:pPr>
              <w:keepLines w:val="0"/>
              <w:spacing w:before="0" w:after="0" w:line="276" w:lineRule="auto"/>
            </w:pPr>
            <w:r>
              <w:rPr>
                <w:rFonts w:ascii="Calibri" w:hAnsi="Calibri"/>
                <w:b w:val="0"/>
                <w:color w:val="1F2937"/>
                <w:sz w:val="18"/>
              </w:rPr>
              <w:t>Purpose</w:t>
            </w:r>
          </w:p>
        </w:tc>
        <w:tc>
          <w:tcPr>
            <w:tcW w:type="dxa" w:w="7560"/>
          </w:tcPr>
          <w:p>
            <w:pPr>
              <w:keepLines w:val="0"/>
              <w:spacing w:before="0" w:after="0" w:line="276" w:lineRule="auto"/>
            </w:pPr>
            <w:r>
              <w:rPr>
                <w:rFonts w:ascii="Calibri" w:hAnsi="Calibri"/>
                <w:b w:val="0"/>
                <w:color w:val="1F2937"/>
                <w:sz w:val="18"/>
              </w:rPr>
              <w:t>Prove Maya can close a case workflow and return to a clean, source-backed queue.</w:t>
            </w:r>
          </w:p>
        </w:tc>
      </w:tr>
      <w:tr>
        <w:tc>
          <w:tcPr>
            <w:tcW w:type="dxa" w:w="1800"/>
          </w:tcPr>
          <w:p>
            <w:pPr>
              <w:keepLines w:val="0"/>
              <w:spacing w:before="0" w:after="0" w:line="276" w:lineRule="auto"/>
            </w:pPr>
            <w:r>
              <w:rPr>
                <w:rFonts w:ascii="Calibri" w:hAnsi="Calibri"/>
                <w:b w:val="0"/>
                <w:color w:val="1F2937"/>
                <w:sz w:val="18"/>
              </w:rPr>
              <w:t>Automated/source evidence</w:t>
            </w:r>
          </w:p>
        </w:tc>
        <w:tc>
          <w:tcPr>
            <w:tcW w:type="dxa" w:w="7560"/>
          </w:tcPr>
          <w:p>
            <w:pPr>
              <w:keepLines w:val="0"/>
              <w:spacing w:before="0" w:after="0" w:line="276" w:lineRule="auto"/>
            </w:pPr>
            <w:r>
              <w:rPr>
                <w:rFonts w:ascii="Calibri" w:hAnsi="Calibri"/>
                <w:b w:val="0"/>
                <w:color w:val="1F2937"/>
                <w:sz w:val="18"/>
              </w:rPr>
              <w:t>tests/e2e/maya-real-backend-e2e.ts assertReturnToWorklistRestoresWorklist and current Maya header work-items link coverage in tests/e2e/cockpit-premium-e2e.ts.</w:t>
            </w:r>
          </w:p>
        </w:tc>
      </w:tr>
      <w:tr>
        <w:tc>
          <w:tcPr>
            <w:tcW w:type="dxa" w:w="1800"/>
          </w:tcPr>
          <w:p>
            <w:pPr>
              <w:keepLines w:val="0"/>
              <w:spacing w:before="0" w:after="0" w:line="276" w:lineRule="auto"/>
            </w:pPr>
            <w:r>
              <w:rPr>
                <w:rFonts w:ascii="Calibri" w:hAnsi="Calibri"/>
                <w:b w:val="0"/>
                <w:color w:val="1F2937"/>
                <w:sz w:val="18"/>
              </w:rPr>
              <w:t>Where agentic makes a difference</w:t>
            </w:r>
          </w:p>
        </w:tc>
        <w:tc>
          <w:tcPr>
            <w:tcW w:type="dxa" w:w="7560"/>
          </w:tcPr>
          <w:p>
            <w:pPr>
              <w:keepLines w:val="0"/>
              <w:spacing w:before="0" w:after="0" w:line="276" w:lineRule="auto"/>
            </w:pPr>
            <w:r>
              <w:rPr>
                <w:rFonts w:ascii="Calibri" w:hAnsi="Calibri"/>
                <w:b w:val="0"/>
                <w:color w:val="1F2937"/>
                <w:sz w:val="18"/>
              </w:rPr>
              <w:t>This is the day-to-day workflow safety check. Agentic context must be scoped to the selected case and must reset cleanly when Maya returns to the queue.</w:t>
            </w:r>
          </w:p>
        </w:tc>
      </w:tr>
    </w:tbl>
    <w:p/>
    <w:p>
      <w:pPr>
        <w:pStyle w:val="Heading3"/>
        <w:keepLines/>
        <w:spacing w:before="200" w:after="100" w:line="276" w:lineRule="auto"/>
      </w:pPr>
      <w:r>
        <w:rPr>
          <w:rFonts w:ascii="Calibri" w:hAnsi="Calibri"/>
          <w:b/>
          <w:color w:val="1F4D78"/>
          <w:sz w:val="24"/>
        </w:rPr>
        <w:t>Screen navigation</w:t>
      </w:r>
    </w:p>
    <w:p>
      <w:pPr>
        <w:pStyle w:val="ListNumber"/>
        <w:keepLines w:val="0"/>
        <w:spacing w:before="0" w:after="80" w:line="300" w:lineRule="auto"/>
      </w:pPr>
      <w:r>
        <w:rPr>
          <w:rFonts w:ascii="Calibri" w:hAnsi="Calibri"/>
          <w:color w:val="1F2937"/>
        </w:rPr>
        <w:t>From any opened case, click the persistent Return to worklist control.</w:t>
      </w:r>
    </w:p>
    <w:p>
      <w:pPr>
        <w:pStyle w:val="ListNumber"/>
        <w:keepLines w:val="0"/>
        <w:spacing w:before="0" w:after="80" w:line="300" w:lineRule="auto"/>
      </w:pPr>
      <w:r>
        <w:rPr>
          <w:rFonts w:ascii="Calibri" w:hAnsi="Calibri"/>
          <w:color w:val="1F2937"/>
        </w:rPr>
        <w:t>Confirm the returned worklist table receives focus or is visibly restored.</w:t>
      </w:r>
    </w:p>
    <w:p>
      <w:pPr>
        <w:pStyle w:val="ListNumber"/>
        <w:keepLines w:val="0"/>
        <w:spacing w:before="0" w:after="80" w:line="300" w:lineRule="auto"/>
      </w:pPr>
      <w:r>
        <w:rPr>
          <w:rFonts w:ascii="Calibri" w:hAnsi="Calibri"/>
          <w:color w:val="1F2937"/>
        </w:rPr>
        <w:t>Confirm the previous case workspace is no longer visible.</w:t>
      </w:r>
    </w:p>
    <w:p>
      <w:pPr>
        <w:pStyle w:val="ListNumber"/>
        <w:keepLines w:val="0"/>
        <w:spacing w:before="0" w:after="80" w:line="300" w:lineRule="auto"/>
      </w:pPr>
      <w:r>
        <w:rPr>
          <w:rFonts w:ascii="Calibri" w:hAnsi="Calibri"/>
          <w:color w:val="1F2937"/>
        </w:rPr>
        <w:t>Use the header work-item count shortcut to navigate back to Worklist from Overview if needed.</w:t>
      </w:r>
    </w:p>
    <w:p>
      <w:pPr>
        <w:pStyle w:val="ListNumber"/>
        <w:keepLines w:val="0"/>
        <w:spacing w:before="0" w:after="80" w:line="300" w:lineRule="auto"/>
      </w:pPr>
      <w:r>
        <w:rPr>
          <w:rFonts w:ascii="Calibri" w:hAnsi="Calibri"/>
          <w:color w:val="1F2937"/>
        </w:rPr>
        <w:t>Reopen a different row and verify its Evidence/Draft/Audit state is not contaminated by the previous case.</w:t>
      </w:r>
    </w:p>
    <w:p>
      <w:pPr>
        <w:pStyle w:val="Heading3"/>
        <w:keepLines/>
        <w:spacing w:before="200" w:after="100" w:line="276" w:lineRule="auto"/>
      </w:pPr>
      <w:r>
        <w:rPr>
          <w:rFonts w:ascii="Calibri" w:hAnsi="Calibri"/>
          <w:b/>
          <w:color w:val="1F4D78"/>
          <w:sz w:val="24"/>
        </w:rPr>
        <w:t>What QA must check</w:t>
      </w:r>
    </w:p>
    <w:p>
      <w:pPr>
        <w:pStyle w:val="ListBullet"/>
        <w:keepLines w:val="0"/>
        <w:spacing w:before="0" w:after="80" w:line="300" w:lineRule="auto"/>
      </w:pPr>
      <w:r>
        <w:rPr>
          <w:rFonts w:ascii="Calibri" w:hAnsi="Calibri"/>
          <w:color w:val="1F2937"/>
        </w:rPr>
        <w:t>Worklist row count still matches backend worklist count.</w:t>
      </w:r>
    </w:p>
    <w:p>
      <w:pPr>
        <w:pStyle w:val="ListBullet"/>
        <w:keepLines w:val="0"/>
        <w:spacing w:before="0" w:after="80" w:line="300" w:lineRule="auto"/>
      </w:pPr>
      <w:r>
        <w:rPr>
          <w:rFonts w:ascii="Calibri" w:hAnsi="Calibri"/>
          <w:color w:val="1F2937"/>
        </w:rPr>
        <w:t>The previously opened case detail state is cleared.</w:t>
      </w:r>
    </w:p>
    <w:p>
      <w:pPr>
        <w:pStyle w:val="ListBullet"/>
        <w:keepLines w:val="0"/>
        <w:spacing w:before="0" w:after="80" w:line="300" w:lineRule="auto"/>
      </w:pPr>
      <w:r>
        <w:rPr>
          <w:rFonts w:ascii="Calibri" w:hAnsi="Calibri"/>
          <w:color w:val="1F2937"/>
        </w:rPr>
        <w:t>The selected row can be reopened without stale query, trace, draft, or audit data leaking from another row.</w:t>
      </w:r>
    </w:p>
    <w:p>
      <w:pPr>
        <w:pStyle w:val="Heading2"/>
        <w:keepLines/>
        <w:spacing w:before="280" w:after="140" w:line="276" w:lineRule="auto"/>
      </w:pPr>
      <w:r>
        <w:rPr>
          <w:rFonts w:ascii="Calibri" w:hAnsi="Calibri"/>
          <w:b/>
          <w:color w:val="2E74B5"/>
          <w:sz w:val="26"/>
        </w:rPr>
        <w:t>TC-15 - Full case breadth sweep: S1-S8 and 20 line IDs</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1800"/>
        <w:gridCol w:w="7560"/>
      </w:tblGrid>
      <w:tr>
        <w:trPr>
          <w:tblHeader w:val="true"/>
        </w:trPr>
        <w:tc>
          <w:tcPr>
            <w:tcW w:type="dxa" w:w="180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Field</w:t>
            </w:r>
          </w:p>
        </w:tc>
        <w:tc>
          <w:tcPr>
            <w:tcW w:type="dxa" w:w="7560"/>
            <w:vAlign w:val="center"/>
            <w:tcMar>
              <w:top w:w="80" w:type="dxa"/>
              <w:start w:w="120" w:type="dxa"/>
              <w:bottom w:w="80" w:type="dxa"/>
              <w:end w:w="120" w:type="dxa"/>
            </w:tcMar>
            <w:shd w:fill="F2F4F7"/>
          </w:tcPr>
          <w:p>
            <w:pPr>
              <w:keepLines w:val="0"/>
              <w:spacing w:before="0" w:after="0" w:line="276" w:lineRule="auto"/>
            </w:pPr>
            <w:r>
              <w:rPr>
                <w:rFonts w:ascii="Calibri" w:hAnsi="Calibri"/>
                <w:b/>
                <w:color w:val="1F2937"/>
                <w:sz w:val="18"/>
              </w:rPr>
              <w:t>Detail</w:t>
            </w:r>
          </w:p>
        </w:tc>
      </w:tr>
      <w:tr>
        <w:tc>
          <w:tcPr>
            <w:tcW w:type="dxa" w:w="1800"/>
          </w:tcPr>
          <w:p>
            <w:pPr>
              <w:keepLines w:val="0"/>
              <w:spacing w:before="0" w:after="0" w:line="276" w:lineRule="auto"/>
            </w:pPr>
            <w:r>
              <w:rPr>
                <w:rFonts w:ascii="Calibri" w:hAnsi="Calibri"/>
                <w:b w:val="0"/>
                <w:color w:val="1F2937"/>
                <w:sz w:val="18"/>
              </w:rPr>
              <w:t>Purpose</w:t>
            </w:r>
          </w:p>
        </w:tc>
        <w:tc>
          <w:tcPr>
            <w:tcW w:type="dxa" w:w="7560"/>
          </w:tcPr>
          <w:p>
            <w:pPr>
              <w:keepLines w:val="0"/>
              <w:spacing w:before="0" w:after="0" w:line="276" w:lineRule="auto"/>
            </w:pPr>
            <w:r>
              <w:rPr>
                <w:rFonts w:ascii="Calibri" w:hAnsi="Calibri"/>
                <w:b w:val="0"/>
                <w:color w:val="1F2937"/>
                <w:sz w:val="18"/>
              </w:rPr>
              <w:t>Prove the human QA pass covers every canonical case/line, not only the automated S3-L1 query and S1-L1 approval-reset anchors.</w:t>
            </w:r>
          </w:p>
        </w:tc>
      </w:tr>
      <w:tr>
        <w:tc>
          <w:tcPr>
            <w:tcW w:type="dxa" w:w="1800"/>
          </w:tcPr>
          <w:p>
            <w:pPr>
              <w:keepLines w:val="0"/>
              <w:spacing w:before="0" w:after="0" w:line="276" w:lineRule="auto"/>
            </w:pPr>
            <w:r>
              <w:rPr>
                <w:rFonts w:ascii="Calibri" w:hAnsi="Calibri"/>
                <w:b w:val="0"/>
                <w:color w:val="1F2937"/>
                <w:sz w:val="18"/>
              </w:rPr>
              <w:t>Automated/source evidence</w:t>
            </w:r>
          </w:p>
        </w:tc>
        <w:tc>
          <w:tcPr>
            <w:tcW w:type="dxa" w:w="7560"/>
          </w:tcPr>
          <w:p>
            <w:pPr>
              <w:keepLines w:val="0"/>
              <w:spacing w:before="0" w:after="0" w:line="276" w:lineRule="auto"/>
            </w:pPr>
            <w:r>
              <w:rPr>
                <w:rFonts w:ascii="Calibri" w:hAnsi="Calibri"/>
                <w:b w:val="0"/>
                <w:color w:val="1F2937"/>
                <w:sz w:val="18"/>
              </w:rPr>
              <w:t>docs/supabase-memory-schema.sql canonical S1-S8 seed rows and docs/qa/maya-journey-rag-memory-test-cases-2026-06-28.md coverage matrix.</w:t>
            </w:r>
          </w:p>
        </w:tc>
      </w:tr>
      <w:tr>
        <w:tc>
          <w:tcPr>
            <w:tcW w:type="dxa" w:w="1800"/>
          </w:tcPr>
          <w:p>
            <w:pPr>
              <w:keepLines w:val="0"/>
              <w:spacing w:before="0" w:after="0" w:line="276" w:lineRule="auto"/>
            </w:pPr>
            <w:r>
              <w:rPr>
                <w:rFonts w:ascii="Calibri" w:hAnsi="Calibri"/>
                <w:b w:val="0"/>
                <w:color w:val="1F2937"/>
                <w:sz w:val="18"/>
              </w:rPr>
              <w:t>Where agentic makes a difference</w:t>
            </w:r>
          </w:p>
        </w:tc>
        <w:tc>
          <w:tcPr>
            <w:tcW w:type="dxa" w:w="7560"/>
          </w:tcPr>
          <w:p>
            <w:pPr>
              <w:keepLines w:val="0"/>
              <w:spacing w:before="0" w:after="0" w:line="276" w:lineRule="auto"/>
            </w:pPr>
            <w:r>
              <w:rPr>
                <w:rFonts w:ascii="Calibri" w:hAnsi="Calibri"/>
                <w:b w:val="0"/>
                <w:color w:val="1F2937"/>
                <w:sz w:val="18"/>
              </w:rPr>
              <w:t>The agentic system narrows the backlog into actionable cases. Human breadth QA proves the narrowing did not hide a broken scenario, stale data source, or wrong evidence attachment.</w:t>
            </w:r>
          </w:p>
        </w:tc>
      </w:tr>
    </w:tbl>
    <w:p/>
    <w:p>
      <w:pPr>
        <w:pStyle w:val="Heading3"/>
        <w:keepLines/>
        <w:spacing w:before="200" w:after="100" w:line="276" w:lineRule="auto"/>
      </w:pPr>
      <w:r>
        <w:rPr>
          <w:rFonts w:ascii="Calibri" w:hAnsi="Calibri"/>
          <w:b/>
          <w:color w:val="1F4D78"/>
          <w:sz w:val="24"/>
        </w:rPr>
        <w:t>Screen navigation</w:t>
      </w:r>
    </w:p>
    <w:p>
      <w:pPr>
        <w:pStyle w:val="ListNumber"/>
        <w:keepLines w:val="0"/>
        <w:spacing w:before="0" w:after="80" w:line="300" w:lineRule="auto"/>
      </w:pPr>
      <w:r>
        <w:rPr>
          <w:rFonts w:ascii="Calibri" w:hAnsi="Calibri"/>
          <w:color w:val="1F2937"/>
        </w:rPr>
        <w:t>Open Worklist after a fresh source refresh.</w:t>
      </w:r>
    </w:p>
    <w:p>
      <w:pPr>
        <w:pStyle w:val="ListNumber"/>
        <w:keepLines w:val="0"/>
        <w:spacing w:before="0" w:after="80" w:line="300" w:lineRule="auto"/>
      </w:pPr>
      <w:r>
        <w:rPr>
          <w:rFonts w:ascii="Calibri" w:hAnsi="Calibri"/>
          <w:color w:val="1F2937"/>
        </w:rPr>
        <w:t>For each scenario group S1 through S8 in the table below, open at least one visible row and use the line selector to visit every line ID in that group when available.</w:t>
      </w:r>
    </w:p>
    <w:p>
      <w:pPr>
        <w:pStyle w:val="ListNumber"/>
        <w:keepLines w:val="0"/>
        <w:spacing w:before="0" w:after="80" w:line="300" w:lineRule="auto"/>
      </w:pPr>
      <w:r>
        <w:rPr>
          <w:rFonts w:ascii="Calibri" w:hAnsi="Calibri"/>
          <w:color w:val="1F2937"/>
        </w:rPr>
        <w:t>For each line, check Overview, Evidence, Draft, Approval/Audit, source details, and return-to-worklist behavior.</w:t>
      </w:r>
    </w:p>
    <w:p>
      <w:pPr>
        <w:pStyle w:val="ListNumber"/>
        <w:keepLines w:val="0"/>
        <w:spacing w:before="0" w:after="80" w:line="300" w:lineRule="auto"/>
      </w:pPr>
      <w:r>
        <w:rPr>
          <w:rFonts w:ascii="Calibri" w:hAnsi="Calibri"/>
          <w:color w:val="1F2937"/>
        </w:rPr>
        <w:t>Record pass/fail with the visible backend route/verdict label and cited evidence record IDs.</w:t>
      </w:r>
    </w:p>
    <w:p>
      <w:pPr>
        <w:pStyle w:val="ListNumber"/>
        <w:keepLines w:val="0"/>
        <w:spacing w:before="0" w:after="80" w:line="300" w:lineRule="auto"/>
      </w:pPr>
      <w:r>
        <w:rPr>
          <w:rFonts w:ascii="Calibri" w:hAnsi="Calibri"/>
          <w:color w:val="1F2937"/>
        </w:rPr>
        <w:t>Do not mark full breadth complete if a line was not opened and inspected.</w:t>
      </w:r>
    </w:p>
    <w:p>
      <w:pPr>
        <w:pStyle w:val="Heading3"/>
        <w:keepLines/>
        <w:spacing w:before="200" w:after="100" w:line="276" w:lineRule="auto"/>
      </w:pPr>
      <w:r>
        <w:rPr>
          <w:rFonts w:ascii="Calibri" w:hAnsi="Calibri"/>
          <w:b/>
          <w:color w:val="1F4D78"/>
          <w:sz w:val="24"/>
        </w:rPr>
        <w:t>What QA must check</w:t>
      </w:r>
    </w:p>
    <w:p>
      <w:pPr>
        <w:pStyle w:val="ListBullet"/>
        <w:keepLines w:val="0"/>
        <w:spacing w:before="0" w:after="80" w:line="300" w:lineRule="auto"/>
      </w:pPr>
      <w:r>
        <w:rPr>
          <w:rFonts w:ascii="Calibri" w:hAnsi="Calibri"/>
          <w:color w:val="1F2937"/>
        </w:rPr>
        <w:t>All 8 scenario groups and 20 line IDs are represented in the human QA notes.</w:t>
      </w:r>
    </w:p>
    <w:p>
      <w:pPr>
        <w:pStyle w:val="ListBullet"/>
        <w:keepLines w:val="0"/>
        <w:spacing w:before="0" w:after="80" w:line="300" w:lineRule="auto"/>
      </w:pPr>
      <w:r>
        <w:rPr>
          <w:rFonts w:ascii="Calibri" w:hAnsi="Calibri"/>
          <w:color w:val="1F2937"/>
        </w:rPr>
        <w:t>Valid/invalid/partial and billing/recovery labels match backend/read-model outputs.</w:t>
      </w:r>
    </w:p>
    <w:p>
      <w:pPr>
        <w:pStyle w:val="ListBullet"/>
        <w:keepLines w:val="0"/>
        <w:spacing w:before="0" w:after="80" w:line="300" w:lineRule="auto"/>
      </w:pPr>
      <w:r>
        <w:rPr>
          <w:rFonts w:ascii="Calibri" w:hAnsi="Calibri"/>
          <w:color w:val="1F2937"/>
        </w:rPr>
        <w:t>Every invalid or partial case has supporting evidence documents and cited record IDs.</w:t>
      </w:r>
    </w:p>
    <w:p>
      <w:pPr>
        <w:pStyle w:val="ListBullet"/>
        <w:keepLines w:val="0"/>
        <w:spacing w:before="0" w:after="80" w:line="300" w:lineRule="auto"/>
      </w:pPr>
      <w:r>
        <w:rPr>
          <w:rFonts w:ascii="Calibri" w:hAnsi="Calibri"/>
          <w:color w:val="1F2937"/>
        </w:rPr>
        <w:t>No static, dummy, wrong-row, or uncited business value appears in the UI.</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850"/>
        <w:gridCol w:w="2100"/>
        <w:gridCol w:w="2550"/>
        <w:gridCol w:w="1450"/>
        <w:gridCol w:w="2410"/>
      </w:tblGrid>
      <w:tr>
        <w:trPr>
          <w:tblHeader w:val="true"/>
        </w:trPr>
        <w:tc>
          <w:tcPr>
            <w:tcW w:type="dxa" w:w="850"/>
            <w:vAlign w:val="center"/>
            <w:tcMar>
              <w:top w:w="80" w:type="dxa"/>
              <w:start w:w="120" w:type="dxa"/>
              <w:bottom w:w="80" w:type="dxa"/>
              <w:end w:w="120" w:type="dxa"/>
            </w:tcMar>
            <w:shd w:fill="E8EEF5"/>
          </w:tcPr>
          <w:p>
            <w:pPr>
              <w:keepLines w:val="0"/>
              <w:spacing w:before="0" w:after="0" w:line="276" w:lineRule="auto"/>
            </w:pPr>
            <w:r>
              <w:rPr>
                <w:rFonts w:ascii="Calibri" w:hAnsi="Calibri"/>
                <w:b/>
                <w:color w:val="1F2937"/>
                <w:sz w:val="15"/>
              </w:rPr>
              <w:t>Scenario</w:t>
            </w:r>
          </w:p>
        </w:tc>
        <w:tc>
          <w:tcPr>
            <w:tcW w:type="dxa" w:w="2100"/>
            <w:vAlign w:val="center"/>
            <w:tcMar>
              <w:top w:w="80" w:type="dxa"/>
              <w:start w:w="120" w:type="dxa"/>
              <w:bottom w:w="80" w:type="dxa"/>
              <w:end w:w="120" w:type="dxa"/>
            </w:tcMar>
            <w:shd w:fill="E8EEF5"/>
          </w:tcPr>
          <w:p>
            <w:pPr>
              <w:keepLines w:val="0"/>
              <w:spacing w:before="0" w:after="0" w:line="276" w:lineRule="auto"/>
            </w:pPr>
            <w:r>
              <w:rPr>
                <w:rFonts w:ascii="Calibri" w:hAnsi="Calibri"/>
                <w:b/>
                <w:color w:val="1F2937"/>
                <w:sz w:val="15"/>
              </w:rPr>
              <w:t>Line IDs</w:t>
            </w:r>
          </w:p>
        </w:tc>
        <w:tc>
          <w:tcPr>
            <w:tcW w:type="dxa" w:w="2550"/>
            <w:vAlign w:val="center"/>
            <w:tcMar>
              <w:top w:w="80" w:type="dxa"/>
              <w:start w:w="120" w:type="dxa"/>
              <w:bottom w:w="80" w:type="dxa"/>
              <w:end w:w="120" w:type="dxa"/>
            </w:tcMar>
            <w:shd w:fill="E8EEF5"/>
          </w:tcPr>
          <w:p>
            <w:pPr>
              <w:keepLines w:val="0"/>
              <w:spacing w:before="0" w:after="0" w:line="276" w:lineRule="auto"/>
            </w:pPr>
            <w:r>
              <w:rPr>
                <w:rFonts w:ascii="Calibri" w:hAnsi="Calibri"/>
                <w:b/>
                <w:color w:val="1F2937"/>
                <w:sz w:val="15"/>
              </w:rPr>
              <w:t>Case family</w:t>
            </w:r>
          </w:p>
        </w:tc>
        <w:tc>
          <w:tcPr>
            <w:tcW w:type="dxa" w:w="1450"/>
            <w:vAlign w:val="center"/>
            <w:tcMar>
              <w:top w:w="80" w:type="dxa"/>
              <w:start w:w="120" w:type="dxa"/>
              <w:bottom w:w="80" w:type="dxa"/>
              <w:end w:w="120" w:type="dxa"/>
            </w:tcMar>
            <w:shd w:fill="E8EEF5"/>
          </w:tcPr>
          <w:p>
            <w:pPr>
              <w:keepLines w:val="0"/>
              <w:spacing w:before="0" w:after="0" w:line="276" w:lineRule="auto"/>
            </w:pPr>
            <w:r>
              <w:rPr>
                <w:rFonts w:ascii="Calibri" w:hAnsi="Calibri"/>
                <w:b/>
                <w:color w:val="1F2937"/>
                <w:sz w:val="15"/>
              </w:rPr>
              <w:t>Expected label family</w:t>
            </w:r>
          </w:p>
        </w:tc>
        <w:tc>
          <w:tcPr>
            <w:tcW w:type="dxa" w:w="2410"/>
            <w:vAlign w:val="center"/>
            <w:tcMar>
              <w:top w:w="80" w:type="dxa"/>
              <w:start w:w="120" w:type="dxa"/>
              <w:bottom w:w="80" w:type="dxa"/>
              <w:end w:w="120" w:type="dxa"/>
            </w:tcMar>
            <w:shd w:fill="E8EEF5"/>
          </w:tcPr>
          <w:p>
            <w:pPr>
              <w:keepLines w:val="0"/>
              <w:spacing w:before="0" w:after="0" w:line="276" w:lineRule="auto"/>
            </w:pPr>
            <w:r>
              <w:rPr>
                <w:rFonts w:ascii="Calibri" w:hAnsi="Calibri"/>
                <w:b/>
                <w:color w:val="1F2937"/>
                <w:sz w:val="15"/>
              </w:rPr>
              <w:t>Human QA focus</w:t>
            </w:r>
          </w:p>
        </w:tc>
      </w:tr>
      <w:tr>
        <w:tc>
          <w:tcPr>
            <w:tcW w:type="dxa" w:w="850"/>
          </w:tcPr>
          <w:p>
            <w:pPr>
              <w:keepLines w:val="0"/>
              <w:spacing w:before="0" w:after="0" w:line="276" w:lineRule="auto"/>
            </w:pPr>
            <w:r>
              <w:rPr>
                <w:rFonts w:ascii="Calibri" w:hAnsi="Calibri"/>
                <w:b w:val="0"/>
                <w:color w:val="1F2937"/>
                <w:sz w:val="15"/>
              </w:rPr>
              <w:t>S1</w:t>
            </w:r>
          </w:p>
        </w:tc>
        <w:tc>
          <w:tcPr>
            <w:tcW w:type="dxa" w:w="2100"/>
          </w:tcPr>
          <w:p>
            <w:pPr>
              <w:keepLines w:val="0"/>
              <w:spacing w:before="0" w:after="0" w:line="276" w:lineRule="auto"/>
            </w:pPr>
            <w:r>
              <w:rPr>
                <w:rFonts w:ascii="Calibri" w:hAnsi="Calibri"/>
                <w:b w:val="0"/>
                <w:color w:val="1F2937"/>
                <w:sz w:val="15"/>
              </w:rPr>
              <w:t>S1-L1, S1-L2, S1-L3</w:t>
            </w:r>
          </w:p>
        </w:tc>
        <w:tc>
          <w:tcPr>
            <w:tcW w:type="dxa" w:w="2550"/>
          </w:tcPr>
          <w:p>
            <w:pPr>
              <w:keepLines w:val="0"/>
              <w:spacing w:before="0" w:after="0" w:line="276" w:lineRule="auto"/>
            </w:pPr>
            <w:r>
              <w:rPr>
                <w:rFonts w:ascii="Calibri" w:hAnsi="Calibri"/>
                <w:b w:val="0"/>
                <w:color w:val="1F2937"/>
                <w:sz w:val="15"/>
              </w:rPr>
              <w:t>Damaged product, evidence received</w:t>
            </w:r>
          </w:p>
        </w:tc>
        <w:tc>
          <w:tcPr>
            <w:tcW w:type="dxa" w:w="1450"/>
          </w:tcPr>
          <w:p>
            <w:pPr>
              <w:keepLines w:val="0"/>
              <w:spacing w:before="0" w:after="0" w:line="276" w:lineRule="auto"/>
            </w:pPr>
            <w:r>
              <w:rPr>
                <w:rFonts w:ascii="Calibri" w:hAnsi="Calibri"/>
                <w:b w:val="0"/>
                <w:color w:val="1F2937"/>
                <w:sz w:val="15"/>
              </w:rPr>
              <w:t>valid / billing</w:t>
            </w:r>
          </w:p>
        </w:tc>
        <w:tc>
          <w:tcPr>
            <w:tcW w:type="dxa" w:w="2410"/>
          </w:tcPr>
          <w:p>
            <w:pPr>
              <w:keepLines w:val="0"/>
              <w:spacing w:before="0" w:after="0" w:line="276" w:lineRule="auto"/>
            </w:pPr>
            <w:r>
              <w:rPr>
                <w:rFonts w:ascii="Calibri" w:hAnsi="Calibri"/>
                <w:b w:val="0"/>
                <w:color w:val="1F2937"/>
                <w:sz w:val="15"/>
              </w:rPr>
              <w:t>Evidence supports routing to Billing; S1-L1 is the approval reset anchor.</w:t>
            </w:r>
          </w:p>
        </w:tc>
      </w:tr>
      <w:tr>
        <w:tc>
          <w:tcPr>
            <w:tcW w:type="dxa" w:w="850"/>
          </w:tcPr>
          <w:p>
            <w:pPr>
              <w:keepLines w:val="0"/>
              <w:spacing w:before="0" w:after="0" w:line="276" w:lineRule="auto"/>
            </w:pPr>
            <w:r>
              <w:rPr>
                <w:rFonts w:ascii="Calibri" w:hAnsi="Calibri"/>
                <w:b w:val="0"/>
                <w:color w:val="1F2937"/>
                <w:sz w:val="15"/>
              </w:rPr>
              <w:t>S2</w:t>
            </w:r>
          </w:p>
        </w:tc>
        <w:tc>
          <w:tcPr>
            <w:tcW w:type="dxa" w:w="2100"/>
          </w:tcPr>
          <w:p>
            <w:pPr>
              <w:keepLines w:val="0"/>
              <w:spacing w:before="0" w:after="0" w:line="276" w:lineRule="auto"/>
            </w:pPr>
            <w:r>
              <w:rPr>
                <w:rFonts w:ascii="Calibri" w:hAnsi="Calibri"/>
                <w:b w:val="0"/>
                <w:color w:val="1F2937"/>
                <w:sz w:val="15"/>
              </w:rPr>
              <w:t>S2-L1, S2-L2</w:t>
            </w:r>
          </w:p>
        </w:tc>
        <w:tc>
          <w:tcPr>
            <w:tcW w:type="dxa" w:w="2550"/>
          </w:tcPr>
          <w:p>
            <w:pPr>
              <w:keepLines w:val="0"/>
              <w:spacing w:before="0" w:after="0" w:line="276" w:lineRule="auto"/>
            </w:pPr>
            <w:r>
              <w:rPr>
                <w:rFonts w:ascii="Calibri" w:hAnsi="Calibri"/>
                <w:b w:val="0"/>
                <w:color w:val="1F2937"/>
                <w:sz w:val="15"/>
              </w:rPr>
              <w:t>Valid promo billed at list</w:t>
            </w:r>
          </w:p>
        </w:tc>
        <w:tc>
          <w:tcPr>
            <w:tcW w:type="dxa" w:w="1450"/>
          </w:tcPr>
          <w:p>
            <w:pPr>
              <w:keepLines w:val="0"/>
              <w:spacing w:before="0" w:after="0" w:line="276" w:lineRule="auto"/>
            </w:pPr>
            <w:r>
              <w:rPr>
                <w:rFonts w:ascii="Calibri" w:hAnsi="Calibri"/>
                <w:b w:val="0"/>
                <w:color w:val="1F2937"/>
                <w:sz w:val="15"/>
              </w:rPr>
              <w:t>valid / billing</w:t>
            </w:r>
          </w:p>
        </w:tc>
        <w:tc>
          <w:tcPr>
            <w:tcW w:type="dxa" w:w="2410"/>
          </w:tcPr>
          <w:p>
            <w:pPr>
              <w:keepLines w:val="0"/>
              <w:spacing w:before="0" w:after="0" w:line="276" w:lineRule="auto"/>
            </w:pPr>
            <w:r>
              <w:rPr>
                <w:rFonts w:ascii="Calibri" w:hAnsi="Calibri"/>
                <w:b w:val="0"/>
                <w:color w:val="1F2937"/>
                <w:sz w:val="15"/>
              </w:rPr>
              <w:t>TPM contract/accrual evidence supports billing route.</w:t>
            </w:r>
          </w:p>
        </w:tc>
      </w:tr>
      <w:tr>
        <w:tc>
          <w:tcPr>
            <w:tcW w:type="dxa" w:w="850"/>
          </w:tcPr>
          <w:p>
            <w:pPr>
              <w:keepLines w:val="0"/>
              <w:spacing w:before="0" w:after="0" w:line="276" w:lineRule="auto"/>
            </w:pPr>
            <w:r>
              <w:rPr>
                <w:rFonts w:ascii="Calibri" w:hAnsi="Calibri"/>
                <w:b w:val="0"/>
                <w:color w:val="1F2937"/>
                <w:sz w:val="15"/>
              </w:rPr>
              <w:t>S3</w:t>
            </w:r>
          </w:p>
        </w:tc>
        <w:tc>
          <w:tcPr>
            <w:tcW w:type="dxa" w:w="2100"/>
          </w:tcPr>
          <w:p>
            <w:pPr>
              <w:keepLines w:val="0"/>
              <w:spacing w:before="0" w:after="0" w:line="276" w:lineRule="auto"/>
            </w:pPr>
            <w:r>
              <w:rPr>
                <w:rFonts w:ascii="Calibri" w:hAnsi="Calibri"/>
                <w:b w:val="0"/>
                <w:color w:val="1F2937"/>
                <w:sz w:val="15"/>
              </w:rPr>
              <w:t>S3-L1, S3-L2, S3-L3, S3-L4</w:t>
            </w:r>
          </w:p>
        </w:tc>
        <w:tc>
          <w:tcPr>
            <w:tcW w:type="dxa" w:w="2550"/>
          </w:tcPr>
          <w:p>
            <w:pPr>
              <w:keepLines w:val="0"/>
              <w:spacing w:before="0" w:after="0" w:line="276" w:lineRule="auto"/>
            </w:pPr>
            <w:r>
              <w:rPr>
                <w:rFonts w:ascii="Calibri" w:hAnsi="Calibri"/>
                <w:b w:val="0"/>
                <w:color w:val="1F2937"/>
                <w:sz w:val="15"/>
              </w:rPr>
              <w:t>Shortage claim with full signed POD</w:t>
            </w:r>
          </w:p>
        </w:tc>
        <w:tc>
          <w:tcPr>
            <w:tcW w:type="dxa" w:w="1450"/>
          </w:tcPr>
          <w:p>
            <w:pPr>
              <w:keepLines w:val="0"/>
              <w:spacing w:before="0" w:after="0" w:line="276" w:lineRule="auto"/>
            </w:pPr>
            <w:r>
              <w:rPr>
                <w:rFonts w:ascii="Calibri" w:hAnsi="Calibri"/>
                <w:b w:val="0"/>
                <w:color w:val="1F2937"/>
                <w:sz w:val="15"/>
              </w:rPr>
              <w:t>invalid / recovery</w:t>
            </w:r>
          </w:p>
        </w:tc>
        <w:tc>
          <w:tcPr>
            <w:tcW w:type="dxa" w:w="2410"/>
          </w:tcPr>
          <w:p>
            <w:pPr>
              <w:keepLines w:val="0"/>
              <w:spacing w:before="0" w:after="0" w:line="276" w:lineRule="auto"/>
            </w:pPr>
            <w:r>
              <w:rPr>
                <w:rFonts w:ascii="Calibri" w:hAnsi="Calibri"/>
                <w:b w:val="0"/>
                <w:color w:val="1F2937"/>
                <w:sz w:val="15"/>
              </w:rPr>
              <w:t>S3-L1 is the automated RAG query anchor; verify POD/supporting records.</w:t>
            </w:r>
          </w:p>
        </w:tc>
      </w:tr>
      <w:tr>
        <w:tc>
          <w:tcPr>
            <w:tcW w:type="dxa" w:w="850"/>
          </w:tcPr>
          <w:p>
            <w:pPr>
              <w:keepLines w:val="0"/>
              <w:spacing w:before="0" w:after="0" w:line="276" w:lineRule="auto"/>
            </w:pPr>
            <w:r>
              <w:rPr>
                <w:rFonts w:ascii="Calibri" w:hAnsi="Calibri"/>
                <w:b w:val="0"/>
                <w:color w:val="1F2937"/>
                <w:sz w:val="15"/>
              </w:rPr>
              <w:t>S4</w:t>
            </w:r>
          </w:p>
        </w:tc>
        <w:tc>
          <w:tcPr>
            <w:tcW w:type="dxa" w:w="2100"/>
          </w:tcPr>
          <w:p>
            <w:pPr>
              <w:keepLines w:val="0"/>
              <w:spacing w:before="0" w:after="0" w:line="276" w:lineRule="auto"/>
            </w:pPr>
            <w:r>
              <w:rPr>
                <w:rFonts w:ascii="Calibri" w:hAnsi="Calibri"/>
                <w:b w:val="0"/>
                <w:color w:val="1F2937"/>
                <w:sz w:val="15"/>
              </w:rPr>
              <w:t>S4-L1, S4-L2</w:t>
            </w:r>
          </w:p>
        </w:tc>
        <w:tc>
          <w:tcPr>
            <w:tcW w:type="dxa" w:w="2550"/>
          </w:tcPr>
          <w:p>
            <w:pPr>
              <w:keepLines w:val="0"/>
              <w:spacing w:before="0" w:after="0" w:line="276" w:lineRule="auto"/>
            </w:pPr>
            <w:r>
              <w:rPr>
                <w:rFonts w:ascii="Calibri" w:hAnsi="Calibri"/>
                <w:b w:val="0"/>
                <w:color w:val="1F2937"/>
                <w:sz w:val="15"/>
              </w:rPr>
              <w:t>OTIF compliance fine valid per contract</w:t>
            </w:r>
          </w:p>
        </w:tc>
        <w:tc>
          <w:tcPr>
            <w:tcW w:type="dxa" w:w="1450"/>
          </w:tcPr>
          <w:p>
            <w:pPr>
              <w:keepLines w:val="0"/>
              <w:spacing w:before="0" w:after="0" w:line="276" w:lineRule="auto"/>
            </w:pPr>
            <w:r>
              <w:rPr>
                <w:rFonts w:ascii="Calibri" w:hAnsi="Calibri"/>
                <w:b w:val="0"/>
                <w:color w:val="1F2937"/>
                <w:sz w:val="15"/>
              </w:rPr>
              <w:t>valid / billing</w:t>
            </w:r>
          </w:p>
        </w:tc>
        <w:tc>
          <w:tcPr>
            <w:tcW w:type="dxa" w:w="2410"/>
          </w:tcPr>
          <w:p>
            <w:pPr>
              <w:keepLines w:val="0"/>
              <w:spacing w:before="0" w:after="0" w:line="276" w:lineRule="auto"/>
            </w:pPr>
            <w:r>
              <w:rPr>
                <w:rFonts w:ascii="Calibri" w:hAnsi="Calibri"/>
                <w:b w:val="0"/>
                <w:color w:val="1F2937"/>
                <w:sz w:val="15"/>
              </w:rPr>
              <w:t>SLA contract and breach confirmation should support valid status.</w:t>
            </w:r>
          </w:p>
        </w:tc>
      </w:tr>
      <w:tr>
        <w:tc>
          <w:tcPr>
            <w:tcW w:type="dxa" w:w="850"/>
          </w:tcPr>
          <w:p>
            <w:pPr>
              <w:keepLines w:val="0"/>
              <w:spacing w:before="0" w:after="0" w:line="276" w:lineRule="auto"/>
            </w:pPr>
            <w:r>
              <w:rPr>
                <w:rFonts w:ascii="Calibri" w:hAnsi="Calibri"/>
                <w:b w:val="0"/>
                <w:color w:val="1F2937"/>
                <w:sz w:val="15"/>
              </w:rPr>
              <w:t>S5</w:t>
            </w:r>
          </w:p>
        </w:tc>
        <w:tc>
          <w:tcPr>
            <w:tcW w:type="dxa" w:w="2100"/>
          </w:tcPr>
          <w:p>
            <w:pPr>
              <w:keepLines w:val="0"/>
              <w:spacing w:before="0" w:after="0" w:line="276" w:lineRule="auto"/>
            </w:pPr>
            <w:r>
              <w:rPr>
                <w:rFonts w:ascii="Calibri" w:hAnsi="Calibri"/>
                <w:b w:val="0"/>
                <w:color w:val="1F2937"/>
                <w:sz w:val="15"/>
              </w:rPr>
              <w:t>S5-L1, S5-L2, S5-L3</w:t>
            </w:r>
          </w:p>
        </w:tc>
        <w:tc>
          <w:tcPr>
            <w:tcW w:type="dxa" w:w="2550"/>
          </w:tcPr>
          <w:p>
            <w:pPr>
              <w:keepLines w:val="0"/>
              <w:spacing w:before="0" w:after="0" w:line="276" w:lineRule="auto"/>
            </w:pPr>
            <w:r>
              <w:rPr>
                <w:rFonts w:ascii="Calibri" w:hAnsi="Calibri"/>
                <w:b w:val="0"/>
                <w:color w:val="1F2937"/>
                <w:sz w:val="15"/>
              </w:rPr>
              <w:t>OTIF fine contradicted by 3PL POD timestamp</w:t>
            </w:r>
          </w:p>
        </w:tc>
        <w:tc>
          <w:tcPr>
            <w:tcW w:type="dxa" w:w="1450"/>
          </w:tcPr>
          <w:p>
            <w:pPr>
              <w:keepLines w:val="0"/>
              <w:spacing w:before="0" w:after="0" w:line="276" w:lineRule="auto"/>
            </w:pPr>
            <w:r>
              <w:rPr>
                <w:rFonts w:ascii="Calibri" w:hAnsi="Calibri"/>
                <w:b w:val="0"/>
                <w:color w:val="1F2937"/>
                <w:sz w:val="15"/>
              </w:rPr>
              <w:t>invalid / recovery</w:t>
            </w:r>
          </w:p>
        </w:tc>
        <w:tc>
          <w:tcPr>
            <w:tcW w:type="dxa" w:w="2410"/>
          </w:tcPr>
          <w:p>
            <w:pPr>
              <w:keepLines w:val="0"/>
              <w:spacing w:before="0" w:after="0" w:line="276" w:lineRule="auto"/>
            </w:pPr>
            <w:r>
              <w:rPr>
                <w:rFonts w:ascii="Calibri" w:hAnsi="Calibri"/>
                <w:b w:val="0"/>
                <w:color w:val="1F2937"/>
                <w:sz w:val="15"/>
              </w:rPr>
              <w:t>POD timestamp should contradict the fine and support recovery.</w:t>
            </w:r>
          </w:p>
        </w:tc>
      </w:tr>
      <w:tr>
        <w:tc>
          <w:tcPr>
            <w:tcW w:type="dxa" w:w="850"/>
          </w:tcPr>
          <w:p>
            <w:pPr>
              <w:keepLines w:val="0"/>
              <w:spacing w:before="0" w:after="0" w:line="276" w:lineRule="auto"/>
            </w:pPr>
            <w:r>
              <w:rPr>
                <w:rFonts w:ascii="Calibri" w:hAnsi="Calibri"/>
                <w:b w:val="0"/>
                <w:color w:val="1F2937"/>
                <w:sz w:val="15"/>
              </w:rPr>
              <w:t>S6</w:t>
            </w:r>
          </w:p>
        </w:tc>
        <w:tc>
          <w:tcPr>
            <w:tcW w:type="dxa" w:w="2100"/>
          </w:tcPr>
          <w:p>
            <w:pPr>
              <w:keepLines w:val="0"/>
              <w:spacing w:before="0" w:after="0" w:line="276" w:lineRule="auto"/>
            </w:pPr>
            <w:r>
              <w:rPr>
                <w:rFonts w:ascii="Calibri" w:hAnsi="Calibri"/>
                <w:b w:val="0"/>
                <w:color w:val="1F2937"/>
                <w:sz w:val="15"/>
              </w:rPr>
              <w:t>S6-L1, S6-L2</w:t>
            </w:r>
          </w:p>
        </w:tc>
        <w:tc>
          <w:tcPr>
            <w:tcW w:type="dxa" w:w="2550"/>
          </w:tcPr>
          <w:p>
            <w:pPr>
              <w:keepLines w:val="0"/>
              <w:spacing w:before="0" w:after="0" w:line="276" w:lineRule="auto"/>
            </w:pPr>
            <w:r>
              <w:rPr>
                <w:rFonts w:ascii="Calibri" w:hAnsi="Calibri"/>
                <w:b w:val="0"/>
                <w:color w:val="1F2937"/>
                <w:sz w:val="15"/>
              </w:rPr>
              <w:t>Pricing chargeback below contracted price</w:t>
            </w:r>
          </w:p>
        </w:tc>
        <w:tc>
          <w:tcPr>
            <w:tcW w:type="dxa" w:w="1450"/>
          </w:tcPr>
          <w:p>
            <w:pPr>
              <w:keepLines w:val="0"/>
              <w:spacing w:before="0" w:after="0" w:line="276" w:lineRule="auto"/>
            </w:pPr>
            <w:r>
              <w:rPr>
                <w:rFonts w:ascii="Calibri" w:hAnsi="Calibri"/>
                <w:b w:val="0"/>
                <w:color w:val="1F2937"/>
                <w:sz w:val="15"/>
              </w:rPr>
              <w:t>invalid / recovery</w:t>
            </w:r>
          </w:p>
        </w:tc>
        <w:tc>
          <w:tcPr>
            <w:tcW w:type="dxa" w:w="2410"/>
          </w:tcPr>
          <w:p>
            <w:pPr>
              <w:keepLines w:val="0"/>
              <w:spacing w:before="0" w:after="0" w:line="276" w:lineRule="auto"/>
            </w:pPr>
            <w:r>
              <w:rPr>
                <w:rFonts w:ascii="Calibri" w:hAnsi="Calibri"/>
                <w:b w:val="0"/>
                <w:color w:val="1F2937"/>
                <w:sz w:val="15"/>
              </w:rPr>
              <w:t>Use for memory/vector examples; verify price clause evidence.</w:t>
            </w:r>
          </w:p>
        </w:tc>
      </w:tr>
      <w:tr>
        <w:tc>
          <w:tcPr>
            <w:tcW w:type="dxa" w:w="850"/>
          </w:tcPr>
          <w:p>
            <w:pPr>
              <w:keepLines w:val="0"/>
              <w:spacing w:before="0" w:after="0" w:line="276" w:lineRule="auto"/>
            </w:pPr>
            <w:r>
              <w:rPr>
                <w:rFonts w:ascii="Calibri" w:hAnsi="Calibri"/>
                <w:b w:val="0"/>
                <w:color w:val="1F2937"/>
                <w:sz w:val="15"/>
              </w:rPr>
              <w:t>S7</w:t>
            </w:r>
          </w:p>
        </w:tc>
        <w:tc>
          <w:tcPr>
            <w:tcW w:type="dxa" w:w="2100"/>
          </w:tcPr>
          <w:p>
            <w:pPr>
              <w:keepLines w:val="0"/>
              <w:spacing w:before="0" w:after="0" w:line="276" w:lineRule="auto"/>
            </w:pPr>
            <w:r>
              <w:rPr>
                <w:rFonts w:ascii="Calibri" w:hAnsi="Calibri"/>
                <w:b w:val="0"/>
                <w:color w:val="1F2937"/>
                <w:sz w:val="15"/>
              </w:rPr>
              <w:t>S7-L1, S7-L2</w:t>
            </w:r>
          </w:p>
        </w:tc>
        <w:tc>
          <w:tcPr>
            <w:tcW w:type="dxa" w:w="2550"/>
          </w:tcPr>
          <w:p>
            <w:pPr>
              <w:keepLines w:val="0"/>
              <w:spacing w:before="0" w:after="0" w:line="276" w:lineRule="auto"/>
            </w:pPr>
            <w:r>
              <w:rPr>
                <w:rFonts w:ascii="Calibri" w:hAnsi="Calibri"/>
                <w:b w:val="0"/>
                <w:color w:val="1F2937"/>
                <w:sz w:val="15"/>
              </w:rPr>
              <w:t>Promo overclaim above approved TPM accrual</w:t>
            </w:r>
          </w:p>
        </w:tc>
        <w:tc>
          <w:tcPr>
            <w:tcW w:type="dxa" w:w="1450"/>
          </w:tcPr>
          <w:p>
            <w:pPr>
              <w:keepLines w:val="0"/>
              <w:spacing w:before="0" w:after="0" w:line="276" w:lineRule="auto"/>
            </w:pPr>
            <w:r>
              <w:rPr>
                <w:rFonts w:ascii="Calibri" w:hAnsi="Calibri"/>
                <w:b w:val="0"/>
                <w:color w:val="1F2937"/>
                <w:sz w:val="15"/>
              </w:rPr>
              <w:t>partial / recovery</w:t>
            </w:r>
          </w:p>
        </w:tc>
        <w:tc>
          <w:tcPr>
            <w:tcW w:type="dxa" w:w="2410"/>
          </w:tcPr>
          <w:p>
            <w:pPr>
              <w:keepLines w:val="0"/>
              <w:spacing w:before="0" w:after="0" w:line="276" w:lineRule="auto"/>
            </w:pPr>
            <w:r>
              <w:rPr>
                <w:rFonts w:ascii="Calibri" w:hAnsi="Calibri"/>
                <w:b w:val="0"/>
                <w:color w:val="1F2937"/>
                <w:sz w:val="15"/>
              </w:rPr>
              <w:t>Verify partial classification has supporting TPM accrual evidence.</w:t>
            </w:r>
          </w:p>
        </w:tc>
      </w:tr>
      <w:tr>
        <w:tc>
          <w:tcPr>
            <w:tcW w:type="dxa" w:w="850"/>
          </w:tcPr>
          <w:p>
            <w:pPr>
              <w:keepLines w:val="0"/>
              <w:spacing w:before="0" w:after="0" w:line="276" w:lineRule="auto"/>
            </w:pPr>
            <w:r>
              <w:rPr>
                <w:rFonts w:ascii="Calibri" w:hAnsi="Calibri"/>
                <w:b w:val="0"/>
                <w:color w:val="1F2937"/>
                <w:sz w:val="15"/>
              </w:rPr>
              <w:t>S8</w:t>
            </w:r>
          </w:p>
        </w:tc>
        <w:tc>
          <w:tcPr>
            <w:tcW w:type="dxa" w:w="2100"/>
          </w:tcPr>
          <w:p>
            <w:pPr>
              <w:keepLines w:val="0"/>
              <w:spacing w:before="0" w:after="0" w:line="276" w:lineRule="auto"/>
            </w:pPr>
            <w:r>
              <w:rPr>
                <w:rFonts w:ascii="Calibri" w:hAnsi="Calibri"/>
                <w:b w:val="0"/>
                <w:color w:val="1F2937"/>
                <w:sz w:val="15"/>
              </w:rPr>
              <w:t>S8-L1, S8-L2</w:t>
            </w:r>
          </w:p>
        </w:tc>
        <w:tc>
          <w:tcPr>
            <w:tcW w:type="dxa" w:w="2550"/>
          </w:tcPr>
          <w:p>
            <w:pPr>
              <w:keepLines w:val="0"/>
              <w:spacing w:before="0" w:after="0" w:line="276" w:lineRule="auto"/>
            </w:pPr>
            <w:r>
              <w:rPr>
                <w:rFonts w:ascii="Calibri" w:hAnsi="Calibri"/>
                <w:b w:val="0"/>
                <w:color w:val="1F2937"/>
                <w:sz w:val="15"/>
              </w:rPr>
              <w:t>Duplicate already-credited deduction</w:t>
            </w:r>
          </w:p>
        </w:tc>
        <w:tc>
          <w:tcPr>
            <w:tcW w:type="dxa" w:w="1450"/>
          </w:tcPr>
          <w:p>
            <w:pPr>
              <w:keepLines w:val="0"/>
              <w:spacing w:before="0" w:after="0" w:line="276" w:lineRule="auto"/>
            </w:pPr>
            <w:r>
              <w:rPr>
                <w:rFonts w:ascii="Calibri" w:hAnsi="Calibri"/>
                <w:b w:val="0"/>
                <w:color w:val="1F2937"/>
                <w:sz w:val="15"/>
              </w:rPr>
              <w:t>invalid / recovery</w:t>
            </w:r>
          </w:p>
        </w:tc>
        <w:tc>
          <w:tcPr>
            <w:tcW w:type="dxa" w:w="2410"/>
          </w:tcPr>
          <w:p>
            <w:pPr>
              <w:keepLines w:val="0"/>
              <w:spacing w:before="0" w:after="0" w:line="276" w:lineRule="auto"/>
            </w:pPr>
            <w:r>
              <w:rPr>
                <w:rFonts w:ascii="Calibri" w:hAnsi="Calibri"/>
                <w:b w:val="0"/>
                <w:color w:val="1F2937"/>
                <w:sz w:val="15"/>
              </w:rPr>
              <w:t>Credit memo evidence should support duplicate-credit decision.</w:t>
            </w:r>
          </w:p>
        </w:tc>
      </w:tr>
    </w:tbl>
    <w:p/>
    <w:p>
      <w:pPr>
        <w:pStyle w:val="Heading1"/>
        <w:keepLines/>
        <w:spacing w:before="360" w:after="200" w:line="276" w:lineRule="auto"/>
      </w:pPr>
      <w:r>
        <w:rPr>
          <w:rFonts w:ascii="Calibri" w:hAnsi="Calibri"/>
          <w:b/>
          <w:color w:val="2E74B5"/>
          <w:sz w:val="32"/>
        </w:rPr>
        <w:t>5. Evidence To Capture</w:t>
      </w:r>
    </w:p>
    <w:p>
      <w:pPr>
        <w:keepLines w:val="0"/>
        <w:spacing w:before="0" w:after="120" w:line="300" w:lineRule="auto"/>
      </w:pPr>
      <w:r>
        <w:rPr>
          <w:rFonts w:ascii="Calibri" w:hAnsi="Calibri"/>
          <w:color w:val="1F2937"/>
        </w:rPr>
        <w:t>Attach or record the following evidence for a complete human QA handoff. Redact secrets and avoid copying business dollars from screenshots into notes unless the release owner explicitly asks for source-read-back evidence.</w:t>
      </w:r>
    </w:p>
    <w:p>
      <w:pPr>
        <w:pStyle w:val="ListBullet"/>
        <w:keepLines w:val="0"/>
        <w:spacing w:before="0" w:after="80" w:line="300" w:lineRule="auto"/>
      </w:pPr>
      <w:r>
        <w:rPr>
          <w:rFonts w:ascii="Calibri" w:hAnsi="Calibri"/>
          <w:color w:val="1F2937"/>
        </w:rPr>
        <w:t>Screenshot or note of /login and /forensics/shadcn route after login.</w:t>
      </w:r>
    </w:p>
    <w:p>
      <w:pPr>
        <w:pStyle w:val="ListBullet"/>
        <w:keepLines w:val="0"/>
        <w:spacing w:before="0" w:after="80" w:line="300" w:lineRule="auto"/>
      </w:pPr>
      <w:r>
        <w:rPr>
          <w:rFonts w:ascii="Calibri" w:hAnsi="Calibri"/>
          <w:color w:val="1F2937"/>
        </w:rPr>
        <w:t>Worklist row selected, line ID, scenario label, and visible route/verdict labels.</w:t>
      </w:r>
    </w:p>
    <w:p>
      <w:pPr>
        <w:pStyle w:val="ListBullet"/>
        <w:keepLines w:val="0"/>
        <w:spacing w:before="0" w:after="80" w:line="300" w:lineRule="auto"/>
      </w:pPr>
      <w:r>
        <w:rPr>
          <w:rFonts w:ascii="Calibri" w:hAnsi="Calibri"/>
          <w:color w:val="1F2937"/>
        </w:rPr>
        <w:t>Evidence source details with cited record IDs, not just the summary card.</w:t>
      </w:r>
    </w:p>
    <w:p>
      <w:pPr>
        <w:pStyle w:val="ListBullet"/>
        <w:keepLines w:val="0"/>
        <w:spacing w:before="0" w:after="80" w:line="300" w:lineRule="auto"/>
      </w:pPr>
      <w:r>
        <w:rPr>
          <w:rFonts w:ascii="Calibri" w:hAnsi="Calibri"/>
          <w:color w:val="1F2937"/>
        </w:rPr>
        <w:t>Query prompt, cited answer, Sources rows, Basis details, and Agent Trace details.</w:t>
      </w:r>
    </w:p>
    <w:p>
      <w:pPr>
        <w:pStyle w:val="ListBullet"/>
        <w:keepLines w:val="0"/>
        <w:spacing w:before="0" w:after="80" w:line="300" w:lineRule="auto"/>
      </w:pPr>
      <w:r>
        <w:rPr>
          <w:rFonts w:ascii="Calibri" w:hAnsi="Calibri"/>
          <w:color w:val="1F2937"/>
        </w:rPr>
        <w:t>Draft review and approval dialog showing external action remains blocked before approval.</w:t>
      </w:r>
    </w:p>
    <w:p>
      <w:pPr>
        <w:pStyle w:val="ListBullet"/>
        <w:keepLines w:val="0"/>
        <w:spacing w:before="0" w:after="80" w:line="300" w:lineRule="auto"/>
      </w:pPr>
      <w:r>
        <w:rPr>
          <w:rFonts w:ascii="Calibri" w:hAnsi="Calibri"/>
          <w:color w:val="1F2937"/>
        </w:rPr>
        <w:t>Audit tab before approval, after approval, after logout/relogin, and after admin reset.</w:t>
      </w:r>
    </w:p>
    <w:p>
      <w:pPr>
        <w:pStyle w:val="ListBullet"/>
        <w:keepLines w:val="0"/>
        <w:spacing w:before="0" w:after="80" w:line="300" w:lineRule="auto"/>
      </w:pPr>
      <w:r>
        <w:rPr>
          <w:rFonts w:ascii="Calibri" w:hAnsi="Calibri"/>
          <w:color w:val="1F2937"/>
        </w:rPr>
        <w:t>Redacted memory sample if durable memory is configured: record IDs and deterministic basis only.</w:t>
      </w:r>
    </w:p>
    <w:p>
      <w:pPr>
        <w:pStyle w:val="ListBullet"/>
        <w:keepLines w:val="0"/>
        <w:spacing w:before="0" w:after="80" w:line="300" w:lineRule="auto"/>
      </w:pPr>
      <w:r>
        <w:rPr>
          <w:rFonts w:ascii="Calibri" w:hAnsi="Calibri"/>
          <w:color w:val="1F2937"/>
        </w:rPr>
        <w:t>RAG/vector readiness output showing configured/missing state without secret values.</w:t>
      </w:r>
    </w:p>
    <w:p>
      <w:pPr>
        <w:pStyle w:val="Heading1"/>
        <w:keepLines/>
        <w:spacing w:before="360" w:after="200" w:line="276" w:lineRule="auto"/>
      </w:pPr>
      <w:r>
        <w:rPr>
          <w:rFonts w:ascii="Calibri" w:hAnsi="Calibri"/>
          <w:b/>
          <w:color w:val="2E74B5"/>
          <w:sz w:val="32"/>
        </w:rPr>
        <w:t>6. Pass/Fail Rules</w:t>
      </w:r>
    </w:p>
    <w:p>
      <w:pPr>
        <w:pStyle w:val="ListBullet"/>
        <w:keepLines w:val="0"/>
        <w:spacing w:before="0" w:after="80" w:line="300" w:lineRule="auto"/>
      </w:pPr>
      <w:r>
        <w:rPr>
          <w:rFonts w:ascii="Calibri" w:hAnsi="Calibri"/>
          <w:color w:val="1F2937"/>
        </w:rPr>
        <w:t>Pass only when the visible UI state is backed by backend/read-model evidence, cited record IDs, and deterministic basis where a decision or answer is shown.</w:t>
      </w:r>
    </w:p>
    <w:p>
      <w:pPr>
        <w:pStyle w:val="ListBullet"/>
        <w:keepLines w:val="0"/>
        <w:spacing w:before="0" w:after="80" w:line="300" w:lineRule="auto"/>
      </w:pPr>
      <w:r>
        <w:rPr>
          <w:rFonts w:ascii="Calibri" w:hAnsi="Calibri"/>
          <w:color w:val="1F2937"/>
        </w:rPr>
        <w:t>Fail if any business-visible field appears static, dummy, uncited, or inconsistent with the selected work item.</w:t>
      </w:r>
    </w:p>
    <w:p>
      <w:pPr>
        <w:pStyle w:val="ListBullet"/>
        <w:keepLines w:val="0"/>
        <w:spacing w:before="0" w:after="80" w:line="300" w:lineRule="auto"/>
      </w:pPr>
      <w:r>
        <w:rPr>
          <w:rFonts w:ascii="Calibri" w:hAnsi="Calibri"/>
          <w:color w:val="1F2937"/>
        </w:rPr>
        <w:t>Fail if an approval or external action can happen without a human gate.</w:t>
      </w:r>
    </w:p>
    <w:p>
      <w:pPr>
        <w:pStyle w:val="ListBullet"/>
        <w:keepLines w:val="0"/>
        <w:spacing w:before="0" w:after="80" w:line="300" w:lineRule="auto"/>
      </w:pPr>
      <w:r>
        <w:rPr>
          <w:rFonts w:ascii="Calibri" w:hAnsi="Calibri"/>
          <w:color w:val="1F2937"/>
        </w:rPr>
        <w:t>Fail if the answer, draft, or trace invents a dollar amount, verdict, route, source, or approval status.</w:t>
      </w:r>
    </w:p>
    <w:p>
      <w:pPr>
        <w:pStyle w:val="ListBullet"/>
        <w:keepLines w:val="0"/>
        <w:spacing w:before="0" w:after="80" w:line="300" w:lineRule="auto"/>
      </w:pPr>
      <w:r>
        <w:rPr>
          <w:rFonts w:ascii="Calibri" w:hAnsi="Calibri"/>
          <w:color w:val="1F2937"/>
        </w:rPr>
        <w:t>Fail if memory stores question text, answers, PII, secrets, dollars, verdicts, routing, or approval state.</w:t>
      </w:r>
    </w:p>
    <w:p>
      <w:pPr>
        <w:pStyle w:val="ListBullet"/>
        <w:keepLines w:val="0"/>
        <w:spacing w:before="0" w:after="80" w:line="300" w:lineRule="auto"/>
      </w:pPr>
      <w:r>
        <w:rPr>
          <w:rFonts w:ascii="Calibri" w:hAnsi="Calibri"/>
          <w:color w:val="1F2937"/>
        </w:rPr>
        <w:t>Fail if RAG/vector evidence accepts missing metadata, wrong customer/scenario hits, malformed responses, or secret leakage.</w:t>
      </w:r>
    </w:p>
    <w:p>
      <w:pPr>
        <w:pStyle w:val="ListBullet"/>
        <w:keepLines w:val="0"/>
        <w:spacing w:before="0" w:after="80" w:line="300" w:lineRule="auto"/>
      </w:pPr>
      <w:r>
        <w:rPr>
          <w:rFonts w:ascii="Calibri" w:hAnsi="Calibri"/>
          <w:color w:val="1F2937"/>
        </w:rPr>
        <w:t>Record untested gaps separately. Do not imply all rows/cases/roles were tested unless they were opened and verified.</w:t>
      </w:r>
    </w:p>
    <w:p>
      <w:pPr>
        <w:pStyle w:val="Heading1"/>
        <w:keepLines/>
        <w:spacing w:before="360" w:after="200" w:line="276" w:lineRule="auto"/>
      </w:pPr>
      <w:r>
        <w:rPr>
          <w:rFonts w:ascii="Calibri" w:hAnsi="Calibri"/>
          <w:b/>
          <w:color w:val="2E74B5"/>
          <w:sz w:val="32"/>
        </w:rPr>
        <w:t>7. Recommended Commands For Evidence Runs</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4300"/>
        <w:gridCol w:w="5060"/>
      </w:tblGrid>
      <w:tr>
        <w:trPr>
          <w:tblHeader w:val="true"/>
        </w:trPr>
        <w:tc>
          <w:tcPr>
            <w:tcW w:type="dxa" w:w="4300"/>
            <w:vAlign w:val="center"/>
            <w:tcMar>
              <w:top w:w="80" w:type="dxa"/>
              <w:start w:w="120" w:type="dxa"/>
              <w:bottom w:w="80" w:type="dxa"/>
              <w:end w:w="120" w:type="dxa"/>
            </w:tcMar>
            <w:shd w:fill="E8EEF5"/>
          </w:tcPr>
          <w:p>
            <w:pPr>
              <w:keepLines w:val="0"/>
              <w:spacing w:before="0" w:after="0" w:line="276" w:lineRule="auto"/>
            </w:pPr>
            <w:r>
              <w:rPr>
                <w:rFonts w:ascii="Calibri" w:hAnsi="Calibri"/>
                <w:b/>
                <w:color w:val="1F2937"/>
                <w:sz w:val="17"/>
              </w:rPr>
              <w:t>Command</w:t>
            </w:r>
          </w:p>
        </w:tc>
        <w:tc>
          <w:tcPr>
            <w:tcW w:type="dxa" w:w="5060"/>
            <w:vAlign w:val="center"/>
            <w:tcMar>
              <w:top w:w="80" w:type="dxa"/>
              <w:start w:w="120" w:type="dxa"/>
              <w:bottom w:w="80" w:type="dxa"/>
              <w:end w:w="120" w:type="dxa"/>
            </w:tcMar>
            <w:shd w:fill="E8EEF5"/>
          </w:tcPr>
          <w:p>
            <w:pPr>
              <w:keepLines w:val="0"/>
              <w:spacing w:before="0" w:after="0" w:line="276" w:lineRule="auto"/>
            </w:pPr>
            <w:r>
              <w:rPr>
                <w:rFonts w:ascii="Calibri" w:hAnsi="Calibri"/>
                <w:b/>
                <w:color w:val="1F2937"/>
                <w:sz w:val="17"/>
              </w:rPr>
              <w:t>Purpose</w:t>
            </w:r>
          </w:p>
        </w:tc>
      </w:tr>
      <w:tr>
        <w:tc>
          <w:tcPr>
            <w:tcW w:type="dxa" w:w="4300"/>
          </w:tcPr>
          <w:p>
            <w:pPr>
              <w:keepLines w:val="0"/>
              <w:spacing w:before="0" w:after="0" w:line="276" w:lineRule="auto"/>
            </w:pPr>
            <w:r>
              <w:rPr>
                <w:rFonts w:ascii="Calibri" w:hAnsi="Calibri"/>
                <w:b w:val="0"/>
                <w:color w:val="1F2937"/>
                <w:sz w:val="17"/>
              </w:rPr>
              <w:t>npm.cmd run test:e2e:maya-real</w:t>
            </w:r>
          </w:p>
        </w:tc>
        <w:tc>
          <w:tcPr>
            <w:tcW w:type="dxa" w:w="5060"/>
          </w:tcPr>
          <w:p>
            <w:pPr>
              <w:keepLines w:val="0"/>
              <w:spacing w:before="0" w:after="0" w:line="276" w:lineRule="auto"/>
            </w:pPr>
            <w:r>
              <w:rPr>
                <w:rFonts w:ascii="Calibri" w:hAnsi="Calibri"/>
                <w:b w:val="0"/>
                <w:color w:val="1F2937"/>
                <w:sz w:val="17"/>
              </w:rPr>
              <w:t>Browser proof for real-backend Maya query, case navigation, evidence, draft, approval gate, audit, and return worklist.</w:t>
            </w:r>
          </w:p>
        </w:tc>
      </w:tr>
      <w:tr>
        <w:tc>
          <w:tcPr>
            <w:tcW w:type="dxa" w:w="4300"/>
          </w:tcPr>
          <w:p>
            <w:pPr>
              <w:keepLines w:val="0"/>
              <w:spacing w:before="0" w:after="0" w:line="276" w:lineRule="auto"/>
            </w:pPr>
            <w:r>
              <w:rPr>
                <w:rFonts w:ascii="Calibri" w:hAnsi="Calibri"/>
                <w:b w:val="0"/>
                <w:color w:val="1F2937"/>
                <w:sz w:val="17"/>
              </w:rPr>
              <w:t>npm.cmd run test:e2e:maya-approval-lifecycle</w:t>
            </w:r>
          </w:p>
        </w:tc>
        <w:tc>
          <w:tcPr>
            <w:tcW w:type="dxa" w:w="5060"/>
          </w:tcPr>
          <w:p>
            <w:pPr>
              <w:keepLines w:val="0"/>
              <w:spacing w:before="0" w:after="0" w:line="276" w:lineRule="auto"/>
            </w:pPr>
            <w:r>
              <w:rPr>
                <w:rFonts w:ascii="Calibri" w:hAnsi="Calibri"/>
                <w:b w:val="0"/>
                <w:color w:val="1F2937"/>
                <w:sz w:val="17"/>
              </w:rPr>
              <w:t>Browser proof for S1-L1 approval, persistence, admin reset, and retest state.</w:t>
            </w:r>
          </w:p>
        </w:tc>
      </w:tr>
      <w:tr>
        <w:tc>
          <w:tcPr>
            <w:tcW w:type="dxa" w:w="4300"/>
          </w:tcPr>
          <w:p>
            <w:pPr>
              <w:keepLines w:val="0"/>
              <w:spacing w:before="0" w:after="0" w:line="276" w:lineRule="auto"/>
            </w:pPr>
            <w:r>
              <w:rPr>
                <w:rFonts w:ascii="Calibri" w:hAnsi="Calibri"/>
                <w:b w:val="0"/>
                <w:color w:val="1F2937"/>
                <w:sz w:val="17"/>
              </w:rPr>
              <w:t>npm.cmd run test:e2e -- --maya-shadcn-only</w:t>
            </w:r>
          </w:p>
        </w:tc>
        <w:tc>
          <w:tcPr>
            <w:tcW w:type="dxa" w:w="5060"/>
          </w:tcPr>
          <w:p>
            <w:pPr>
              <w:keepLines w:val="0"/>
              <w:spacing w:before="0" w:after="0" w:line="276" w:lineRule="auto"/>
            </w:pPr>
            <w:r>
              <w:rPr>
                <w:rFonts w:ascii="Calibri" w:hAnsi="Calibri"/>
                <w:b w:val="0"/>
                <w:color w:val="1F2937"/>
                <w:sz w:val="17"/>
              </w:rPr>
              <w:t>Maya 12-beat browser journey proof when running the shadcn-only visual/navigation slice.</w:t>
            </w:r>
          </w:p>
        </w:tc>
      </w:tr>
      <w:tr>
        <w:tc>
          <w:tcPr>
            <w:tcW w:type="dxa" w:w="4300"/>
          </w:tcPr>
          <w:p>
            <w:pPr>
              <w:keepLines w:val="0"/>
              <w:spacing w:before="0" w:after="0" w:line="276" w:lineRule="auto"/>
            </w:pPr>
            <w:r>
              <w:rPr>
                <w:rFonts w:ascii="Calibri" w:hAnsi="Calibri"/>
                <w:b w:val="0"/>
                <w:color w:val="1F2937"/>
                <w:sz w:val="17"/>
              </w:rPr>
              <w:t>npm.cmd run test -- tests/unit/memory.test.ts tests/invariants/memory-contract.test.ts</w:t>
            </w:r>
          </w:p>
        </w:tc>
        <w:tc>
          <w:tcPr>
            <w:tcW w:type="dxa" w:w="5060"/>
          </w:tcPr>
          <w:p>
            <w:pPr>
              <w:keepLines w:val="0"/>
              <w:spacing w:before="0" w:after="0" w:line="276" w:lineRule="auto"/>
            </w:pPr>
            <w:r>
              <w:rPr>
                <w:rFonts w:ascii="Calibri" w:hAnsi="Calibri"/>
                <w:b w:val="0"/>
                <w:color w:val="1F2937"/>
                <w:sz w:val="17"/>
              </w:rPr>
              <w:t>Memory contract proof for cited, scoped, safe Maya query memory.</w:t>
            </w:r>
          </w:p>
        </w:tc>
      </w:tr>
      <w:tr>
        <w:tc>
          <w:tcPr>
            <w:tcW w:type="dxa" w:w="4300"/>
          </w:tcPr>
          <w:p>
            <w:pPr>
              <w:keepLines w:val="0"/>
              <w:spacing w:before="0" w:after="0" w:line="276" w:lineRule="auto"/>
            </w:pPr>
            <w:r>
              <w:rPr>
                <w:rFonts w:ascii="Calibri" w:hAnsi="Calibri"/>
                <w:b w:val="0"/>
                <w:color w:val="1F2937"/>
                <w:sz w:val="17"/>
              </w:rPr>
              <w:t>npm.cmd run test -- tests/unit/enterprise-connectors.test.ts tests/unit/forensics.test.ts tests/invariants/deduction-evidence-pack.test.ts</w:t>
            </w:r>
          </w:p>
        </w:tc>
        <w:tc>
          <w:tcPr>
            <w:tcW w:type="dxa" w:w="5060"/>
          </w:tcPr>
          <w:p>
            <w:pPr>
              <w:keepLines w:val="0"/>
              <w:spacing w:before="0" w:after="0" w:line="276" w:lineRule="auto"/>
            </w:pPr>
            <w:r>
              <w:rPr>
                <w:rFonts w:ascii="Calibri" w:hAnsi="Calibri"/>
                <w:b w:val="0"/>
                <w:color w:val="1F2937"/>
                <w:sz w:val="17"/>
              </w:rPr>
              <w:t>RAG/vector metadata and additive evidence proof.</w:t>
            </w:r>
          </w:p>
        </w:tc>
      </w:tr>
      <w:tr>
        <w:tc>
          <w:tcPr>
            <w:tcW w:type="dxa" w:w="4300"/>
          </w:tcPr>
          <w:p>
            <w:pPr>
              <w:keepLines w:val="0"/>
              <w:spacing w:before="0" w:after="0" w:line="276" w:lineRule="auto"/>
            </w:pPr>
            <w:r>
              <w:rPr>
                <w:rFonts w:ascii="Calibri" w:hAnsi="Calibri"/>
                <w:b w:val="0"/>
                <w:color w:val="1F2937"/>
                <w:sz w:val="17"/>
              </w:rPr>
              <w:t>npm.cmd run verify</w:t>
            </w:r>
          </w:p>
        </w:tc>
        <w:tc>
          <w:tcPr>
            <w:tcW w:type="dxa" w:w="5060"/>
          </w:tcPr>
          <w:p>
            <w:pPr>
              <w:keepLines w:val="0"/>
              <w:spacing w:before="0" w:after="0" w:line="276" w:lineRule="auto"/>
            </w:pPr>
            <w:r>
              <w:rPr>
                <w:rFonts w:ascii="Calibri" w:hAnsi="Calibri"/>
                <w:b w:val="0"/>
                <w:color w:val="1F2937"/>
                <w:sz w:val="17"/>
              </w:rPr>
              <w:t>Full repo gate before a release claim.</w:t>
            </w:r>
          </w:p>
        </w:tc>
      </w:tr>
    </w:tbl>
    <w:p/>
    <w:p>
      <w:pPr>
        <w:keepLines w:val="0"/>
        <w:spacing w:before="0" w:after="0" w:line="300" w:lineRule="auto"/>
      </w:pPr>
      <w:r>
        <w:rPr>
          <w:rFonts w:ascii="Calibri" w:hAnsi="Calibri"/>
          <w:color w:val="1F2937"/>
        </w:rPr>
        <w:t>Document status: expanded human QA playbook for Maya. It is intended for QA execution and KT; it is not an approval to change business constants, approve external actions, or write back to ERP.</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Lines w:val="0"/>
      <w:spacing w:before="0" w:after="0" w:line="240" w:lineRule="auto"/>
      <w:jc w:val="right"/>
    </w:pPr>
    <w:r>
      <w:rPr>
        <w:rFonts w:ascii="Calibri" w:hAnsi="Calibri"/>
        <w:color w:val="4B5563"/>
        <w:sz w:val="17"/>
      </w:rPr>
      <w:t>Maya human QA operator guide - source-backed, HITL-gated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Maya Human QA Browser Test Cases</dc:title>
  <dc:subject>Recoup Maya QA KT walkthrough</dc:subject>
  <dc:creator>OpenAI Codex</dc:creator>
  <cp:keywords/>
  <dc:description>Generated from current Recoup repo evidence; secrets omitted.</dc:description>
  <cp:lastModifiedBy/>
  <cp:revision>1</cp:revision>
  <dcterms:created xsi:type="dcterms:W3CDTF">2013-12-23T23:15:00Z</dcterms:created>
  <dcterms:modified xsi:type="dcterms:W3CDTF">2013-12-23T23:15:00Z</dcterms:modified>
  <cp:category/>
</cp:coreProperties>
</file>