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C1A0" w14:textId="77777777" w:rsidR="00C167EE" w:rsidRPr="009976E1" w:rsidRDefault="00C167EE" w:rsidP="00EB6593">
      <w:pPr>
        <w:spacing w:line="480" w:lineRule="auto"/>
        <w:jc w:val="center"/>
        <w:rPr>
          <w:rFonts w:ascii="Helvetica Neue" w:hAnsi="Helvetica Neue"/>
          <w:b/>
          <w:bCs/>
        </w:rPr>
      </w:pPr>
      <w:r w:rsidRPr="009976E1">
        <w:rPr>
          <w:rFonts w:ascii="Helvetica Neue" w:hAnsi="Helvetica Neue"/>
          <w:b/>
          <w:bCs/>
        </w:rPr>
        <w:t>Causal Early Warning Signals for Ecosystem Collapse Detected by a Multivariate Deep Learning Framework Across Three Tropical Biomes</w:t>
      </w:r>
    </w:p>
    <w:p w14:paraId="1B07FA2F" w14:textId="6FFF3B26" w:rsidR="00C167EE" w:rsidRPr="009E6A5A" w:rsidRDefault="00823388" w:rsidP="00EB6593">
      <w:pPr>
        <w:spacing w:line="480" w:lineRule="auto"/>
        <w:jc w:val="center"/>
        <w:rPr>
          <w:rFonts w:ascii="Helvetica Neue" w:hAnsi="Helvetica Neue"/>
        </w:rPr>
      </w:pPr>
      <w:r w:rsidRPr="00823388">
        <w:rPr>
          <w:rFonts w:ascii="Helvetica Neue" w:hAnsi="Helvetica Neue"/>
        </w:rPr>
        <w:t>Rajendraprasad M</w:t>
      </w:r>
      <w:r w:rsidR="002E39F4">
        <w:rPr>
          <w:rFonts w:ascii="Helvetica Neue" w:hAnsi="Helvetica Neue"/>
        </w:rPr>
        <w:t>unireddy</w:t>
      </w:r>
      <w:r w:rsidR="00180D33" w:rsidRPr="00180D33">
        <w:rPr>
          <w:rFonts w:ascii="Helvetica Neue" w:hAnsi="Helvetica Neue"/>
          <w:vertAlign w:val="superscript"/>
        </w:rPr>
        <w:t>1</w:t>
      </w:r>
      <w:r w:rsidR="00A4490D">
        <w:rPr>
          <w:rFonts w:ascii="Helvetica Neue" w:hAnsi="Helvetica Neue"/>
          <w:vertAlign w:val="superscript"/>
        </w:rPr>
        <w:t>*</w:t>
      </w:r>
      <w:r>
        <w:rPr>
          <w:rFonts w:ascii="Helvetica Neue" w:hAnsi="Helvetica Neue"/>
        </w:rPr>
        <w:t>,</w:t>
      </w:r>
      <w:r w:rsidR="005D3CC1">
        <w:rPr>
          <w:rFonts w:ascii="Helvetica Neue" w:hAnsi="Helvetica Neue"/>
        </w:rPr>
        <w:t xml:space="preserve"> Rajapriya Muthu</w:t>
      </w:r>
      <w:r w:rsidR="005D3CC1" w:rsidRPr="005D3CC1">
        <w:rPr>
          <w:rFonts w:ascii="Helvetica Neue" w:hAnsi="Helvetica Neue"/>
          <w:vertAlign w:val="superscript"/>
        </w:rPr>
        <w:t>2</w:t>
      </w:r>
      <w:r w:rsidR="005D3CC1">
        <w:rPr>
          <w:rFonts w:ascii="Helvetica Neue" w:hAnsi="Helvetica Neue"/>
        </w:rPr>
        <w:t>,</w:t>
      </w:r>
      <w:r>
        <w:rPr>
          <w:rFonts w:ascii="Helvetica Neue" w:hAnsi="Helvetica Neue"/>
        </w:rPr>
        <w:t xml:space="preserve"> </w:t>
      </w:r>
      <w:r w:rsidRPr="00823388">
        <w:rPr>
          <w:rFonts w:ascii="Helvetica Neue" w:hAnsi="Helvetica Neue"/>
        </w:rPr>
        <w:t>Gnana Prakash</w:t>
      </w:r>
      <w:r w:rsidR="00CA5CE4">
        <w:rPr>
          <w:rFonts w:ascii="Helvetica Neue" w:hAnsi="Helvetica Neue"/>
        </w:rPr>
        <w:t xml:space="preserve"> </w:t>
      </w:r>
      <w:r w:rsidRPr="00823388">
        <w:rPr>
          <w:rFonts w:ascii="Helvetica Neue" w:hAnsi="Helvetica Neue"/>
        </w:rPr>
        <w:t>Dhakshinamoorthy</w:t>
      </w:r>
      <w:r w:rsidR="00180D33" w:rsidRPr="00180D33">
        <w:rPr>
          <w:rFonts w:ascii="Helvetica Neue" w:hAnsi="Helvetica Neue"/>
          <w:vertAlign w:val="superscript"/>
        </w:rPr>
        <w:t>2</w:t>
      </w:r>
      <w:r>
        <w:rPr>
          <w:rFonts w:ascii="Helvetica Neue" w:hAnsi="Helvetica Neue"/>
        </w:rPr>
        <w:t xml:space="preserve">, </w:t>
      </w:r>
      <w:proofErr w:type="spellStart"/>
      <w:r w:rsidR="00180D33" w:rsidRPr="00180D33">
        <w:rPr>
          <w:rFonts w:ascii="Helvetica Neue" w:hAnsi="Helvetica Neue"/>
        </w:rPr>
        <w:t>Kadambanathan</w:t>
      </w:r>
      <w:proofErr w:type="spellEnd"/>
      <w:r w:rsidR="00180D33" w:rsidRPr="00180D33">
        <w:rPr>
          <w:rFonts w:ascii="Helvetica Neue" w:hAnsi="Helvetica Neue"/>
        </w:rPr>
        <w:t xml:space="preserve"> Kunasekaran</w:t>
      </w:r>
      <w:r w:rsidR="00180D33" w:rsidRPr="00180D33">
        <w:rPr>
          <w:rFonts w:ascii="Helvetica Neue" w:hAnsi="Helvetica Neue"/>
          <w:vertAlign w:val="superscript"/>
        </w:rPr>
        <w:t>3</w:t>
      </w:r>
      <w:r w:rsidR="009E6A5A">
        <w:rPr>
          <w:rFonts w:ascii="Helvetica Neue" w:hAnsi="Helvetica Neue"/>
        </w:rPr>
        <w:t xml:space="preserve">, </w:t>
      </w:r>
      <w:r w:rsidR="009E6A5A" w:rsidRPr="009E6A5A">
        <w:rPr>
          <w:rFonts w:ascii="Helvetica Neue" w:hAnsi="Helvetica Neue"/>
        </w:rPr>
        <w:t>Kumar Manimaran</w:t>
      </w:r>
      <w:r w:rsidR="009E6A5A" w:rsidRPr="009E6A5A">
        <w:rPr>
          <w:rFonts w:ascii="Helvetica Neue" w:hAnsi="Helvetica Neue"/>
          <w:vertAlign w:val="superscript"/>
        </w:rPr>
        <w:t>4</w:t>
      </w:r>
    </w:p>
    <w:p w14:paraId="746CBBD7" w14:textId="574C9087" w:rsidR="00823388" w:rsidRDefault="00823388" w:rsidP="00EB6593">
      <w:pPr>
        <w:spacing w:line="480" w:lineRule="auto"/>
        <w:jc w:val="center"/>
        <w:rPr>
          <w:rFonts w:ascii="Helvetica Neue" w:hAnsi="Helvetica Neue"/>
        </w:rPr>
      </w:pPr>
      <w:r w:rsidRPr="000F7657">
        <w:rPr>
          <w:rFonts w:ascii="Helvetica Neue" w:hAnsi="Helvetica Neue"/>
          <w:vertAlign w:val="superscript"/>
        </w:rPr>
        <w:t>1</w:t>
      </w:r>
      <w:r w:rsidRPr="00823388">
        <w:rPr>
          <w:rFonts w:ascii="Helvetica Neue" w:hAnsi="Helvetica Neue"/>
        </w:rPr>
        <w:t>Department of Environmental Science and Engineering, SRM University-AP, Amaravati 522240, Andhra Pradesh, India.</w:t>
      </w:r>
    </w:p>
    <w:p w14:paraId="1F85C292" w14:textId="00843B4F" w:rsidR="00823388" w:rsidRDefault="000F7657" w:rsidP="00EB6593">
      <w:pPr>
        <w:spacing w:line="480" w:lineRule="auto"/>
        <w:jc w:val="center"/>
        <w:rPr>
          <w:rFonts w:ascii="Helvetica Neue" w:hAnsi="Helvetica Neue"/>
        </w:rPr>
      </w:pPr>
      <w:r w:rsidRPr="000F7657">
        <w:rPr>
          <w:rFonts w:ascii="Helvetica Neue" w:hAnsi="Helvetica Neue"/>
          <w:vertAlign w:val="superscript"/>
        </w:rPr>
        <w:t>2</w:t>
      </w:r>
      <w:r w:rsidR="00823388" w:rsidRPr="00823388">
        <w:rPr>
          <w:rFonts w:ascii="Helvetica Neue" w:hAnsi="Helvetica Neue"/>
        </w:rPr>
        <w:t>Department of Chemical Engineering</w:t>
      </w:r>
      <w:r w:rsidR="00823388">
        <w:rPr>
          <w:rFonts w:ascii="Helvetica Neue" w:hAnsi="Helvetica Neue"/>
        </w:rPr>
        <w:t xml:space="preserve">, </w:t>
      </w:r>
      <w:r w:rsidR="00823388" w:rsidRPr="00823388">
        <w:rPr>
          <w:rFonts w:ascii="Helvetica Neue" w:hAnsi="Helvetica Neue"/>
        </w:rPr>
        <w:t xml:space="preserve">Sri </w:t>
      </w:r>
      <w:proofErr w:type="spellStart"/>
      <w:proofErr w:type="gramStart"/>
      <w:r w:rsidR="00823388" w:rsidRPr="00823388">
        <w:rPr>
          <w:rFonts w:ascii="Helvetica Neue" w:hAnsi="Helvetica Neue"/>
        </w:rPr>
        <w:t>Sivasubramaniya</w:t>
      </w:r>
      <w:proofErr w:type="spellEnd"/>
      <w:r w:rsidR="00823388" w:rsidRPr="00823388">
        <w:rPr>
          <w:rFonts w:ascii="Helvetica Neue" w:hAnsi="Helvetica Neue"/>
        </w:rPr>
        <w:t xml:space="preserve">  Nadar</w:t>
      </w:r>
      <w:proofErr w:type="gramEnd"/>
      <w:r w:rsidR="00823388" w:rsidRPr="00823388">
        <w:rPr>
          <w:rFonts w:ascii="Helvetica Neue" w:hAnsi="Helvetica Neue"/>
        </w:rPr>
        <w:t xml:space="preserve"> College of Engineering (Autonomous)</w:t>
      </w:r>
      <w:r w:rsidR="00823388">
        <w:rPr>
          <w:rFonts w:ascii="Helvetica Neue" w:hAnsi="Helvetica Neue"/>
        </w:rPr>
        <w:t>, Kalavakkam-603110, Tamil Nadu, India.</w:t>
      </w:r>
    </w:p>
    <w:p w14:paraId="2B068D3F" w14:textId="2C0BAA54" w:rsidR="000F7657" w:rsidRDefault="000F7657" w:rsidP="00EB6593">
      <w:pPr>
        <w:spacing w:line="480" w:lineRule="auto"/>
        <w:jc w:val="center"/>
        <w:rPr>
          <w:rFonts w:ascii="Helvetica Neue" w:hAnsi="Helvetica Neue"/>
        </w:rPr>
      </w:pPr>
      <w:r w:rsidRPr="000F7657">
        <w:rPr>
          <w:rFonts w:ascii="Helvetica Neue" w:hAnsi="Helvetica Neue"/>
          <w:vertAlign w:val="superscript"/>
        </w:rPr>
        <w:t>3</w:t>
      </w:r>
      <w:r w:rsidRPr="000F7657">
        <w:rPr>
          <w:rFonts w:ascii="Helvetica Neue" w:hAnsi="Helvetica Neue"/>
        </w:rPr>
        <w:t xml:space="preserve">Department of Chemical Engineering, Agni college of Technology, </w:t>
      </w:r>
      <w:proofErr w:type="spellStart"/>
      <w:r w:rsidRPr="000F7657">
        <w:rPr>
          <w:rFonts w:ascii="Helvetica Neue" w:hAnsi="Helvetica Neue"/>
        </w:rPr>
        <w:t>Thalambur</w:t>
      </w:r>
      <w:proofErr w:type="spellEnd"/>
      <w:r w:rsidRPr="000F7657">
        <w:rPr>
          <w:rFonts w:ascii="Helvetica Neue" w:hAnsi="Helvetica Neue"/>
        </w:rPr>
        <w:t>, Chennai-600130, Tamil</w:t>
      </w:r>
      <w:r w:rsidR="006106A7">
        <w:rPr>
          <w:rFonts w:ascii="Helvetica Neue" w:hAnsi="Helvetica Neue"/>
        </w:rPr>
        <w:t xml:space="preserve"> N</w:t>
      </w:r>
      <w:r w:rsidRPr="000F7657">
        <w:rPr>
          <w:rFonts w:ascii="Helvetica Neue" w:hAnsi="Helvetica Neue"/>
        </w:rPr>
        <w:t>adu, India</w:t>
      </w:r>
      <w:r w:rsidR="005029E6">
        <w:rPr>
          <w:rFonts w:ascii="Helvetica Neue" w:hAnsi="Helvetica Neue"/>
        </w:rPr>
        <w:t>.</w:t>
      </w:r>
    </w:p>
    <w:p w14:paraId="79112FBB" w14:textId="136CF0C4" w:rsidR="009E6A5A" w:rsidRDefault="009E6A5A" w:rsidP="00EB6593">
      <w:pPr>
        <w:spacing w:line="480" w:lineRule="auto"/>
        <w:jc w:val="center"/>
        <w:rPr>
          <w:rFonts w:ascii="Helvetica Neue" w:hAnsi="Helvetica Neue"/>
        </w:rPr>
      </w:pPr>
      <w:r w:rsidRPr="009E6A5A">
        <w:rPr>
          <w:rFonts w:ascii="Helvetica Neue" w:hAnsi="Helvetica Neue"/>
          <w:vertAlign w:val="superscript"/>
        </w:rPr>
        <w:t>4</w:t>
      </w:r>
      <w:r w:rsidRPr="009E6A5A">
        <w:rPr>
          <w:rFonts w:ascii="Helvetica Neue" w:hAnsi="Helvetica Neue"/>
        </w:rPr>
        <w:t>Department of Product Development, Institute of Biotechnology, Saveetha School of Engineering, Saveetha Institute of Medical and Technical Sciences (SIMATS),</w:t>
      </w:r>
      <w:r w:rsidR="00A52BAA">
        <w:rPr>
          <w:rFonts w:ascii="Helvetica Neue" w:hAnsi="Helvetica Neue"/>
        </w:rPr>
        <w:t xml:space="preserve"> </w:t>
      </w:r>
      <w:r w:rsidRPr="009E6A5A">
        <w:rPr>
          <w:rFonts w:ascii="Helvetica Neue" w:hAnsi="Helvetica Neue"/>
        </w:rPr>
        <w:t>Chennai 602105, Tamil Nadu, India</w:t>
      </w:r>
      <w:r w:rsidR="00EC59FE">
        <w:rPr>
          <w:rFonts w:ascii="Helvetica Neue" w:hAnsi="Helvetica Neue"/>
        </w:rPr>
        <w:t>.</w:t>
      </w:r>
    </w:p>
    <w:p w14:paraId="77498E11" w14:textId="7BD1A8ED" w:rsidR="00EC59FE" w:rsidRPr="00C167EE" w:rsidRDefault="00EC59FE" w:rsidP="00EB6593">
      <w:pPr>
        <w:spacing w:line="480" w:lineRule="auto"/>
        <w:jc w:val="center"/>
        <w:rPr>
          <w:rFonts w:ascii="Helvetica Neue" w:hAnsi="Helvetica Neue"/>
        </w:rPr>
      </w:pPr>
      <w:r>
        <w:rPr>
          <w:rFonts w:ascii="Helvetica Neue" w:hAnsi="Helvetica Neue"/>
        </w:rPr>
        <w:t>Corresponding Email: rajendraprasad.m@srmap.edu.in</w:t>
      </w:r>
    </w:p>
    <w:p w14:paraId="031ABA1B" w14:textId="5DB973AE" w:rsidR="00C167EE" w:rsidRPr="009976E1" w:rsidRDefault="00C167EE" w:rsidP="00EB6593">
      <w:pPr>
        <w:spacing w:line="480" w:lineRule="auto"/>
        <w:jc w:val="both"/>
        <w:rPr>
          <w:rFonts w:ascii="Helvetica Neue" w:hAnsi="Helvetica Neue"/>
          <w:b/>
          <w:bCs/>
        </w:rPr>
      </w:pPr>
      <w:r w:rsidRPr="009976E1">
        <w:rPr>
          <w:rFonts w:ascii="Helvetica Neue" w:hAnsi="Helvetica Neue"/>
          <w:b/>
          <w:bCs/>
        </w:rPr>
        <w:t>Abstract</w:t>
      </w:r>
    </w:p>
    <w:p w14:paraId="5C038425" w14:textId="6D0DCC14"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Ecosystem collapse poses irreversible risks to biodiversity, carbon storage, and human livelihoods, yet reliable advance detection remains elusive. Classical early warning signals based on critical slowing down theory examine only univariate time series, missing the multi-variable interactions that drive real-world transitions. Here we present a causal early warning framework that pairs a Temporal Convolutional Network with </w:t>
      </w:r>
      <w:proofErr w:type="spellStart"/>
      <w:r w:rsidRPr="00C167EE">
        <w:rPr>
          <w:rFonts w:ascii="Helvetica Neue" w:hAnsi="Helvetica Neue"/>
        </w:rPr>
        <w:t>multihead</w:t>
      </w:r>
      <w:proofErr w:type="spellEnd"/>
      <w:r w:rsidRPr="00C167EE">
        <w:rPr>
          <w:rFonts w:ascii="Helvetica Neue" w:hAnsi="Helvetica Neue"/>
        </w:rPr>
        <w:t xml:space="preserve"> self-attention, trained on 24 years of multi-source Earth observation data spanning the Amazon Rainforest, Sahel Drylands, and East African savannas. Five-fold cross-validation against nine documented collapse events yields </w:t>
      </w:r>
      <w:r w:rsidRPr="00C167EE">
        <w:rPr>
          <w:rFonts w:ascii="Helvetica Neue" w:hAnsi="Helvetica Neue"/>
        </w:rPr>
        <w:lastRenderedPageBreak/>
        <w:t>AUC = 0.883, exceeding logistic regression (0.560), gradient boosting (0.575), and LSTM (0.686) baselines evaluated by leave-one-event-out. Causal discovery identifies temperature anomaly as the dominant driver of vegetation decline across all three biomes, preceding collapse by 1</w:t>
      </w:r>
      <w:r w:rsidR="009976E1">
        <w:rPr>
          <w:rFonts w:ascii="Helvetica Neue" w:hAnsi="Helvetica Neue"/>
        </w:rPr>
        <w:t>-</w:t>
      </w:r>
      <w:r w:rsidRPr="00C167EE">
        <w:rPr>
          <w:rFonts w:ascii="Helvetica Neue" w:hAnsi="Helvetica Neue"/>
        </w:rPr>
        <w:t>3 months. Spatially, 73</w:t>
      </w:r>
      <w:r w:rsidR="009976E1">
        <w:rPr>
          <w:rFonts w:ascii="Helvetica Neue" w:hAnsi="Helvetica Neue"/>
        </w:rPr>
        <w:t>-</w:t>
      </w:r>
      <w:r w:rsidRPr="00C167EE">
        <w:rPr>
          <w:rFonts w:ascii="Helvetica Neue" w:hAnsi="Helvetica Neue"/>
        </w:rPr>
        <w:t>77% of pixels show 90th-percentile risk above 0.6. This framework is deployable operationally with near-real-time satellite data.</w:t>
      </w:r>
    </w:p>
    <w:p w14:paraId="7EEC9179" w14:textId="11EAEE76" w:rsidR="00C167EE" w:rsidRPr="009976E1" w:rsidRDefault="00C167EE" w:rsidP="00EB6593">
      <w:pPr>
        <w:spacing w:line="480" w:lineRule="auto"/>
        <w:jc w:val="both"/>
        <w:rPr>
          <w:rFonts w:ascii="Helvetica Neue" w:hAnsi="Helvetica Neue"/>
          <w:b/>
          <w:bCs/>
        </w:rPr>
      </w:pPr>
      <w:r w:rsidRPr="009976E1">
        <w:rPr>
          <w:rFonts w:ascii="Helvetica Neue" w:hAnsi="Helvetica Neue"/>
          <w:b/>
          <w:bCs/>
        </w:rPr>
        <w:t>Introduction</w:t>
      </w:r>
    </w:p>
    <w:p w14:paraId="0F7EA8FF" w14:textId="6C4B1D41" w:rsidR="00C167EE" w:rsidRPr="00C167EE" w:rsidRDefault="00C167EE" w:rsidP="00EB6593">
      <w:pPr>
        <w:spacing w:line="480" w:lineRule="auto"/>
        <w:jc w:val="both"/>
        <w:rPr>
          <w:rFonts w:ascii="Helvetica Neue" w:hAnsi="Helvetica Neue"/>
        </w:rPr>
      </w:pPr>
      <w:r w:rsidRPr="00C167EE">
        <w:rPr>
          <w:rFonts w:ascii="Helvetica Neue" w:hAnsi="Helvetica Neue"/>
        </w:rPr>
        <w:t>Ecosystem collapse the abrupt, potentially irreversible transition to a fundamentally different state represents one of the most consequential risks of rapid climate change</w:t>
      </w:r>
      <w:r w:rsidR="00D95C04" w:rsidRPr="00D95C04">
        <w:rPr>
          <w:rFonts w:ascii="Helvetica Neue" w:hAnsi="Helvetica Neue" w:cs="Cambria"/>
          <w:vertAlign w:val="superscript"/>
        </w:rPr>
        <w:t>1</w:t>
      </w:r>
      <w:r w:rsidRPr="00C167EE">
        <w:rPr>
          <w:rFonts w:ascii="Helvetica Neue" w:hAnsi="Helvetica Neue"/>
        </w:rPr>
        <w:t>. Unlike gradual degradation, collapse transitions are nonlinear: systems appear stable until a critical threshold is crossed, after which recovery becomes extremely difficult or impossible</w:t>
      </w:r>
      <w:r w:rsidR="00D95C04" w:rsidRPr="00D95C04">
        <w:rPr>
          <w:rFonts w:ascii="Helvetica Neue" w:hAnsi="Helvetica Neue" w:cs="Cambria"/>
          <w:vertAlign w:val="superscript"/>
        </w:rPr>
        <w:t>2</w:t>
      </w:r>
      <w:r w:rsidRPr="00C167EE">
        <w:rPr>
          <w:rFonts w:ascii="Helvetica Neue" w:hAnsi="Helvetica Neue"/>
        </w:rPr>
        <w:t>. The Amazon rainforest, Sahel drylands, and East African savannas collectively store billions of tonnes of carbon, support hundreds of millions of people, and regulate continental water and energy cycles</w:t>
      </w:r>
      <w:r w:rsidR="00066E92" w:rsidRPr="00066E92">
        <w:rPr>
          <w:rFonts w:ascii="Helvetica Neue" w:hAnsi="Helvetica Neue"/>
          <w:vertAlign w:val="superscript"/>
        </w:rPr>
        <w:t>3</w:t>
      </w:r>
      <w:r w:rsidRPr="00C167EE">
        <w:rPr>
          <w:rFonts w:ascii="Helvetica Neue" w:hAnsi="Helvetica Neue"/>
        </w:rPr>
        <w:t>. All three are under accelerating pressure from warming temperatures, altered precipitation regimes, and land-use change</w:t>
      </w:r>
      <w:r w:rsidR="009976E1" w:rsidRPr="009976E1">
        <w:rPr>
          <w:rFonts w:ascii="Helvetica Neue" w:hAnsi="Helvetica Neue" w:cs="Cambria Math"/>
          <w:vertAlign w:val="superscript"/>
        </w:rPr>
        <w:t>4-6</w:t>
      </w:r>
      <w:r w:rsidRPr="00C167EE">
        <w:rPr>
          <w:rFonts w:ascii="Helvetica Neue" w:hAnsi="Helvetica Neue"/>
        </w:rPr>
        <w:t>.</w:t>
      </w:r>
    </w:p>
    <w:p w14:paraId="0925F5A3" w14:textId="3BA14541" w:rsidR="00C167EE" w:rsidRPr="00C167EE" w:rsidRDefault="00C167EE" w:rsidP="00EB6593">
      <w:pPr>
        <w:spacing w:line="480" w:lineRule="auto"/>
        <w:jc w:val="both"/>
        <w:rPr>
          <w:rFonts w:ascii="Helvetica Neue" w:hAnsi="Helvetica Neue"/>
        </w:rPr>
      </w:pPr>
      <w:r w:rsidRPr="00C167EE">
        <w:rPr>
          <w:rFonts w:ascii="Helvetica Neue" w:hAnsi="Helvetica Neue"/>
        </w:rPr>
        <w:t>Early Warning Signals (EWS) based on critical slowing down theory offer a principled approach to detecting approaching tipping points: as a system nears a bifurcation, its recovery from perturbations slows, manifesting as rising variance and lag-1 autocorrelation in observed time series</w:t>
      </w:r>
      <w:r w:rsidR="00B52031" w:rsidRPr="00B52031">
        <w:rPr>
          <w:rFonts w:ascii="Helvetica Neue" w:hAnsi="Helvetica Neue" w:cs="Cambria Math"/>
          <w:vertAlign w:val="superscript"/>
        </w:rPr>
        <w:t>7</w:t>
      </w:r>
      <w:r w:rsidRPr="00C167EE">
        <w:rPr>
          <w:rFonts w:ascii="Helvetica Neue" w:hAnsi="Helvetica Neue"/>
        </w:rPr>
        <w:t>. These indicators have been validated in controlled experiments and retrospective analyses of documented transitions</w:t>
      </w:r>
      <w:r w:rsidR="00B52031" w:rsidRPr="00B52031">
        <w:rPr>
          <w:rFonts w:ascii="Helvetica Neue" w:hAnsi="Helvetica Neue" w:cs="Cambria Math"/>
          <w:vertAlign w:val="superscript"/>
        </w:rPr>
        <w:t>8-9</w:t>
      </w:r>
      <w:r w:rsidRPr="00C167EE">
        <w:rPr>
          <w:rFonts w:ascii="Helvetica Neue" w:hAnsi="Helvetica Neue"/>
        </w:rPr>
        <w:t xml:space="preserve">. However, classical EWS methods carry three structural limitations: they operate on single univariate time series; they require subjective window-length selection; and they </w:t>
      </w:r>
      <w:r w:rsidRPr="00C167EE">
        <w:rPr>
          <w:rFonts w:ascii="Helvetica Neue" w:hAnsi="Helvetica Neue"/>
        </w:rPr>
        <w:lastRenderedPageBreak/>
        <w:t>cannot distinguish causal drivers from correlated responses, a critical gap when management intervention is the goal</w:t>
      </w:r>
      <w:r w:rsidR="00D448B4" w:rsidRPr="00D448B4">
        <w:rPr>
          <w:rFonts w:ascii="Helvetica Neue" w:hAnsi="Helvetica Neue" w:cs="Cambria"/>
          <w:vertAlign w:val="superscript"/>
        </w:rPr>
        <w:t>10</w:t>
      </w:r>
      <w:r w:rsidRPr="00C167EE">
        <w:rPr>
          <w:rFonts w:ascii="Helvetica Neue" w:hAnsi="Helvetica Neue"/>
        </w:rPr>
        <w:t>.</w:t>
      </w:r>
    </w:p>
    <w:p w14:paraId="104D2E22" w14:textId="77777777" w:rsidR="00C167EE" w:rsidRPr="00C167EE" w:rsidRDefault="00C167EE" w:rsidP="00EB6593">
      <w:pPr>
        <w:spacing w:line="480" w:lineRule="auto"/>
        <w:jc w:val="both"/>
        <w:rPr>
          <w:rFonts w:ascii="Helvetica Neue" w:hAnsi="Helvetica Neue"/>
        </w:rPr>
      </w:pPr>
    </w:p>
    <w:p w14:paraId="2DFB57B3" w14:textId="57678B20" w:rsidR="00C167EE" w:rsidRPr="00C167EE" w:rsidRDefault="00C167EE" w:rsidP="00EB6593">
      <w:pPr>
        <w:spacing w:line="480" w:lineRule="auto"/>
        <w:jc w:val="both"/>
        <w:rPr>
          <w:rFonts w:ascii="Helvetica Neue" w:hAnsi="Helvetica Neue"/>
        </w:rPr>
      </w:pPr>
      <w:r w:rsidRPr="00C167EE">
        <w:rPr>
          <w:rFonts w:ascii="Helvetica Neue" w:hAnsi="Helvetica Neue"/>
        </w:rPr>
        <w:t>Machine learning opens a path beyond these constraints. Deep learning architectures trained on multivariate spatiotemporal observations simultaneously capture signals from vegetation indices, land surface temperature, evapotranspiration, soil moisture, and climate variables, learning nonlinear cross-variable interactions invisible to univariate methods</w:t>
      </w:r>
      <w:r w:rsidR="00B52031" w:rsidRPr="00B52031">
        <w:rPr>
          <w:rFonts w:ascii="Helvetica Neue" w:hAnsi="Helvetica Neue" w:cs="Cambria"/>
          <w:vertAlign w:val="superscript"/>
        </w:rPr>
        <w:t>11</w:t>
      </w:r>
      <w:r w:rsidRPr="00C167EE">
        <w:rPr>
          <w:rFonts w:ascii="Helvetica Neue" w:hAnsi="Helvetica Neue"/>
        </w:rPr>
        <w:t>. Temporal convolutional networks (TCNs) with dilated causal convolutions are particularly well suited: they handle long-range temporal dependencies without leaking information from future timesteps, and their receptive field grows exponentially with depth, enabling detection of slow-onset trends alongside rapid fluctuations</w:t>
      </w:r>
      <w:r w:rsidR="00B52031" w:rsidRPr="00B52031">
        <w:rPr>
          <w:rFonts w:ascii="Helvetica Neue" w:hAnsi="Helvetica Neue" w:cs="Cambria"/>
          <w:vertAlign w:val="superscript"/>
        </w:rPr>
        <w:t>12</w:t>
      </w:r>
      <w:r w:rsidRPr="00C167EE">
        <w:rPr>
          <w:rFonts w:ascii="Helvetica Neue" w:hAnsi="Helvetica Neue"/>
        </w:rPr>
        <w:t>.</w:t>
      </w:r>
    </w:p>
    <w:p w14:paraId="6AC98E53" w14:textId="0399C491" w:rsidR="00C167EE" w:rsidRPr="00C167EE" w:rsidRDefault="00C167EE" w:rsidP="00EB6593">
      <w:pPr>
        <w:spacing w:line="480" w:lineRule="auto"/>
        <w:jc w:val="both"/>
        <w:rPr>
          <w:rFonts w:ascii="Helvetica Neue" w:hAnsi="Helvetica Neue"/>
        </w:rPr>
      </w:pPr>
      <w:r w:rsidRPr="00C167EE">
        <w:rPr>
          <w:rFonts w:ascii="Helvetica Neue" w:hAnsi="Helvetica Neue"/>
        </w:rPr>
        <w:t>Causal discovery complements prediction with attribution. The PCMCI+ algorithm recovers time-lagged causal graphs from autocorrelated multivariate time series while controlling for indirect paths that confound correlation-based inference</w:t>
      </w:r>
      <w:r w:rsidR="00B31118" w:rsidRPr="00B31118">
        <w:rPr>
          <w:rFonts w:ascii="Helvetica Neue" w:hAnsi="Helvetica Neue" w:cs="Cambria"/>
          <w:vertAlign w:val="superscript"/>
        </w:rPr>
        <w:t>13</w:t>
      </w:r>
      <w:r w:rsidRPr="00C167EE">
        <w:rPr>
          <w:rFonts w:ascii="Helvetica Neue" w:hAnsi="Helvetica Neue"/>
        </w:rPr>
        <w:t>. Applied here, PCMCI+ quantifies not merely whether warning signals are present, but which climate drivers are causally responsible directly informing policy intervention</w:t>
      </w:r>
    </w:p>
    <w:p w14:paraId="4E710C73" w14:textId="230A72E5" w:rsidR="00C167EE" w:rsidRPr="00C167EE" w:rsidRDefault="00C167EE" w:rsidP="00EB6593">
      <w:pPr>
        <w:spacing w:line="480" w:lineRule="auto"/>
        <w:jc w:val="both"/>
        <w:rPr>
          <w:rFonts w:ascii="Helvetica Neue" w:hAnsi="Helvetica Neue"/>
        </w:rPr>
      </w:pPr>
      <w:r w:rsidRPr="00C167EE">
        <w:rPr>
          <w:rFonts w:ascii="Helvetica Neue" w:hAnsi="Helvetica Neue"/>
        </w:rPr>
        <w:t>Here we integrate these advances in a unified framework across three biomes, demonstrating that a multivariate deep learning EWS detector substantially outperforms classical and machine</w:t>
      </w:r>
      <w:r w:rsidR="00D871BD">
        <w:rPr>
          <w:rFonts w:ascii="Helvetica Neue" w:hAnsi="Helvetica Neue"/>
        </w:rPr>
        <w:t>-</w:t>
      </w:r>
      <w:r w:rsidRPr="00C167EE">
        <w:rPr>
          <w:rFonts w:ascii="Helvetica Neue" w:hAnsi="Helvetica Neue"/>
        </w:rPr>
        <w:t>learning baselines, that causal discovery reveals consistent climate</w:t>
      </w:r>
      <w:r w:rsidR="00D871BD">
        <w:rPr>
          <w:rFonts w:ascii="Helvetica Neue" w:hAnsi="Helvetica Neue"/>
        </w:rPr>
        <w:t>-</w:t>
      </w:r>
      <w:r w:rsidRPr="00C167EE">
        <w:rPr>
          <w:rFonts w:ascii="Helvetica Neue" w:hAnsi="Helvetica Neue"/>
        </w:rPr>
        <w:t>vegetation coupling pathways, and that spatially explicit risk maps align with independent humanitarian evidence.</w:t>
      </w:r>
    </w:p>
    <w:p w14:paraId="6B6CFBFA" w14:textId="36EEAA70" w:rsidR="00C167EE" w:rsidRPr="0041092A" w:rsidRDefault="00C167EE" w:rsidP="00EB6593">
      <w:pPr>
        <w:spacing w:line="480" w:lineRule="auto"/>
        <w:jc w:val="both"/>
        <w:rPr>
          <w:rFonts w:ascii="Helvetica Neue" w:hAnsi="Helvetica Neue"/>
          <w:b/>
          <w:bCs/>
        </w:rPr>
      </w:pPr>
      <w:r w:rsidRPr="0041092A">
        <w:rPr>
          <w:rFonts w:ascii="Helvetica Neue" w:hAnsi="Helvetica Neue"/>
          <w:b/>
          <w:bCs/>
        </w:rPr>
        <w:t>Results</w:t>
      </w:r>
    </w:p>
    <w:p w14:paraId="08555AE6" w14:textId="7D0D4DAC" w:rsidR="00C167EE" w:rsidRPr="0041092A" w:rsidRDefault="00C167EE" w:rsidP="00EB6593">
      <w:pPr>
        <w:spacing w:line="480" w:lineRule="auto"/>
        <w:jc w:val="both"/>
        <w:rPr>
          <w:rFonts w:ascii="Helvetica Neue" w:hAnsi="Helvetica Neue"/>
          <w:b/>
          <w:bCs/>
        </w:rPr>
      </w:pPr>
      <w:r w:rsidRPr="0041092A">
        <w:rPr>
          <w:rFonts w:ascii="Helvetica Neue" w:hAnsi="Helvetica Neue"/>
          <w:b/>
          <w:bCs/>
        </w:rPr>
        <w:t>Multi-source Earth Observation Dataset</w:t>
      </w:r>
    </w:p>
    <w:p w14:paraId="31AEDA92" w14:textId="75EE37BE" w:rsidR="00C167EE" w:rsidRPr="00C167EE" w:rsidRDefault="00C167EE" w:rsidP="00EB6593">
      <w:pPr>
        <w:spacing w:line="480" w:lineRule="auto"/>
        <w:jc w:val="both"/>
        <w:rPr>
          <w:rFonts w:ascii="Helvetica Neue" w:hAnsi="Helvetica Neue"/>
        </w:rPr>
      </w:pPr>
      <w:r w:rsidRPr="00C167EE">
        <w:rPr>
          <w:rFonts w:ascii="Helvetica Neue" w:hAnsi="Helvetica Neue"/>
        </w:rPr>
        <w:lastRenderedPageBreak/>
        <w:t>We assembled a 24-year (2000–2023) monthly dataset combining four MODIS products MOD13A3 v6.1 (NDVI/EVI), MOD11A2 v6.1 (land surface temperature), MOD16A2GF v6.1 (gap-filled evapotranspiration), MCD64A1 v6.1 (burned area)</w:t>
      </w:r>
      <w:r w:rsidR="0041092A">
        <w:rPr>
          <w:rFonts w:ascii="Helvetica Neue" w:hAnsi="Helvetica Neue" w:cs="Cambria"/>
          <w:vertAlign w:val="superscript"/>
        </w:rPr>
        <w:t>15-18</w:t>
      </w:r>
      <w:r w:rsidRPr="00C167EE">
        <w:rPr>
          <w:rFonts w:ascii="Helvetica Neue" w:hAnsi="Helvetica Neue"/>
        </w:rPr>
        <w:t xml:space="preserve"> ERA5 reanalysis</w:t>
      </w:r>
      <w:r w:rsidR="0041092A" w:rsidRPr="0041092A">
        <w:rPr>
          <w:rFonts w:ascii="Helvetica Neue" w:hAnsi="Helvetica Neue" w:cs="Cambria"/>
          <w:vertAlign w:val="superscript"/>
        </w:rPr>
        <w:t>19</w:t>
      </w:r>
      <w:r w:rsidRPr="00C167EE">
        <w:rPr>
          <w:rFonts w:ascii="Helvetica Neue" w:hAnsi="Helvetica Neue"/>
        </w:rPr>
        <w:t xml:space="preserve"> (precipitation, 2 m temperature, potential evapotranspiration, soil water), and ESA CCI Combined Soil Moisture v8.1</w:t>
      </w:r>
      <w:r w:rsidR="0053728D" w:rsidRPr="0053728D">
        <w:rPr>
          <w:rFonts w:ascii="Helvetica Neue" w:hAnsi="Helvetica Neue" w:cs="Cambria"/>
          <w:vertAlign w:val="superscript"/>
        </w:rPr>
        <w:t>20</w:t>
      </w:r>
      <w:r w:rsidRPr="00C167EE">
        <w:rPr>
          <w:rFonts w:ascii="Helvetica Neue" w:hAnsi="Helvetica Neue"/>
        </w:rPr>
        <w:t>. All variables were standardised to a 0.05</w:t>
      </w:r>
      <w:r w:rsidRPr="00C167EE">
        <w:rPr>
          <w:rFonts w:ascii="Helvetica Neue" w:hAnsi="Helvetica Neue" w:cs="Harrington"/>
        </w:rPr>
        <w:t>°</w:t>
      </w:r>
      <w:r w:rsidRPr="00C167EE">
        <w:rPr>
          <w:rFonts w:ascii="Helvetica Neue" w:hAnsi="Helvetica Neue"/>
        </w:rPr>
        <w:t xml:space="preserve"> (~5.5 km) grid and monthly temporal resolution, yielding 14 variables </w:t>
      </w:r>
      <w:r w:rsidRPr="00C167EE">
        <w:rPr>
          <w:rFonts w:ascii="Helvetica Neue" w:hAnsi="Helvetica Neue" w:cs="Harrington"/>
        </w:rPr>
        <w:t>×</w:t>
      </w:r>
      <w:r w:rsidRPr="00C167EE">
        <w:rPr>
          <w:rFonts w:ascii="Helvetica Neue" w:hAnsi="Helvetica Neue"/>
        </w:rPr>
        <w:t xml:space="preserve"> </w:t>
      </w:r>
      <w:proofErr w:type="gramStart"/>
      <w:r w:rsidRPr="00C167EE">
        <w:rPr>
          <w:rFonts w:ascii="Helvetica Neue" w:hAnsi="Helvetica Neue"/>
        </w:rPr>
        <w:t>288 time</w:t>
      </w:r>
      <w:proofErr w:type="gramEnd"/>
      <w:r w:rsidRPr="00C167EE">
        <w:rPr>
          <w:rFonts w:ascii="Helvetica Neue" w:hAnsi="Helvetica Neue"/>
        </w:rPr>
        <w:t xml:space="preserve"> steps. The merged dataset spans 248,094 pixels (Amazon), 217,593 (Sahel), and 98,526 (East Africa).</w:t>
      </w:r>
    </w:p>
    <w:p w14:paraId="5905DA90" w14:textId="20BB9B44" w:rsidR="00C167EE" w:rsidRPr="0041092A" w:rsidRDefault="00C167EE" w:rsidP="00EB6593">
      <w:pPr>
        <w:spacing w:line="480" w:lineRule="auto"/>
        <w:jc w:val="both"/>
        <w:rPr>
          <w:rFonts w:ascii="Helvetica Neue" w:hAnsi="Helvetica Neue"/>
          <w:b/>
          <w:bCs/>
        </w:rPr>
      </w:pPr>
      <w:r w:rsidRPr="0041092A">
        <w:rPr>
          <w:rFonts w:ascii="Helvetica Neue" w:hAnsi="Helvetica Neue"/>
          <w:b/>
          <w:bCs/>
        </w:rPr>
        <w:t>Classical EWS Baseline</w:t>
      </w:r>
    </w:p>
    <w:p w14:paraId="713EE0A8" w14:textId="3202D6B0"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Regional time series were first </w:t>
      </w:r>
      <w:proofErr w:type="spellStart"/>
      <w:r w:rsidRPr="00C167EE">
        <w:rPr>
          <w:rFonts w:ascii="Helvetica Neue" w:hAnsi="Helvetica Neue"/>
        </w:rPr>
        <w:t>deseasonalised</w:t>
      </w:r>
      <w:proofErr w:type="spellEnd"/>
      <w:r w:rsidRPr="00C167EE">
        <w:rPr>
          <w:rFonts w:ascii="Helvetica Neue" w:hAnsi="Helvetica Neue"/>
        </w:rPr>
        <w:t xml:space="preserve"> using STL decomposition</w:t>
      </w:r>
      <w:r w:rsidR="0012772F" w:rsidRPr="0012772F">
        <w:rPr>
          <w:rFonts w:ascii="Helvetica Neue" w:hAnsi="Helvetica Neue" w:cs="Cambria"/>
          <w:vertAlign w:val="superscript"/>
        </w:rPr>
        <w:t>21</w:t>
      </w:r>
      <w:r w:rsidRPr="00C167EE">
        <w:rPr>
          <w:rFonts w:ascii="Helvetica Neue" w:hAnsi="Helvetica Neue"/>
        </w:rPr>
        <w:t xml:space="preserve"> and detrended with a Gaussian kernel smoother before computing 50-month rolling variance and lag-1 autocorrelation (Fig. 2). Statistical significance was assessed by block-bootstrapped Mann</w:t>
      </w:r>
      <w:r w:rsidR="0012772F">
        <w:rPr>
          <w:rFonts w:ascii="Helvetica Neue" w:hAnsi="Helvetica Neue" w:cs="Harrington"/>
        </w:rPr>
        <w:t>-</w:t>
      </w:r>
      <w:r w:rsidRPr="00C167EE">
        <w:rPr>
          <w:rFonts w:ascii="Helvetica Neue" w:hAnsi="Helvetica Neue"/>
        </w:rPr>
        <w:t>Kendall tests</w:t>
      </w:r>
      <w:r w:rsidR="0012772F" w:rsidRPr="0012772F">
        <w:rPr>
          <w:rFonts w:ascii="Helvetica Neue" w:hAnsi="Helvetica Neue" w:cs="Cambria"/>
          <w:vertAlign w:val="superscript"/>
        </w:rPr>
        <w:t>22</w:t>
      </w:r>
      <w:r w:rsidRPr="00C167EE">
        <w:rPr>
          <w:rFonts w:ascii="Helvetica Neue" w:hAnsi="Helvetica Neue"/>
        </w:rPr>
        <w:t xml:space="preserve"> (500 resamples; block size </w:t>
      </w:r>
      <w:r w:rsidRPr="00C167EE">
        <w:rPr>
          <w:rFonts w:ascii="Helvetica Neue" w:hAnsi="Helvetica Neue" w:cs="Harrington"/>
        </w:rPr>
        <w:t>√</w:t>
      </w:r>
      <w:r w:rsidRPr="00C167EE">
        <w:rPr>
          <w:rFonts w:ascii="Helvetica Neue" w:hAnsi="Helvetica Neue"/>
        </w:rPr>
        <w:t>n) to account for autocorrelation in overlapping windows a known source of inflated p-values in classical EWS analyses</w:t>
      </w:r>
      <w:r w:rsidR="001725EE">
        <w:rPr>
          <w:rFonts w:ascii="Helvetica Neue" w:hAnsi="Helvetica Neue" w:cs="Cambria"/>
          <w:vertAlign w:val="superscript"/>
        </w:rPr>
        <w:t>23</w:t>
      </w:r>
      <w:r w:rsidRPr="00C167EE">
        <w:rPr>
          <w:rFonts w:ascii="Helvetica Neue" w:hAnsi="Helvetica Neue"/>
        </w:rPr>
        <w:t>. Across 58 sub-regions and 8 variables, 155 region</w:t>
      </w:r>
      <w:r w:rsidR="001725EE">
        <w:rPr>
          <w:rFonts w:ascii="Helvetica Neue" w:hAnsi="Helvetica Neue" w:cs="Harrington"/>
        </w:rPr>
        <w:t>-</w:t>
      </w:r>
      <w:r w:rsidRPr="00C167EE">
        <w:rPr>
          <w:rFonts w:ascii="Helvetica Neue" w:hAnsi="Helvetica Neue"/>
        </w:rPr>
        <w:t xml:space="preserve">variable pairs exhibited statistically significant rising variance (p &lt; 0.05 block-bootstrap, </w:t>
      </w:r>
      <w:r w:rsidRPr="00C167EE">
        <w:rPr>
          <w:rFonts w:ascii="Helvetica Neue" w:hAnsi="Helvetica Neue" w:cs="Cambria"/>
        </w:rPr>
        <w:t>τ</w:t>
      </w:r>
      <w:r w:rsidRPr="00C167EE">
        <w:rPr>
          <w:rFonts w:ascii="Helvetica Neue" w:hAnsi="Helvetica Neue"/>
        </w:rPr>
        <w:t xml:space="preserve"> &gt; 0). East Africa showed the highest mean EWS score (0.257), consistent with its documented multi-year drought trajectory</w:t>
      </w:r>
      <w:r w:rsidR="001725EE" w:rsidRPr="001725EE">
        <w:rPr>
          <w:rFonts w:ascii="Helvetica Neue" w:hAnsi="Helvetica Neue" w:cs="Cambria"/>
          <w:vertAlign w:val="superscript"/>
        </w:rPr>
        <w:t>24</w:t>
      </w:r>
      <w:r w:rsidRPr="00C167EE">
        <w:rPr>
          <w:rFonts w:ascii="Helvetica Neue" w:hAnsi="Helvetica Neue"/>
        </w:rPr>
        <w:t>. Classical EWS detected pre-event signals in 7 of 9 documented stress events but could not attribute drivers or model cross-variable interactions.</w:t>
      </w:r>
    </w:p>
    <w:p w14:paraId="14B412C3" w14:textId="31F2F42E" w:rsidR="00C167EE" w:rsidRPr="001725EE" w:rsidRDefault="00C167EE" w:rsidP="00EB6593">
      <w:pPr>
        <w:spacing w:line="480" w:lineRule="auto"/>
        <w:jc w:val="both"/>
        <w:rPr>
          <w:rFonts w:ascii="Helvetica Neue" w:hAnsi="Helvetica Neue"/>
          <w:b/>
          <w:bCs/>
        </w:rPr>
      </w:pPr>
      <w:r w:rsidRPr="001725EE">
        <w:rPr>
          <w:rFonts w:ascii="Helvetica Neue" w:hAnsi="Helvetica Neue"/>
          <w:b/>
          <w:bCs/>
        </w:rPr>
        <w:t>Deep Learning EWS Detector</w:t>
      </w:r>
    </w:p>
    <w:p w14:paraId="53B16B77" w14:textId="4E7EC396"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The TCN detector processes 60-month multivariate windows across all 14 input variables (Fig. 3a). Four dilated causal convolutional blocks (dilation factors 1, 2, 4, 8; kernel size 3) provide a receptive field spanning the full input window without leaking </w:t>
      </w:r>
      <w:r w:rsidRPr="00C167EE">
        <w:rPr>
          <w:rFonts w:ascii="Helvetica Neue" w:hAnsi="Helvetica Neue"/>
        </w:rPr>
        <w:lastRenderedPageBreak/>
        <w:t>future information. A four-head self-attention layer (</w:t>
      </w:r>
      <w:proofErr w:type="spellStart"/>
      <w:r w:rsidRPr="00C167EE">
        <w:rPr>
          <w:rFonts w:ascii="Helvetica Neue" w:hAnsi="Helvetica Neue"/>
        </w:rPr>
        <w:t>embed</w:t>
      </w:r>
      <w:r w:rsidRPr="00EE47FF">
        <w:rPr>
          <w:rFonts w:ascii="Helvetica Neue" w:hAnsi="Helvetica Neue"/>
          <w:vertAlign w:val="subscript"/>
        </w:rPr>
        <w:t>dim</w:t>
      </w:r>
      <w:proofErr w:type="spellEnd"/>
      <w:r w:rsidRPr="00C167EE">
        <w:rPr>
          <w:rFonts w:ascii="Helvetica Neue" w:hAnsi="Helvetica Neue"/>
        </w:rPr>
        <w:t xml:space="preserve"> = 64) then reweights temporal positions, followed by global average pooling and a sigmoid classifier. Training used weakly supervised labels from 14 documented stress events (Methods), a class-balanced sampler, </w:t>
      </w:r>
      <w:proofErr w:type="spellStart"/>
      <w:r w:rsidRPr="00C167EE">
        <w:rPr>
          <w:rFonts w:ascii="Helvetica Neue" w:hAnsi="Helvetica Neue"/>
        </w:rPr>
        <w:t>AdamW</w:t>
      </w:r>
      <w:proofErr w:type="spellEnd"/>
      <w:r w:rsidRPr="00C167EE">
        <w:rPr>
          <w:rFonts w:ascii="Helvetica Neue" w:hAnsi="Helvetica Neue"/>
        </w:rPr>
        <w:t xml:space="preserve"> optimiser, and OneCycleLR scheduling.</w:t>
      </w:r>
    </w:p>
    <w:p w14:paraId="0E384F26" w14:textId="6777026B"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We evaluated the model under leave-one-event-out (LOEO) cross-validation holding out all windows associated with one event as the test set, with its negative counterparts, and training on the remainder (Fig. 3a). This design prevents temporal leakage between training and test windows, addressing a key concern about optimistic AUC estimates from simple time-based splits. The TCN achieved AUC = 0.883, substantially above all baselines assessed under the same LOEO protocol: Logistic Regression (AUC = 0.560 </w:t>
      </w:r>
      <w:r w:rsidRPr="00C167EE">
        <w:rPr>
          <w:rFonts w:ascii="Helvetica Neue" w:hAnsi="Helvetica Neue" w:cs="Cambria"/>
        </w:rPr>
        <w:t>±</w:t>
      </w:r>
      <w:r w:rsidRPr="00C167EE">
        <w:rPr>
          <w:rFonts w:ascii="Helvetica Neue" w:hAnsi="Helvetica Neue"/>
        </w:rPr>
        <w:t xml:space="preserve"> 0.148), Gradient Boosting (0.575 </w:t>
      </w:r>
      <w:r w:rsidRPr="00C167EE">
        <w:rPr>
          <w:rFonts w:ascii="Helvetica Neue" w:hAnsi="Helvetica Neue" w:cs="Cambria"/>
        </w:rPr>
        <w:t>±</w:t>
      </w:r>
      <w:r w:rsidRPr="00C167EE">
        <w:rPr>
          <w:rFonts w:ascii="Helvetica Neue" w:hAnsi="Helvetica Neue"/>
        </w:rPr>
        <w:t xml:space="preserve"> 0.154), and a two-layer LSTM (0.686 </w:t>
      </w:r>
      <w:r w:rsidRPr="00C167EE">
        <w:rPr>
          <w:rFonts w:ascii="Helvetica Neue" w:hAnsi="Helvetica Neue" w:cs="Cambria"/>
        </w:rPr>
        <w:t>±</w:t>
      </w:r>
      <w:r w:rsidRPr="00C167EE">
        <w:rPr>
          <w:rFonts w:ascii="Helvetica Neue" w:hAnsi="Helvetica Neue"/>
        </w:rPr>
        <w:t xml:space="preserve"> 0.194) (Fig. 3a). Brier scores confirmed calibration (TCN: 0.183 vs. LSTM: 0.229). Temporal feature attribution via Gradient </w:t>
      </w:r>
      <w:r w:rsidRPr="00C167EE">
        <w:rPr>
          <w:rFonts w:ascii="Helvetica Neue" w:hAnsi="Helvetica Neue" w:cs="Harrington"/>
        </w:rPr>
        <w:t>×</w:t>
      </w:r>
      <w:r w:rsidRPr="00C167EE">
        <w:rPr>
          <w:rFonts w:ascii="Helvetica Neue" w:hAnsi="Helvetica Neue"/>
        </w:rPr>
        <w:t xml:space="preserve"> Input</w:t>
      </w:r>
      <w:r w:rsidR="001725EE" w:rsidRPr="001725EE">
        <w:rPr>
          <w:rFonts w:ascii="Helvetica Neue" w:hAnsi="Helvetica Neue" w:cs="Cambria"/>
          <w:vertAlign w:val="superscript"/>
        </w:rPr>
        <w:t>25</w:t>
      </w:r>
      <w:r w:rsidRPr="00C167EE">
        <w:rPr>
          <w:rFonts w:ascii="Helvetica Neue" w:hAnsi="Helvetica Neue"/>
        </w:rPr>
        <w:t xml:space="preserve"> identified temperature (2 m air temperature) as the dominant input, followed by evapotranspiration and land surface temperature (Fig. 3b). NDVI, the conventional EWS indicator, ranked fifth, suggesting thermal and water flux variables carry earlier and stronger warning information than spectral vegetation indices.</w:t>
      </w:r>
    </w:p>
    <w:p w14:paraId="5A8C6579" w14:textId="1B9B6B36" w:rsidR="00C167EE" w:rsidRPr="001725EE" w:rsidRDefault="00C167EE" w:rsidP="00EB6593">
      <w:pPr>
        <w:spacing w:line="480" w:lineRule="auto"/>
        <w:jc w:val="both"/>
        <w:rPr>
          <w:rFonts w:ascii="Helvetica Neue" w:hAnsi="Helvetica Neue"/>
          <w:b/>
          <w:bCs/>
        </w:rPr>
      </w:pPr>
      <w:r w:rsidRPr="001725EE">
        <w:rPr>
          <w:rFonts w:ascii="Helvetica Neue" w:hAnsi="Helvetica Neue"/>
          <w:b/>
          <w:bCs/>
        </w:rPr>
        <w:t>Causal Climate</w:t>
      </w:r>
      <w:r w:rsidR="001725EE" w:rsidRPr="001725EE">
        <w:rPr>
          <w:rFonts w:ascii="Helvetica Neue" w:hAnsi="Helvetica Neue"/>
          <w:b/>
          <w:bCs/>
        </w:rPr>
        <w:t>-</w:t>
      </w:r>
      <w:r w:rsidRPr="001725EE">
        <w:rPr>
          <w:rFonts w:ascii="Helvetica Neue" w:hAnsi="Helvetica Neue"/>
          <w:b/>
          <w:bCs/>
        </w:rPr>
        <w:t>Vegetation Pathways</w:t>
      </w:r>
    </w:p>
    <w:p w14:paraId="28D9BB84" w14:textId="386E82EC" w:rsidR="00C167EE" w:rsidRPr="00C167EE" w:rsidRDefault="00C167EE" w:rsidP="00EB6593">
      <w:pPr>
        <w:spacing w:line="480" w:lineRule="auto"/>
        <w:jc w:val="both"/>
        <w:rPr>
          <w:rFonts w:ascii="Helvetica Neue" w:hAnsi="Helvetica Neue"/>
        </w:rPr>
      </w:pPr>
      <w:r w:rsidRPr="00C167EE">
        <w:rPr>
          <w:rFonts w:ascii="Helvetica Neue" w:hAnsi="Helvetica Neue"/>
        </w:rPr>
        <w:t>PCMCI+ applied to 7-variable regional time series identified 584 statistically significant time-lagged causal links (</w:t>
      </w:r>
      <w:r w:rsidRPr="00C167EE">
        <w:rPr>
          <w:rFonts w:ascii="Helvetica Neue" w:hAnsi="Helvetica Neue" w:cs="Cambria"/>
        </w:rPr>
        <w:t>α</w:t>
      </w:r>
      <w:r w:rsidRPr="00C167EE">
        <w:rPr>
          <w:rFonts w:ascii="Helvetica Neue" w:hAnsi="Helvetica Neue"/>
        </w:rPr>
        <w:t xml:space="preserve"> = 0.05) across all three study areas (Fig. 5). A consistent causal architecture emerged irrespective of biome: temperature anomaly </w:t>
      </w:r>
      <w:r w:rsidRPr="00C167EE">
        <w:rPr>
          <w:rFonts w:ascii="Helvetica Neue" w:hAnsi="Helvetica Neue" w:cs="Times New Roman"/>
        </w:rPr>
        <w:t>→</w:t>
      </w:r>
      <w:r w:rsidRPr="00C167EE">
        <w:rPr>
          <w:rFonts w:ascii="Helvetica Neue" w:hAnsi="Helvetica Neue"/>
        </w:rPr>
        <w:t xml:space="preserve"> evapotranspiration (lag 1</w:t>
      </w:r>
      <w:r w:rsidR="001725EE">
        <w:rPr>
          <w:rFonts w:ascii="Helvetica Neue" w:hAnsi="Helvetica Neue" w:cs="Harrington"/>
        </w:rPr>
        <w:t>-</w:t>
      </w:r>
      <w:r w:rsidRPr="00C167EE">
        <w:rPr>
          <w:rFonts w:ascii="Helvetica Neue" w:hAnsi="Helvetica Neue"/>
        </w:rPr>
        <w:t xml:space="preserve">2 months) </w:t>
      </w:r>
      <w:r w:rsidRPr="00C167EE">
        <w:rPr>
          <w:rFonts w:ascii="Helvetica Neue" w:hAnsi="Helvetica Neue" w:cs="Times New Roman"/>
        </w:rPr>
        <w:t>→</w:t>
      </w:r>
      <w:r w:rsidRPr="00C167EE">
        <w:rPr>
          <w:rFonts w:ascii="Helvetica Neue" w:hAnsi="Helvetica Neue"/>
        </w:rPr>
        <w:t xml:space="preserve"> soil moisture (lag 3</w:t>
      </w:r>
      <w:r w:rsidRPr="00C167EE">
        <w:rPr>
          <w:rFonts w:ascii="Helvetica Neue" w:hAnsi="Helvetica Neue" w:cs="Harrington"/>
        </w:rPr>
        <w:t>–</w:t>
      </w:r>
      <w:r w:rsidRPr="00C167EE">
        <w:rPr>
          <w:rFonts w:ascii="Helvetica Neue" w:hAnsi="Helvetica Neue"/>
        </w:rPr>
        <w:t xml:space="preserve">5 months) </w:t>
      </w:r>
      <w:r w:rsidRPr="00C167EE">
        <w:rPr>
          <w:rFonts w:ascii="Helvetica Neue" w:hAnsi="Helvetica Neue" w:cs="Times New Roman"/>
        </w:rPr>
        <w:t>→</w:t>
      </w:r>
      <w:r w:rsidRPr="00C167EE">
        <w:rPr>
          <w:rFonts w:ascii="Helvetica Neue" w:hAnsi="Helvetica Neue"/>
        </w:rPr>
        <w:t xml:space="preserve"> NDVI decline (lag 1</w:t>
      </w:r>
      <w:r w:rsidRPr="00C167EE">
        <w:rPr>
          <w:rFonts w:ascii="Helvetica Neue" w:hAnsi="Helvetica Neue" w:cs="Harrington"/>
        </w:rPr>
        <w:t>–</w:t>
      </w:r>
      <w:r w:rsidRPr="00C167EE">
        <w:rPr>
          <w:rFonts w:ascii="Helvetica Neue" w:hAnsi="Helvetica Neue"/>
        </w:rPr>
        <w:t>3 months from temperature). The direct temperature</w:t>
      </w:r>
      <w:r w:rsidRPr="00C167EE">
        <w:rPr>
          <w:rFonts w:ascii="Helvetica Neue" w:hAnsi="Helvetica Neue" w:cs="Harrington"/>
        </w:rPr>
        <w:t>–</w:t>
      </w:r>
      <w:r w:rsidRPr="00C167EE">
        <w:rPr>
          <w:rFonts w:ascii="Helvetica Neue" w:hAnsi="Helvetica Neue"/>
        </w:rPr>
        <w:t xml:space="preserve">NDVI causal effect was significant in all three ecosystems (Amazon: </w:t>
      </w:r>
      <w:r w:rsidRPr="00C167EE">
        <w:rPr>
          <w:rFonts w:ascii="Helvetica Neue" w:hAnsi="Helvetica Neue" w:cs="Cambria"/>
        </w:rPr>
        <w:t>τ</w:t>
      </w:r>
      <w:r w:rsidRPr="00C167EE">
        <w:rPr>
          <w:rFonts w:ascii="Helvetica Neue" w:hAnsi="Helvetica Neue"/>
        </w:rPr>
        <w:t xml:space="preserve"> = </w:t>
      </w:r>
      <w:r w:rsidRPr="00C167EE">
        <w:rPr>
          <w:rFonts w:ascii="Helvetica Neue" w:hAnsi="Helvetica Neue" w:cs="Cambria Math"/>
        </w:rPr>
        <w:t>−</w:t>
      </w:r>
      <w:r w:rsidRPr="00C167EE">
        <w:rPr>
          <w:rFonts w:ascii="Helvetica Neue" w:hAnsi="Helvetica Neue"/>
        </w:rPr>
        <w:t xml:space="preserve">0.262; Sahel: </w:t>
      </w:r>
      <w:r w:rsidRPr="00C167EE">
        <w:rPr>
          <w:rFonts w:ascii="Helvetica Neue" w:hAnsi="Helvetica Neue" w:cs="Cambria"/>
        </w:rPr>
        <w:t>τ</w:t>
      </w:r>
      <w:r w:rsidRPr="00C167EE">
        <w:rPr>
          <w:rFonts w:ascii="Helvetica Neue" w:hAnsi="Helvetica Neue"/>
        </w:rPr>
        <w:t xml:space="preserve"> = </w:t>
      </w:r>
      <w:r w:rsidRPr="00C167EE">
        <w:rPr>
          <w:rFonts w:ascii="Helvetica Neue" w:hAnsi="Helvetica Neue" w:cs="Cambria Math"/>
        </w:rPr>
        <w:t>−</w:t>
      </w:r>
      <w:r w:rsidRPr="00C167EE">
        <w:rPr>
          <w:rFonts w:ascii="Helvetica Neue" w:hAnsi="Helvetica Neue"/>
        </w:rPr>
        <w:t xml:space="preserve">0.248; East Africa: </w:t>
      </w:r>
      <w:r w:rsidRPr="00C167EE">
        <w:rPr>
          <w:rFonts w:ascii="Helvetica Neue" w:hAnsi="Helvetica Neue" w:cs="Cambria"/>
        </w:rPr>
        <w:lastRenderedPageBreak/>
        <w:t>τ</w:t>
      </w:r>
      <w:r w:rsidRPr="00C167EE">
        <w:rPr>
          <w:rFonts w:ascii="Helvetica Neue" w:hAnsi="Helvetica Neue"/>
        </w:rPr>
        <w:t xml:space="preserve"> = </w:t>
      </w:r>
      <w:r w:rsidRPr="00C167EE">
        <w:rPr>
          <w:rFonts w:ascii="Helvetica Neue" w:hAnsi="Helvetica Neue" w:cs="Cambria Math"/>
        </w:rPr>
        <w:t>−</w:t>
      </w:r>
      <w:r w:rsidRPr="00C167EE">
        <w:rPr>
          <w:rFonts w:ascii="Helvetica Neue" w:hAnsi="Helvetica Neue"/>
        </w:rPr>
        <w:t>0.137), representing a fast thermal stress pathway. Soil moisture anomaly showed the strongest effects at lags 3</w:t>
      </w:r>
      <w:r w:rsidR="006B6617">
        <w:rPr>
          <w:rFonts w:ascii="Helvetica Neue" w:hAnsi="Helvetica Neue"/>
        </w:rPr>
        <w:t>-</w:t>
      </w:r>
      <w:r w:rsidRPr="00C167EE">
        <w:rPr>
          <w:rFonts w:ascii="Helvetica Neue" w:hAnsi="Helvetica Neue"/>
        </w:rPr>
        <w:t>5 months, consistent with slow drought propagation through root-zone water availability. Evapotranspiration acted as a mediating node, transmitting precipitation and temperature signals to vegetation with a characteristic 2-month lag. This cross-biome consistency suggests that thermodynamic constraints on plant water use, rather than ecosystem-specific dynamics, are the primary control on collapse risk.</w:t>
      </w:r>
    </w:p>
    <w:p w14:paraId="21BB5247" w14:textId="076E3AD8" w:rsidR="00C167EE" w:rsidRPr="006C6A33" w:rsidRDefault="00C167EE" w:rsidP="00EB6593">
      <w:pPr>
        <w:spacing w:line="480" w:lineRule="auto"/>
        <w:jc w:val="both"/>
        <w:rPr>
          <w:rFonts w:ascii="Helvetica Neue" w:hAnsi="Helvetica Neue"/>
          <w:b/>
          <w:bCs/>
        </w:rPr>
      </w:pPr>
      <w:r w:rsidRPr="001725EE">
        <w:rPr>
          <w:rFonts w:ascii="Helvetica Neue" w:hAnsi="Helvetica Neue"/>
          <w:b/>
          <w:bCs/>
        </w:rPr>
        <w:t>Spatial Collapse Risk Maps</w:t>
      </w:r>
    </w:p>
    <w:p w14:paraId="62915DC6" w14:textId="04A10083" w:rsidR="00C167EE" w:rsidRPr="00C167EE" w:rsidRDefault="00C167EE" w:rsidP="00EB6593">
      <w:pPr>
        <w:spacing w:line="480" w:lineRule="auto"/>
        <w:jc w:val="both"/>
        <w:rPr>
          <w:rFonts w:ascii="Helvetica Neue" w:hAnsi="Helvetica Neue"/>
        </w:rPr>
      </w:pPr>
      <w:r w:rsidRPr="00C167EE">
        <w:rPr>
          <w:rFonts w:ascii="Helvetica Neue" w:hAnsi="Helvetica Neue"/>
        </w:rPr>
        <w:t>We produced two complementary risk maps per ecosystem (Fig. 4). Classical EWS maps derived from vectorised rolling variance and autocorrelation trends show 33% (Amazon), 52% (Sahel), and 47% (East Africa) of pixels exceeding the 0.6 risk threshold. DL-based maps, produced by interpolating 90th-percentile regional risk scores to the pixel grid, show higher discrimination: 77% (Amazon), 73% (Sahel), and 74% (East Africa) exceed 0.6. The Amazon high-risk zone concentrates in the southern and eastern deforestation arc; in the Sahel, the largest contiguous high-risk cluster spans 90,797 pixels in the central belt (mean risk = 0.750); East Africa risk concentrates in the Greater Horn, where six consecutive failed rainy seasons were documented in 2020</w:t>
      </w:r>
      <w:r w:rsidR="001725EE">
        <w:rPr>
          <w:rFonts w:ascii="Helvetica Neue" w:hAnsi="Helvetica Neue"/>
        </w:rPr>
        <w:t>-</w:t>
      </w:r>
      <w:r w:rsidRPr="00C167EE">
        <w:rPr>
          <w:rFonts w:ascii="Helvetica Neue" w:hAnsi="Helvetica Neue"/>
        </w:rPr>
        <w:t>2023</w:t>
      </w:r>
      <w:r w:rsidR="001725EE" w:rsidRPr="001725EE">
        <w:rPr>
          <w:rFonts w:ascii="Helvetica Neue" w:hAnsi="Helvetica Neue" w:cs="Cambria"/>
          <w:vertAlign w:val="superscript"/>
        </w:rPr>
        <w:t>24</w:t>
      </w:r>
      <w:r w:rsidRPr="00C167EE">
        <w:rPr>
          <w:rFonts w:ascii="Helvetica Neue" w:hAnsi="Helvetica Neue"/>
        </w:rPr>
        <w:t>.</w:t>
      </w:r>
    </w:p>
    <w:p w14:paraId="66B7989A" w14:textId="3921A041" w:rsidR="00C167EE" w:rsidRPr="007A669F" w:rsidRDefault="00C167EE" w:rsidP="00EB6593">
      <w:pPr>
        <w:spacing w:line="480" w:lineRule="auto"/>
        <w:jc w:val="both"/>
        <w:rPr>
          <w:rFonts w:ascii="Helvetica Neue" w:hAnsi="Helvetica Neue"/>
          <w:b/>
          <w:bCs/>
        </w:rPr>
      </w:pPr>
      <w:r w:rsidRPr="001725EE">
        <w:rPr>
          <w:rFonts w:ascii="Helvetica Neue" w:hAnsi="Helvetica Neue"/>
          <w:b/>
          <w:bCs/>
        </w:rPr>
        <w:t>Event Validation</w:t>
      </w:r>
    </w:p>
    <w:p w14:paraId="67510FD8" w14:textId="4AB32FC7"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We validated against nine documented ecosystem stress events spanning 2000-2023 (Fig. 6). Pre-event signal strength was assessed by Mann-Kendall τ on mean regional risk scores in the 24 months before each event onset. The deep learning model produced rising pre-event signals (τ &gt; 0, p &lt; 0.1) in 7 of 9 cases. The two failures correspond to the Amazon Drought 2005 (insufficient pre-event window; no valid τ </w:t>
      </w:r>
      <w:r w:rsidRPr="00C167EE">
        <w:rPr>
          <w:rFonts w:ascii="Helvetica Neue" w:hAnsi="Helvetica Neue"/>
        </w:rPr>
        <w:lastRenderedPageBreak/>
        <w:t>computed) and the Sahel Crisis 2011-12 (τ = +0.196, p = 0.19, below the p &lt; 0.1 detection threshold). The strongest signals were the 2020 Amazon drought (τ = 0.75, p = 6.3 × 10-9), with risk scores rising from early 2018, and the 2011 Horn of Africa famine (τ = 0.67, p = 7.7 × 10-7), with elevated risk as early as 2009. Classical EWS matched the deep learning model on event detection rate (7/9) but could not distinguish driver strength or generate spatial maps.</w:t>
      </w:r>
    </w:p>
    <w:p w14:paraId="597F3C82" w14:textId="5A329B19" w:rsidR="00C167EE" w:rsidRPr="007A669F" w:rsidRDefault="00C167EE" w:rsidP="00EB6593">
      <w:pPr>
        <w:spacing w:line="480" w:lineRule="auto"/>
        <w:jc w:val="both"/>
        <w:rPr>
          <w:rFonts w:ascii="Helvetica Neue" w:hAnsi="Helvetica Neue"/>
          <w:b/>
          <w:bCs/>
        </w:rPr>
      </w:pPr>
      <w:r w:rsidRPr="007A669F">
        <w:rPr>
          <w:rFonts w:ascii="Helvetica Neue" w:hAnsi="Helvetica Neue"/>
          <w:b/>
          <w:bCs/>
        </w:rPr>
        <w:t>Discussion</w:t>
      </w:r>
    </w:p>
    <w:p w14:paraId="3A6A9D2D" w14:textId="15AD2749" w:rsidR="00C167EE" w:rsidRPr="00C167EE" w:rsidRDefault="00C167EE" w:rsidP="00EB6593">
      <w:pPr>
        <w:spacing w:line="480" w:lineRule="auto"/>
        <w:jc w:val="both"/>
        <w:rPr>
          <w:rFonts w:ascii="Helvetica Neue" w:hAnsi="Helvetica Neue"/>
        </w:rPr>
      </w:pPr>
      <w:r w:rsidRPr="00C167EE">
        <w:rPr>
          <w:rFonts w:ascii="Helvetica Neue" w:hAnsi="Helvetica Neue"/>
        </w:rPr>
        <w:t>Our results demonstrate that multivariate deep learning substantially advances ecosystem collapse prediction beyond classical EWS methods, achieving AUC = 0.883 under leave-one-event-out evaluation and detecting precursors 12</w:t>
      </w:r>
      <w:r w:rsidR="007A669F">
        <w:rPr>
          <w:rFonts w:ascii="Helvetica Neue" w:hAnsi="Helvetica Neue"/>
        </w:rPr>
        <w:t>-</w:t>
      </w:r>
      <w:r w:rsidRPr="00C167EE">
        <w:rPr>
          <w:rFonts w:ascii="Helvetica Neue" w:hAnsi="Helvetica Neue"/>
        </w:rPr>
        <w:t>24 months before documented events. Three findings deserve particular emphasis.</w:t>
      </w:r>
    </w:p>
    <w:p w14:paraId="0FED90C0" w14:textId="5F9AA1D7" w:rsidR="00C167EE" w:rsidRPr="00C167EE" w:rsidRDefault="00C167EE" w:rsidP="00EB6593">
      <w:pPr>
        <w:spacing w:line="480" w:lineRule="auto"/>
        <w:jc w:val="both"/>
        <w:rPr>
          <w:rFonts w:ascii="Helvetica Neue" w:hAnsi="Helvetica Neue"/>
        </w:rPr>
      </w:pPr>
      <w:r w:rsidRPr="00C167EE">
        <w:rPr>
          <w:rFonts w:ascii="Helvetica Neue" w:hAnsi="Helvetica Neue"/>
        </w:rPr>
        <w:t>Temperature anomaly dominated as a predictive signal, surpassing NDVI in feature importance. This is mechanistically coherent: thermal stress degrades photosynthetic machinery and raises vapour pressure deficit before spectral vegetation responses become detectable, and the temperature-driven drought signal propagates through soil moisture with memory that extends early-warning lead time</w:t>
      </w:r>
      <w:r w:rsidR="000B05E4" w:rsidRPr="000B05E4">
        <w:rPr>
          <w:rFonts w:ascii="Helvetica Neue" w:hAnsi="Helvetica Neue" w:cs="Cambria"/>
          <w:vertAlign w:val="superscript"/>
        </w:rPr>
        <w:t>39-40</w:t>
      </w:r>
      <w:r w:rsidRPr="00C167EE">
        <w:rPr>
          <w:rFonts w:ascii="Helvetica Neue" w:hAnsi="Helvetica Neue"/>
        </w:rPr>
        <w:t>. This implies that temperature monitoring may be more operationally informative than vegetation remote sensing alone.</w:t>
      </w:r>
    </w:p>
    <w:p w14:paraId="7662A2B2" w14:textId="4EC860AE"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Causal discovery revealed a consistent climate-vegetation coupling architecture across three structurally and functionally distinct biomes. The temperature → evapotranspiration → soil moisture → vegetation pathway, with characteristic lags of 1-6 months, held in the humid Amazon, the semi-arid Sahel, and the transitional East African savannas alike. This cross-biome universality suggests that the thermodynamic constraints on plant water availability are the dominant determinant of </w:t>
      </w:r>
      <w:r w:rsidRPr="00C167EE">
        <w:rPr>
          <w:rFonts w:ascii="Helvetica Neue" w:hAnsi="Helvetica Neue"/>
        </w:rPr>
        <w:lastRenderedPageBreak/>
        <w:t>collapse risk, a finding with broad implications for generalised global monitoring systems.</w:t>
      </w:r>
    </w:p>
    <w:p w14:paraId="7E02B1A3" w14:textId="1502179C" w:rsidR="00C167EE" w:rsidRPr="00C167EE" w:rsidRDefault="00C167EE" w:rsidP="00EB6593">
      <w:pPr>
        <w:spacing w:line="480" w:lineRule="auto"/>
        <w:jc w:val="both"/>
        <w:rPr>
          <w:rFonts w:ascii="Helvetica Neue" w:hAnsi="Helvetica Neue"/>
        </w:rPr>
      </w:pPr>
      <w:r w:rsidRPr="00C167EE">
        <w:rPr>
          <w:rFonts w:ascii="Helvetica Neue" w:hAnsi="Helvetica Neue"/>
        </w:rPr>
        <w:t>The spatial distribution of high-risk zones aligned with independent evidence not used in model training. The Amazon risk arc mirrors documented resilience loss trajectories</w:t>
      </w:r>
      <w:r w:rsidRPr="00C167EE">
        <w:rPr>
          <w:rFonts w:ascii="Helvetica Neue" w:hAnsi="Helvetica Neue" w:cs="Cambria Math"/>
        </w:rPr>
        <w:t>⁴</w:t>
      </w:r>
      <w:r w:rsidRPr="00C167EE">
        <w:rPr>
          <w:rFonts w:ascii="Helvetica Neue" w:hAnsi="Helvetica Neue"/>
        </w:rPr>
        <w:t>; the Sahel central belt risk concentrations correspond to FEWS NET food insecurity zones</w:t>
      </w:r>
      <w:r w:rsidR="005C0006" w:rsidRPr="005C0006">
        <w:rPr>
          <w:rFonts w:ascii="Helvetica Neue" w:hAnsi="Helvetica Neue" w:cs="Cambria Math"/>
          <w:vertAlign w:val="superscript"/>
        </w:rPr>
        <w:t>43</w:t>
      </w:r>
      <w:r w:rsidRPr="00C167EE">
        <w:rPr>
          <w:rFonts w:ascii="Helvetica Neue" w:hAnsi="Helvetica Neue"/>
        </w:rPr>
        <w:t>; the East Africa high-risk cluster maps precisely onto the six-season drought region. This geographical alignment supports the operational credibility of the risk maps as decision-relevant products.</w:t>
      </w:r>
    </w:p>
    <w:p w14:paraId="01FB0935" w14:textId="329E6CA0"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Several limitations merit attention. The weakly supervised training relies on 14 documented events and may miss undocumented transitions or under-represent under-monitored regions. The 0.05° spatial resolution cannot capture sub-landscape heterogeneity relevant to local management. ESA CCI soil moisture carries a </w:t>
      </w:r>
      <w:r w:rsidR="00CF1D58" w:rsidRPr="00C167EE">
        <w:rPr>
          <w:rFonts w:ascii="Helvetica Neue" w:hAnsi="Helvetica Neue"/>
        </w:rPr>
        <w:t>6</w:t>
      </w:r>
      <w:r w:rsidR="00CF1D58">
        <w:rPr>
          <w:rFonts w:ascii="Helvetica Neue" w:hAnsi="Helvetica Neue"/>
        </w:rPr>
        <w:t>-12-month</w:t>
      </w:r>
      <w:r w:rsidRPr="00C167EE">
        <w:rPr>
          <w:rFonts w:ascii="Helvetica Neue" w:hAnsi="Helvetica Neue"/>
        </w:rPr>
        <w:t xml:space="preserve"> publication lag, limiting near-real-time deployment. The risk maps represent the 90th-percentile of regional predictions interpolated to pixels, which conflates spatial variation within regions. Future work should address these constraints via active learning on emerging events, integration of higher-resolution SMAP and Sentinel data, and direct pixel-level model inference through self-supervised pretraining.</w:t>
      </w:r>
    </w:p>
    <w:p w14:paraId="1997C0F3" w14:textId="089EE865" w:rsidR="00C167EE" w:rsidRPr="00C167EE" w:rsidRDefault="00C167EE" w:rsidP="00EB6593">
      <w:pPr>
        <w:spacing w:line="480" w:lineRule="auto"/>
        <w:jc w:val="both"/>
        <w:rPr>
          <w:rFonts w:ascii="Helvetica Neue" w:hAnsi="Helvetica Neue"/>
        </w:rPr>
      </w:pPr>
      <w:r w:rsidRPr="00C167EE">
        <w:rPr>
          <w:rFonts w:ascii="Helvetica Neue" w:hAnsi="Helvetica Neue"/>
        </w:rPr>
        <w:t>The convergence of superior AUC performance relative to three independent baselines, mechanistically coherent causal pathways, spatially credible risk maps validated against independent humanitarian datasets, and reliable calibration (Brier score 0.183) collectively supports the conclusion that multivariate deep learning EWS represents a meaningful and reproducible advance. Deployed with near-real-time satellite feeds, this framework could provide the early warnings needed to pre-empt ecosystem collapse at continental scales.</w:t>
      </w:r>
    </w:p>
    <w:p w14:paraId="2BA75393" w14:textId="53460E0F" w:rsidR="00C167EE" w:rsidRPr="00437C44" w:rsidRDefault="00C167EE" w:rsidP="00EB6593">
      <w:pPr>
        <w:spacing w:line="480" w:lineRule="auto"/>
        <w:jc w:val="both"/>
        <w:rPr>
          <w:rFonts w:ascii="Helvetica Neue" w:hAnsi="Helvetica Neue"/>
          <w:b/>
          <w:bCs/>
        </w:rPr>
      </w:pPr>
      <w:r w:rsidRPr="00437C44">
        <w:rPr>
          <w:rFonts w:ascii="Helvetica Neue" w:hAnsi="Helvetica Neue"/>
          <w:b/>
          <w:bCs/>
        </w:rPr>
        <w:lastRenderedPageBreak/>
        <w:t>Methods</w:t>
      </w:r>
    </w:p>
    <w:p w14:paraId="5CAA2868" w14:textId="551A0356"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Data acquisition and preprocessing. MODIS </w:t>
      </w:r>
      <w:proofErr w:type="gramStart"/>
      <w:r w:rsidRPr="00C167EE">
        <w:rPr>
          <w:rFonts w:ascii="Helvetica Neue" w:hAnsi="Helvetica Neue"/>
        </w:rPr>
        <w:t>Level-3</w:t>
      </w:r>
      <w:proofErr w:type="gramEnd"/>
      <w:r w:rsidRPr="00C167EE">
        <w:rPr>
          <w:rFonts w:ascii="Helvetica Neue" w:hAnsi="Helvetica Neue"/>
        </w:rPr>
        <w:t xml:space="preserve"> products (MOD13A3, MOD11A2, MOD16A2GF, MCD64A1, all v6.1) were accessed via NASA </w:t>
      </w:r>
      <w:proofErr w:type="spellStart"/>
      <w:r w:rsidRPr="00C167EE">
        <w:rPr>
          <w:rFonts w:ascii="Helvetica Neue" w:hAnsi="Helvetica Neue"/>
        </w:rPr>
        <w:t>Earthdata</w:t>
      </w:r>
      <w:proofErr w:type="spellEnd"/>
      <w:r w:rsidRPr="00C167EE">
        <w:rPr>
          <w:rFonts w:ascii="Helvetica Neue" w:hAnsi="Helvetica Neue"/>
        </w:rPr>
        <w:t xml:space="preserve"> using the </w:t>
      </w:r>
      <w:proofErr w:type="spellStart"/>
      <w:r w:rsidRPr="00C167EE">
        <w:rPr>
          <w:rFonts w:ascii="Helvetica Neue" w:hAnsi="Helvetica Neue"/>
        </w:rPr>
        <w:t>earthaccess</w:t>
      </w:r>
      <w:proofErr w:type="spellEnd"/>
      <w:r w:rsidRPr="00C167EE">
        <w:rPr>
          <w:rFonts w:ascii="Helvetica Neue" w:hAnsi="Helvetica Neue"/>
        </w:rPr>
        <w:t xml:space="preserve"> library</w:t>
      </w:r>
      <w:r w:rsidR="00175D11" w:rsidRPr="00175D11">
        <w:rPr>
          <w:rFonts w:ascii="Helvetica Neue" w:hAnsi="Helvetica Neue" w:cs="Cambria"/>
          <w:vertAlign w:val="superscript"/>
        </w:rPr>
        <w:t>15-18</w:t>
      </w:r>
      <w:r w:rsidRPr="00C167EE">
        <w:rPr>
          <w:rFonts w:ascii="Helvetica Neue" w:hAnsi="Helvetica Neue"/>
        </w:rPr>
        <w:t>. ERA5 monthly reanalysis was retrieved from the Copernicus CDS API</w:t>
      </w:r>
      <w:r w:rsidR="007B50AB">
        <w:rPr>
          <w:rFonts w:ascii="Helvetica Neue" w:hAnsi="Helvetica Neue" w:cs="Cambria"/>
          <w:vertAlign w:val="superscript"/>
        </w:rPr>
        <w:t>19</w:t>
      </w:r>
      <w:r w:rsidRPr="00C167EE">
        <w:rPr>
          <w:rFonts w:ascii="Helvetica Neue" w:hAnsi="Helvetica Neue"/>
        </w:rPr>
        <w:t>. ESA CCI Combined Soil Moisture v8.1 daily files were downloaded from the CEDA Archive</w:t>
      </w:r>
      <w:r w:rsidR="00430130" w:rsidRPr="00430130">
        <w:rPr>
          <w:rFonts w:ascii="Helvetica Neue" w:hAnsi="Helvetica Neue" w:cs="Cambria"/>
          <w:vertAlign w:val="superscript"/>
        </w:rPr>
        <w:t>20</w:t>
      </w:r>
      <w:r w:rsidRPr="00C167EE">
        <w:rPr>
          <w:rFonts w:ascii="Helvetica Neue" w:hAnsi="Helvetica Neue"/>
        </w:rPr>
        <w:t>. All products were resampled to a 0.05</w:t>
      </w:r>
      <w:r w:rsidRPr="00C167EE">
        <w:rPr>
          <w:rFonts w:ascii="Helvetica Neue" w:hAnsi="Helvetica Neue" w:cs="Aptos"/>
        </w:rPr>
        <w:t>°</w:t>
      </w:r>
      <w:r w:rsidRPr="00C167EE">
        <w:rPr>
          <w:rFonts w:ascii="Helvetica Neue" w:hAnsi="Helvetica Neue"/>
        </w:rPr>
        <w:t xml:space="preserve"> grid by bilinear interpolation (ERA5) or sinusoidal-to-geographic reprojection (MODIS). ERA5 precipitation was converted to mm month</w:t>
      </w:r>
      <w:r w:rsidR="00437C44" w:rsidRPr="00437C44">
        <w:rPr>
          <w:rFonts w:ascii="Cambria Math" w:hAnsi="Cambria Math" w:cs="Cambria Math"/>
          <w:vertAlign w:val="superscript"/>
        </w:rPr>
        <w:t>-1</w:t>
      </w:r>
      <w:r w:rsidRPr="00C167EE">
        <w:rPr>
          <w:rFonts w:ascii="Helvetica Neue" w:hAnsi="Helvetica Neue"/>
        </w:rPr>
        <w:t>; 2 m temperature from K to °C; potential evapotranspiration sign was corrected per the ERA5 flux convention. ESA CCI daily files were aggregated to monthly means. Missing values were imputed with per-column temporal means; columns with no valid data were set to zero.</w:t>
      </w:r>
    </w:p>
    <w:p w14:paraId="66761C09" w14:textId="7BDDE5B9"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Classical EWS computation. Time series were </w:t>
      </w:r>
      <w:proofErr w:type="spellStart"/>
      <w:r w:rsidRPr="00C167EE">
        <w:rPr>
          <w:rFonts w:ascii="Helvetica Neue" w:hAnsi="Helvetica Neue"/>
        </w:rPr>
        <w:t>deseasonalised</w:t>
      </w:r>
      <w:proofErr w:type="spellEnd"/>
      <w:r w:rsidRPr="00C167EE">
        <w:rPr>
          <w:rFonts w:ascii="Helvetica Neue" w:hAnsi="Helvetica Neue"/>
        </w:rPr>
        <w:t xml:space="preserve"> using STL decomposition (period = 12 months, robust = True) before Gaussian kernel detrending (bandwidth = 0.5). Rolling variance and lag-1 autocorrelation used a 50-month window (minimum 25 valid observations). Kendall </w:t>
      </w:r>
      <w:r w:rsidRPr="00C167EE">
        <w:rPr>
          <w:rFonts w:ascii="Helvetica Neue" w:hAnsi="Helvetica Neue" w:cs="Cambria"/>
        </w:rPr>
        <w:t>τ</w:t>
      </w:r>
      <w:r w:rsidRPr="00C167EE">
        <w:rPr>
          <w:rFonts w:ascii="Helvetica Neue" w:hAnsi="Helvetica Neue"/>
        </w:rPr>
        <w:t xml:space="preserve"> trends were assessed by block-bootstrapped Mann</w:t>
      </w:r>
      <w:r w:rsidR="00306E3A">
        <w:rPr>
          <w:rFonts w:ascii="Helvetica Neue" w:hAnsi="Helvetica Neue" w:cs="Harrington"/>
        </w:rPr>
        <w:t>-</w:t>
      </w:r>
      <w:r w:rsidRPr="00C167EE">
        <w:rPr>
          <w:rFonts w:ascii="Helvetica Neue" w:hAnsi="Helvetica Neue"/>
        </w:rPr>
        <w:t xml:space="preserve">Kendall tests (500 resamples; block size </w:t>
      </w:r>
      <w:r w:rsidRPr="00C167EE">
        <w:rPr>
          <w:rFonts w:ascii="Helvetica Neue" w:hAnsi="Helvetica Neue" w:cs="Harrington"/>
        </w:rPr>
        <w:t>√</w:t>
      </w:r>
      <w:r w:rsidRPr="00C167EE">
        <w:rPr>
          <w:rFonts w:ascii="Helvetica Neue" w:hAnsi="Helvetica Neue"/>
        </w:rPr>
        <w:t xml:space="preserve">n) to account for serial correlation in rolling-window estimates. Sensitivity analyses were conducted across 36-, 50-, and 72-month windows; results were consistent. A composite EWS score equalled the mean of normalised </w:t>
      </w:r>
      <w:r w:rsidRPr="00C167EE">
        <w:rPr>
          <w:rFonts w:ascii="Helvetica Neue" w:hAnsi="Helvetica Neue" w:cs="Cambria"/>
        </w:rPr>
        <w:t>τ</w:t>
      </w:r>
      <w:r w:rsidRPr="00C167EE">
        <w:rPr>
          <w:rFonts w:ascii="Helvetica Neue" w:hAnsi="Helvetica Neue"/>
        </w:rPr>
        <w:t xml:space="preserve"> for variance and autocorrelation.</w:t>
      </w:r>
    </w:p>
    <w:p w14:paraId="1621F09A" w14:textId="724A1CA7"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TCN architecture and training. Input shape is [batch, 60, 14] (batch × months × variables). Four dilated causal convolutional blocks (kernel size 3; dilation 1, 2, 4, 8) use batch normalisation, </w:t>
      </w:r>
      <w:proofErr w:type="spellStart"/>
      <w:r w:rsidRPr="00C167EE">
        <w:rPr>
          <w:rFonts w:ascii="Helvetica Neue" w:hAnsi="Helvetica Neue"/>
        </w:rPr>
        <w:t>ReLU</w:t>
      </w:r>
      <w:proofErr w:type="spellEnd"/>
      <w:r w:rsidRPr="00C167EE">
        <w:rPr>
          <w:rFonts w:ascii="Helvetica Neue" w:hAnsi="Helvetica Neue"/>
        </w:rPr>
        <w:t>, and residual connections. A four-head self-attention layer (</w:t>
      </w:r>
      <w:proofErr w:type="spellStart"/>
      <w:r w:rsidRPr="00C167EE">
        <w:rPr>
          <w:rFonts w:ascii="Helvetica Neue" w:hAnsi="Helvetica Neue"/>
        </w:rPr>
        <w:t>embed_dim</w:t>
      </w:r>
      <w:proofErr w:type="spellEnd"/>
      <w:r w:rsidRPr="00C167EE">
        <w:rPr>
          <w:rFonts w:ascii="Helvetica Neue" w:hAnsi="Helvetica Neue"/>
        </w:rPr>
        <w:t xml:space="preserve"> = 64, dropout 0.1) is followed by global average pooling and a two-layer classifier (hidden 32, dropout 0.3, sigmoid). All input features were globally </w:t>
      </w:r>
      <w:r w:rsidRPr="00C167EE">
        <w:rPr>
          <w:rFonts w:ascii="Helvetica Neue" w:hAnsi="Helvetica Neue"/>
        </w:rPr>
        <w:lastRenderedPageBreak/>
        <w:t xml:space="preserve">standardised across all windows before training; remaining </w:t>
      </w:r>
      <w:proofErr w:type="spellStart"/>
      <w:r w:rsidRPr="00C167EE">
        <w:rPr>
          <w:rFonts w:ascii="Helvetica Neue" w:hAnsi="Helvetica Neue"/>
        </w:rPr>
        <w:t>NaN</w:t>
      </w:r>
      <w:proofErr w:type="spellEnd"/>
      <w:r w:rsidRPr="00C167EE">
        <w:rPr>
          <w:rFonts w:ascii="Helvetica Neue" w:hAnsi="Helvetica Neue"/>
        </w:rPr>
        <w:t xml:space="preserve"> values were replaced with zero. Training used binary cross-entropy loss, </w:t>
      </w:r>
      <w:proofErr w:type="spellStart"/>
      <w:r w:rsidRPr="00C167EE">
        <w:rPr>
          <w:rFonts w:ascii="Helvetica Neue" w:hAnsi="Helvetica Neue"/>
        </w:rPr>
        <w:t>WeightedRandomSampler</w:t>
      </w:r>
      <w:proofErr w:type="spellEnd"/>
      <w:r w:rsidRPr="00C167EE">
        <w:rPr>
          <w:rFonts w:ascii="Helvetica Neue" w:hAnsi="Helvetica Neue"/>
        </w:rPr>
        <w:t xml:space="preserve"> for class balance, </w:t>
      </w:r>
      <w:proofErr w:type="spellStart"/>
      <w:r w:rsidRPr="00C167EE">
        <w:rPr>
          <w:rFonts w:ascii="Helvetica Neue" w:hAnsi="Helvetica Neue"/>
        </w:rPr>
        <w:t>AdamW</w:t>
      </w:r>
      <w:proofErr w:type="spellEnd"/>
      <w:r w:rsidRPr="00C167EE">
        <w:rPr>
          <w:rFonts w:ascii="Helvetica Neue" w:hAnsi="Helvetica Neue"/>
        </w:rPr>
        <w:t xml:space="preserve"> (</w:t>
      </w:r>
      <w:proofErr w:type="spellStart"/>
      <w:r w:rsidRPr="00C167EE">
        <w:rPr>
          <w:rFonts w:ascii="Helvetica Neue" w:hAnsi="Helvetica Neue"/>
        </w:rPr>
        <w:t>weight_decay</w:t>
      </w:r>
      <w:proofErr w:type="spellEnd"/>
      <w:r w:rsidRPr="00C167EE">
        <w:rPr>
          <w:rFonts w:ascii="Helvetica Neue" w:hAnsi="Helvetica Neue"/>
        </w:rPr>
        <w:t xml:space="preserve"> = 10</w:t>
      </w:r>
      <w:r w:rsidR="00387E27" w:rsidRPr="00387E27">
        <w:rPr>
          <w:rFonts w:ascii="Cambria Math" w:hAnsi="Cambria Math" w:cs="Cambria Math"/>
          <w:vertAlign w:val="superscript"/>
        </w:rPr>
        <w:t>-4</w:t>
      </w:r>
      <w:r w:rsidRPr="00C167EE">
        <w:rPr>
          <w:rFonts w:ascii="Helvetica Neue" w:hAnsi="Helvetica Neue"/>
        </w:rPr>
        <w:t>), and OneCycleLR (</w:t>
      </w:r>
      <w:proofErr w:type="spellStart"/>
      <w:r w:rsidRPr="00C167EE">
        <w:rPr>
          <w:rFonts w:ascii="Helvetica Neue" w:hAnsi="Helvetica Neue"/>
        </w:rPr>
        <w:t>max_lr</w:t>
      </w:r>
      <w:proofErr w:type="spellEnd"/>
      <w:r w:rsidRPr="00C167EE">
        <w:rPr>
          <w:rFonts w:ascii="Helvetica Neue" w:hAnsi="Helvetica Neue"/>
        </w:rPr>
        <w:t xml:space="preserve"> = 3 </w:t>
      </w:r>
      <w:r w:rsidRPr="00C167EE">
        <w:rPr>
          <w:rFonts w:ascii="Helvetica Neue" w:hAnsi="Helvetica Neue" w:cs="Aptos"/>
        </w:rPr>
        <w:t>×</w:t>
      </w:r>
      <w:r w:rsidRPr="00C167EE">
        <w:rPr>
          <w:rFonts w:ascii="Helvetica Neue" w:hAnsi="Helvetica Neue"/>
        </w:rPr>
        <w:t xml:space="preserve"> 10</w:t>
      </w:r>
      <w:r w:rsidR="00800155" w:rsidRPr="00800155">
        <w:rPr>
          <w:rFonts w:ascii="Cambria Math" w:hAnsi="Cambria Math" w:cs="Cambria Math"/>
          <w:vertAlign w:val="superscript"/>
        </w:rPr>
        <w:t>-4</w:t>
      </w:r>
      <w:r w:rsidRPr="00C167EE">
        <w:rPr>
          <w:rFonts w:ascii="Helvetica Neue" w:hAnsi="Helvetica Neue"/>
        </w:rPr>
        <w:t>, 10% warm-up, 150 epochs, patience = 25). Five-fold time-based cross-validation retained the best model by validation AUC.</w:t>
      </w:r>
    </w:p>
    <w:p w14:paraId="486CDA06" w14:textId="23B1D39C"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Leave-one-event-out evaluation. For each of the nine documented events, validation windows comprised all windows labelled to that event plus three times as many randomly selected unlabelled (negative) windows. Training used all remaining windows. This design ensures no temporal overlap between train and test and enforces region independence for held-out events. Metrics reported are mean </w:t>
      </w:r>
      <w:r w:rsidRPr="00C167EE">
        <w:rPr>
          <w:rFonts w:ascii="Helvetica Neue" w:hAnsi="Helvetica Neue" w:cs="Cambria"/>
        </w:rPr>
        <w:t>±</w:t>
      </w:r>
      <w:r w:rsidRPr="00C167EE">
        <w:rPr>
          <w:rFonts w:ascii="Helvetica Neue" w:hAnsi="Helvetica Neue"/>
        </w:rPr>
        <w:t xml:space="preserve"> standard deviation across folds with at least five positive validation samples.</w:t>
      </w:r>
    </w:p>
    <w:p w14:paraId="590F85D5" w14:textId="780FD48C" w:rsidR="00C167EE" w:rsidRPr="00C167EE" w:rsidRDefault="00C167EE" w:rsidP="00EB6593">
      <w:pPr>
        <w:spacing w:line="480" w:lineRule="auto"/>
        <w:jc w:val="both"/>
        <w:rPr>
          <w:rFonts w:ascii="Helvetica Neue" w:hAnsi="Helvetica Neue"/>
        </w:rPr>
      </w:pPr>
      <w:r w:rsidRPr="00C167EE">
        <w:rPr>
          <w:rFonts w:ascii="Helvetica Neue" w:hAnsi="Helvetica Neue"/>
        </w:rPr>
        <w:t>Weakly supervised labels. Positive labels were assigned to 60-month windows ending within 12 months of a documented event onset. Event severities (0.6–1.0) were derived from humanitarian reports and peer-reviewed drought assessments for events in the Amazon (2005, 2010, 2015, 2020), Sahel (2002, 2011, 2017), and East Africa (2002, 2011, 2017, 2022). This yielded 3,236 positive and 9,988 negative windows from 13,224 total.</w:t>
      </w:r>
    </w:p>
    <w:p w14:paraId="404FCD7A" w14:textId="58ECB6C3"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Causal discovery. PCMCI+ was applied to 7-variable regional time series (precipitation anomaly, temperature anomaly, soil water anomaly, surface soil moisture, evapotranspiration, NDVI, EVI) with </w:t>
      </w:r>
      <w:proofErr w:type="spellStart"/>
      <w:r w:rsidRPr="00C167EE">
        <w:rPr>
          <w:rFonts w:ascii="Helvetica Neue" w:hAnsi="Helvetica Neue" w:cs="Cambria"/>
        </w:rPr>
        <w:t>τ</w:t>
      </w:r>
      <w:r w:rsidRPr="00E24C2A">
        <w:rPr>
          <w:rFonts w:ascii="Helvetica Neue" w:hAnsi="Helvetica Neue"/>
          <w:vertAlign w:val="subscript"/>
        </w:rPr>
        <w:t>max</w:t>
      </w:r>
      <w:proofErr w:type="spellEnd"/>
      <w:r w:rsidRPr="00C167EE">
        <w:rPr>
          <w:rFonts w:ascii="Helvetica Neue" w:hAnsi="Helvetica Neue"/>
        </w:rPr>
        <w:t xml:space="preserve"> = 6 months using the </w:t>
      </w:r>
      <w:proofErr w:type="spellStart"/>
      <w:r w:rsidRPr="00C167EE">
        <w:rPr>
          <w:rFonts w:ascii="Helvetica Neue" w:hAnsi="Helvetica Neue"/>
        </w:rPr>
        <w:t>ParCorr</w:t>
      </w:r>
      <w:proofErr w:type="spellEnd"/>
      <w:r w:rsidRPr="00C167EE">
        <w:rPr>
          <w:rFonts w:ascii="Helvetica Neue" w:hAnsi="Helvetica Neue"/>
        </w:rPr>
        <w:t xml:space="preserve"> conditional independence test (</w:t>
      </w:r>
      <w:r w:rsidRPr="00C167EE">
        <w:rPr>
          <w:rFonts w:ascii="Helvetica Neue" w:hAnsi="Helvetica Neue" w:cs="Cambria"/>
        </w:rPr>
        <w:t>α</w:t>
      </w:r>
      <w:r w:rsidRPr="00C167EE">
        <w:rPr>
          <w:rFonts w:ascii="Helvetica Neue" w:hAnsi="Helvetica Neue"/>
        </w:rPr>
        <w:t xml:space="preserve"> = 0.05). Data were standardised; </w:t>
      </w:r>
      <w:proofErr w:type="spellStart"/>
      <w:r w:rsidRPr="00C167EE">
        <w:rPr>
          <w:rFonts w:ascii="Helvetica Neue" w:hAnsi="Helvetica Neue"/>
        </w:rPr>
        <w:t>NaN</w:t>
      </w:r>
      <w:proofErr w:type="spellEnd"/>
      <w:r w:rsidRPr="00C167EE">
        <w:rPr>
          <w:rFonts w:ascii="Helvetica Neue" w:hAnsi="Helvetica Neue"/>
        </w:rPr>
        <w:t xml:space="preserve"> values were imputed with column temporal means. Results were aggregated by mean absolute causal effect strength across all sub-regions per ecosystem.</w:t>
      </w:r>
    </w:p>
    <w:p w14:paraId="704CC71E" w14:textId="0D768DA7" w:rsidR="00C167EE" w:rsidRPr="00C167EE" w:rsidRDefault="00C167EE" w:rsidP="00EB6593">
      <w:pPr>
        <w:spacing w:line="480" w:lineRule="auto"/>
        <w:jc w:val="both"/>
        <w:rPr>
          <w:rFonts w:ascii="Helvetica Neue" w:hAnsi="Helvetica Neue"/>
        </w:rPr>
      </w:pPr>
      <w:r w:rsidRPr="00C167EE">
        <w:rPr>
          <w:rFonts w:ascii="Helvetica Neue" w:hAnsi="Helvetica Neue"/>
        </w:rPr>
        <w:lastRenderedPageBreak/>
        <w:t xml:space="preserve">Spatial risk mapping. Classical EWS risk scores were computed via vectorised NumPy operations: linear detrending per pixel, 36-month rolling variance and AC1, Kendall </w:t>
      </w:r>
      <w:r w:rsidRPr="00C167EE">
        <w:rPr>
          <w:rFonts w:ascii="Helvetica Neue" w:hAnsi="Helvetica Neue" w:cs="Cambria"/>
        </w:rPr>
        <w:t>τ</w:t>
      </w:r>
      <w:r w:rsidRPr="00C167EE">
        <w:rPr>
          <w:rFonts w:ascii="Helvetica Neue" w:hAnsi="Helvetica Neue"/>
        </w:rPr>
        <w:t xml:space="preserve"> trends approximated by Pearson correlation between time index and rolling statistic, normalised to [0,1]. DL-based risk maps were produced by computing 90th-percentile risk score per region from the full 24-year prediction time series, then interpolating from region centres to the pixel grid using linear scattered interpolation (</w:t>
      </w:r>
      <w:proofErr w:type="spellStart"/>
      <w:proofErr w:type="gramStart"/>
      <w:r w:rsidRPr="00C167EE">
        <w:rPr>
          <w:rFonts w:ascii="Helvetica Neue" w:hAnsi="Helvetica Neue"/>
        </w:rPr>
        <w:t>scipy.interpolate</w:t>
      </w:r>
      <w:proofErr w:type="gramEnd"/>
      <w:r w:rsidRPr="00C167EE">
        <w:rPr>
          <w:rFonts w:ascii="Helvetica Neue" w:hAnsi="Helvetica Neue"/>
        </w:rPr>
        <w:t>.griddata</w:t>
      </w:r>
      <w:proofErr w:type="spellEnd"/>
      <w:r w:rsidRPr="00C167EE">
        <w:rPr>
          <w:rFonts w:ascii="Helvetica Neue" w:hAnsi="Helvetica Neue"/>
        </w:rPr>
        <w:t>). Pixels with fewer than 60 valid NDVI observations were masked.</w:t>
      </w:r>
    </w:p>
    <w:p w14:paraId="5951890B" w14:textId="213FE5D4" w:rsidR="00C167EE" w:rsidRPr="00C167EE" w:rsidRDefault="00C167EE" w:rsidP="00EB6593">
      <w:pPr>
        <w:spacing w:line="480" w:lineRule="auto"/>
        <w:jc w:val="both"/>
        <w:rPr>
          <w:rFonts w:ascii="Helvetica Neue" w:hAnsi="Helvetica Neue"/>
        </w:rPr>
      </w:pPr>
      <w:r w:rsidRPr="00C167EE">
        <w:rPr>
          <w:rFonts w:ascii="Helvetica Neue" w:hAnsi="Helvetica Neue"/>
        </w:rPr>
        <w:t>Validation. Pre-event signal strength used Mann</w:t>
      </w:r>
      <w:r w:rsidR="00703B31">
        <w:rPr>
          <w:rFonts w:ascii="Helvetica Neue" w:hAnsi="Helvetica Neue"/>
        </w:rPr>
        <w:t>-</w:t>
      </w:r>
      <w:r w:rsidRPr="00C167EE">
        <w:rPr>
          <w:rFonts w:ascii="Helvetica Neue" w:hAnsi="Helvetica Neue"/>
        </w:rPr>
        <w:t xml:space="preserve">Kendall </w:t>
      </w:r>
      <w:r w:rsidRPr="00C167EE">
        <w:rPr>
          <w:rFonts w:ascii="Helvetica Neue" w:hAnsi="Helvetica Neue" w:cs="Cambria"/>
        </w:rPr>
        <w:t>τ</w:t>
      </w:r>
      <w:r w:rsidRPr="00C167EE">
        <w:rPr>
          <w:rFonts w:ascii="Helvetica Neue" w:hAnsi="Helvetica Neue"/>
        </w:rPr>
        <w:t xml:space="preserve"> on mean regional risk scores over the 24 months before each event onset. An event was considered detected if </w:t>
      </w:r>
      <w:r w:rsidRPr="00C167EE">
        <w:rPr>
          <w:rFonts w:ascii="Helvetica Neue" w:hAnsi="Helvetica Neue" w:cs="Cambria"/>
        </w:rPr>
        <w:t>τ</w:t>
      </w:r>
      <w:r w:rsidRPr="00C167EE">
        <w:rPr>
          <w:rFonts w:ascii="Helvetica Neue" w:hAnsi="Helvetica Neue"/>
        </w:rPr>
        <w:t xml:space="preserve"> &gt; 0 and p &lt; 0.1. Calibration was assessed by Brier score and reliability diagrams. AUC-ROC used event-derived binary labels with a 12-month lead horizon.</w:t>
      </w:r>
    </w:p>
    <w:p w14:paraId="1FF8FCFA" w14:textId="697025FC" w:rsidR="00C167EE" w:rsidRPr="00C167EE" w:rsidRDefault="00C167EE" w:rsidP="00EB6593">
      <w:pPr>
        <w:spacing w:line="480" w:lineRule="auto"/>
        <w:jc w:val="both"/>
        <w:rPr>
          <w:rFonts w:ascii="Helvetica Neue" w:hAnsi="Helvetica Neue"/>
        </w:rPr>
      </w:pPr>
      <w:r w:rsidRPr="001277D7">
        <w:rPr>
          <w:rFonts w:ascii="Helvetica Neue" w:hAnsi="Helvetica Neue"/>
          <w:b/>
          <w:bCs/>
        </w:rPr>
        <w:t>Data availability.</w:t>
      </w:r>
      <w:r w:rsidRPr="00C167EE">
        <w:rPr>
          <w:rFonts w:ascii="Helvetica Neue" w:hAnsi="Helvetica Neue"/>
        </w:rPr>
        <w:t xml:space="preserve"> MODIS data: NASA LP DAAC (https://lpdaac.usgs.gov). ERA5: Copernicus CDS (https://cds.climate.copernicus.eu). ESA CCI SM: CEDA (https://data.ceda.ac.uk). Processed datasets and model weights will be deposited in </w:t>
      </w:r>
      <w:proofErr w:type="spellStart"/>
      <w:r w:rsidRPr="00C167EE">
        <w:rPr>
          <w:rFonts w:ascii="Helvetica Neue" w:hAnsi="Helvetica Neue"/>
        </w:rPr>
        <w:t>Zenodo</w:t>
      </w:r>
      <w:proofErr w:type="spellEnd"/>
      <w:r w:rsidRPr="00C167EE">
        <w:rPr>
          <w:rFonts w:ascii="Helvetica Neue" w:hAnsi="Helvetica Neue"/>
        </w:rPr>
        <w:t xml:space="preserve"> upon acceptance.</w:t>
      </w:r>
    </w:p>
    <w:p w14:paraId="62954B0F" w14:textId="095B9164" w:rsidR="00C167EE" w:rsidRPr="00C167EE" w:rsidRDefault="00C167EE" w:rsidP="00EB6593">
      <w:pPr>
        <w:spacing w:line="480" w:lineRule="auto"/>
        <w:jc w:val="both"/>
        <w:rPr>
          <w:rFonts w:ascii="Helvetica Neue" w:hAnsi="Helvetica Neue"/>
        </w:rPr>
      </w:pPr>
      <w:r w:rsidRPr="00CE71DD">
        <w:rPr>
          <w:rFonts w:ascii="Helvetica Neue" w:hAnsi="Helvetica Neue"/>
          <w:b/>
          <w:bCs/>
        </w:rPr>
        <w:t>Code availability.</w:t>
      </w:r>
      <w:r w:rsidRPr="00C167EE">
        <w:rPr>
          <w:rFonts w:ascii="Helvetica Neue" w:hAnsi="Helvetica Neue"/>
        </w:rPr>
        <w:t xml:space="preserve"> All analysis code, including the full data pipeline, model training, and figure generation, will be made available at [GitHub URL upon acceptance]. The pipeline is fully reproducible from raw data downloads.</w:t>
      </w:r>
    </w:p>
    <w:p w14:paraId="45369A25" w14:textId="18E57037" w:rsidR="00C167EE" w:rsidRPr="0046481F" w:rsidRDefault="00C167EE" w:rsidP="00EB6593">
      <w:pPr>
        <w:spacing w:line="480" w:lineRule="auto"/>
        <w:jc w:val="both"/>
        <w:rPr>
          <w:rFonts w:ascii="Helvetica Neue" w:hAnsi="Helvetica Neue"/>
          <w:b/>
          <w:bCs/>
        </w:rPr>
      </w:pPr>
      <w:r w:rsidRPr="0046481F">
        <w:rPr>
          <w:rFonts w:ascii="Helvetica Neue" w:hAnsi="Helvetica Neue"/>
          <w:b/>
          <w:bCs/>
        </w:rPr>
        <w:t>Acknowledgements</w:t>
      </w:r>
    </w:p>
    <w:p w14:paraId="39D0D145" w14:textId="350E9B03" w:rsidR="00C167EE" w:rsidRPr="00C167EE" w:rsidRDefault="00C167EE" w:rsidP="00EB6593">
      <w:pPr>
        <w:spacing w:line="480" w:lineRule="auto"/>
        <w:jc w:val="both"/>
        <w:rPr>
          <w:rFonts w:ascii="Helvetica Neue" w:hAnsi="Helvetica Neue"/>
        </w:rPr>
      </w:pPr>
      <w:r w:rsidRPr="00C167EE">
        <w:rPr>
          <w:rFonts w:ascii="Helvetica Neue" w:hAnsi="Helvetica Neue"/>
        </w:rPr>
        <w:t>The authors acknowledge NASA EOSDIS, Copernicus/ECMWF, and ESA Climate Change Initiative for providing open-access satellite and reanalysis data. Computational resources were provided by [institution name].</w:t>
      </w:r>
    </w:p>
    <w:p w14:paraId="5E5CA8B9" w14:textId="0C5DA24D" w:rsidR="00C167EE" w:rsidRPr="0046481F" w:rsidRDefault="00C167EE" w:rsidP="00EB6593">
      <w:pPr>
        <w:spacing w:line="480" w:lineRule="auto"/>
        <w:jc w:val="both"/>
        <w:rPr>
          <w:rFonts w:ascii="Helvetica Neue" w:hAnsi="Helvetica Neue"/>
          <w:b/>
          <w:bCs/>
        </w:rPr>
      </w:pPr>
      <w:r w:rsidRPr="0046481F">
        <w:rPr>
          <w:rFonts w:ascii="Helvetica Neue" w:hAnsi="Helvetica Neue"/>
          <w:b/>
          <w:bCs/>
        </w:rPr>
        <w:t>Author contributions</w:t>
      </w:r>
    </w:p>
    <w:p w14:paraId="504634A9" w14:textId="56D270E4" w:rsidR="00664F23" w:rsidRPr="00664F23" w:rsidRDefault="00664F23" w:rsidP="00664F23">
      <w:pPr>
        <w:spacing w:line="480" w:lineRule="auto"/>
        <w:jc w:val="both"/>
        <w:rPr>
          <w:rFonts w:ascii="Helvetica Neue" w:hAnsi="Helvetica Neue"/>
        </w:rPr>
      </w:pPr>
      <w:r w:rsidRPr="00664F23">
        <w:rPr>
          <w:rFonts w:ascii="Helvetica Neue" w:hAnsi="Helvetica Neue"/>
        </w:rPr>
        <w:lastRenderedPageBreak/>
        <w:t>R.M. conceived and designed the study, developed the full computational pipeline including MODIS/ERA5/ESA CCI data acquisition and preprocessing, implemented the dilated TCN with self-attention architecture, conducted all model training and leave-one-event-out evaluation, performed classical EWS computation with block-bootstrap Mann</w:t>
      </w:r>
      <w:r>
        <w:rPr>
          <w:rFonts w:ascii="Helvetica Neue" w:hAnsi="Helvetica Neue"/>
        </w:rPr>
        <w:t>-</w:t>
      </w:r>
      <w:r w:rsidRPr="00664F23">
        <w:rPr>
          <w:rFonts w:ascii="Helvetica Neue" w:hAnsi="Helvetica Neue"/>
        </w:rPr>
        <w:t xml:space="preserve">Kendall testing, ran the PCMCI+ causal discovery analysis, produced all figures and spatial risk maps, and wrote the manuscript. </w:t>
      </w:r>
      <w:proofErr w:type="spellStart"/>
      <w:r w:rsidRPr="00664F23">
        <w:rPr>
          <w:rFonts w:ascii="Helvetica Neue" w:hAnsi="Helvetica Neue"/>
        </w:rPr>
        <w:t>Ra.M</w:t>
      </w:r>
      <w:proofErr w:type="spellEnd"/>
      <w:r w:rsidRPr="00664F23">
        <w:rPr>
          <w:rFonts w:ascii="Helvetica Neue" w:hAnsi="Helvetica Neue"/>
        </w:rPr>
        <w:t>. contributed to methodological design, validated the deep learning and classical EWS results, critically reviewed the statistical analyses, and revised the manuscript. G.P.D. contributed to model architecture design, assisted with software implementation and validation experiments, and reviewed the manuscript. K.K. contributed to data resource acquisition, oversaw data curation and quality control for the Earth observation datasets, and reviewed the manuscript. K.M. contributed to the original research concept, provided supervisory guidance throughout the project, secured funding, and reviewed and edited the manuscript.</w:t>
      </w:r>
    </w:p>
    <w:p w14:paraId="431609B7" w14:textId="77777777" w:rsidR="00664F23" w:rsidRDefault="00664F23" w:rsidP="00664F23">
      <w:pPr>
        <w:spacing w:line="480" w:lineRule="auto"/>
        <w:jc w:val="both"/>
        <w:rPr>
          <w:rFonts w:ascii="Helvetica Neue" w:hAnsi="Helvetica Neue"/>
        </w:rPr>
      </w:pPr>
      <w:r w:rsidRPr="00664F23">
        <w:rPr>
          <w:rFonts w:ascii="Helvetica Neue" w:hAnsi="Helvetica Neue"/>
        </w:rPr>
        <w:t>All authors read and approved the final manuscript.</w:t>
      </w:r>
    </w:p>
    <w:p w14:paraId="2A9C9A02" w14:textId="49DD1FB4" w:rsidR="00C167EE" w:rsidRPr="0012715F" w:rsidRDefault="00C167EE" w:rsidP="00664F23">
      <w:pPr>
        <w:spacing w:line="480" w:lineRule="auto"/>
        <w:jc w:val="both"/>
        <w:rPr>
          <w:rFonts w:ascii="Helvetica Neue" w:hAnsi="Helvetica Neue"/>
          <w:b/>
          <w:bCs/>
        </w:rPr>
      </w:pPr>
      <w:r w:rsidRPr="0012715F">
        <w:rPr>
          <w:rFonts w:ascii="Helvetica Neue" w:hAnsi="Helvetica Neue"/>
          <w:b/>
          <w:bCs/>
        </w:rPr>
        <w:t>Competing interests</w:t>
      </w:r>
    </w:p>
    <w:p w14:paraId="57D5EB25" w14:textId="4E248947" w:rsidR="00C167EE" w:rsidRPr="00C167EE" w:rsidRDefault="00C167EE" w:rsidP="00EB6593">
      <w:pPr>
        <w:spacing w:line="480" w:lineRule="auto"/>
        <w:jc w:val="both"/>
        <w:rPr>
          <w:rFonts w:ascii="Helvetica Neue" w:hAnsi="Helvetica Neue"/>
        </w:rPr>
      </w:pPr>
      <w:r w:rsidRPr="00C167EE">
        <w:rPr>
          <w:rFonts w:ascii="Helvetica Neue" w:hAnsi="Helvetica Neue"/>
        </w:rPr>
        <w:t>The authors declare no competing interests.</w:t>
      </w:r>
    </w:p>
    <w:p w14:paraId="6775019A" w14:textId="50561CBE"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Correspondence and requests for materials should be addressed to </w:t>
      </w:r>
      <w:r w:rsidR="00CF1D58">
        <w:rPr>
          <w:rFonts w:ascii="Helvetica Neue" w:hAnsi="Helvetica Neue"/>
        </w:rPr>
        <w:t>Rajendraprasad Munireddy</w:t>
      </w:r>
      <w:r w:rsidRPr="00C167EE">
        <w:rPr>
          <w:rFonts w:ascii="Helvetica Neue" w:hAnsi="Helvetica Neue"/>
        </w:rPr>
        <w:t>.</w:t>
      </w:r>
    </w:p>
    <w:p w14:paraId="28FDC750" w14:textId="30D89079" w:rsidR="00C167EE" w:rsidRPr="00955DAB" w:rsidRDefault="00C167EE" w:rsidP="00EB6593">
      <w:pPr>
        <w:spacing w:line="480" w:lineRule="auto"/>
        <w:jc w:val="both"/>
        <w:rPr>
          <w:rFonts w:ascii="Helvetica Neue" w:hAnsi="Helvetica Neue"/>
          <w:b/>
          <w:bCs/>
        </w:rPr>
      </w:pPr>
      <w:r w:rsidRPr="0012715F">
        <w:rPr>
          <w:rFonts w:ascii="Helvetica Neue" w:hAnsi="Helvetica Neue"/>
          <w:b/>
          <w:bCs/>
        </w:rPr>
        <w:t>References</w:t>
      </w:r>
    </w:p>
    <w:p w14:paraId="2AD41012"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Lenton, T. M. et al. Tipping elements in the Earth's climate system. Proc. Natl Acad. Sci. 105, 1786–1793 (2008).</w:t>
      </w:r>
    </w:p>
    <w:p w14:paraId="24794B5F"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Scheffer, M. et al. Catastrophic shifts in ecosystems. Nature 413, 591–596 (2001).</w:t>
      </w:r>
    </w:p>
    <w:p w14:paraId="5C4D4444"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lastRenderedPageBreak/>
        <w:t>Malhi, Y. et al. Exploring the likelihood and mechanism of a climate-change-induced dieback of the Amazon rainforest. Proc. Natl Acad. Sci. 106, 20610–20615 (2009).</w:t>
      </w:r>
    </w:p>
    <w:p w14:paraId="1B40CCDB"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Boulton, C. A., Lenton, T. M. &amp; Boers, N. Pronounced loss of Amazon rainforest resilience since the early 2000s. Nat. Clim. Change 12, 271–278 (2022).</w:t>
      </w:r>
    </w:p>
    <w:p w14:paraId="1FFFB378"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Held, I. M. et al. Simulation of Sahel drought in the 20th and 21st centuries. Proc. Natl Acad. Sci. 102, 17891–17896 (2005).</w:t>
      </w:r>
    </w:p>
    <w:p w14:paraId="2F94C821"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Tierney, J. E. et al. Past and future rainfall in the Horn of Africa. Sci. Adv. 1, e1500682 (2015).</w:t>
      </w:r>
    </w:p>
    <w:p w14:paraId="79CE630A"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Scheffer, M. et al. Early-warning signals for critical transitions. Nature 461, 53–59 (2009).</w:t>
      </w:r>
    </w:p>
    <w:p w14:paraId="7DBA7AA7"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Dakos, V. et al. Slowing down as an early warning signal for abrupt climate change. Proc. Natl Acad. Sci. 105, 14308–14312 (2008).</w:t>
      </w:r>
    </w:p>
    <w:p w14:paraId="76005AF7"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Boers, N. Observation-based early-warning signals for a collapse of the Atlantic Meridional Overturning Circulation. Nat. Clim. Change 11, 680–688 (2021).</w:t>
      </w:r>
    </w:p>
    <w:p w14:paraId="06AEB124"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Dakos, V. et al. Methods for detecting early warnings of critical transitions in time series illustrated using simulated ecological data. </w:t>
      </w:r>
      <w:proofErr w:type="spellStart"/>
      <w:r w:rsidRPr="00C167EE">
        <w:rPr>
          <w:rFonts w:ascii="Helvetica Neue" w:hAnsi="Helvetica Neue"/>
        </w:rPr>
        <w:t>PLoS</w:t>
      </w:r>
      <w:proofErr w:type="spellEnd"/>
      <w:r w:rsidRPr="00C167EE">
        <w:rPr>
          <w:rFonts w:ascii="Helvetica Neue" w:hAnsi="Helvetica Neue"/>
        </w:rPr>
        <w:t xml:space="preserve"> ONE 7, e41010 (2012).</w:t>
      </w:r>
    </w:p>
    <w:p w14:paraId="76CE6BD8"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Reichstein, M. et al. Deep learning and process understanding for data-driven Earth system science. Nature 566, 195–204 (2019).</w:t>
      </w:r>
    </w:p>
    <w:p w14:paraId="680C3F64"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Bai, S., Kolter, J. Z. &amp; Koltun, V. An empirical evaluation of generic convolutional and recurrent networks for sequence </w:t>
      </w:r>
      <w:proofErr w:type="spellStart"/>
      <w:r w:rsidRPr="00C167EE">
        <w:rPr>
          <w:rFonts w:ascii="Helvetica Neue" w:hAnsi="Helvetica Neue"/>
        </w:rPr>
        <w:t>modeling</w:t>
      </w:r>
      <w:proofErr w:type="spellEnd"/>
      <w:r w:rsidRPr="00C167EE">
        <w:rPr>
          <w:rFonts w:ascii="Helvetica Neue" w:hAnsi="Helvetica Neue"/>
        </w:rPr>
        <w:t xml:space="preserve">. Preprint at </w:t>
      </w:r>
      <w:proofErr w:type="spellStart"/>
      <w:r w:rsidRPr="00C167EE">
        <w:rPr>
          <w:rFonts w:ascii="Helvetica Neue" w:hAnsi="Helvetica Neue"/>
        </w:rPr>
        <w:t>arXiv</w:t>
      </w:r>
      <w:proofErr w:type="spellEnd"/>
      <w:r w:rsidRPr="00C167EE">
        <w:rPr>
          <w:rFonts w:ascii="Helvetica Neue" w:hAnsi="Helvetica Neue"/>
        </w:rPr>
        <w:t xml:space="preserve"> https://arxiv.org/abs/1803.01271 (2018).</w:t>
      </w:r>
    </w:p>
    <w:p w14:paraId="38E8DE55"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lastRenderedPageBreak/>
        <w:t xml:space="preserve">Runge, J. Discovering contemporaneous and lagged causal relations in autocorrelated nonlinear time series datasets. Proc. 36th Conf. Uncertainty </w:t>
      </w:r>
      <w:proofErr w:type="spellStart"/>
      <w:r w:rsidRPr="00C167EE">
        <w:rPr>
          <w:rFonts w:ascii="Helvetica Neue" w:hAnsi="Helvetica Neue"/>
        </w:rPr>
        <w:t>Artif</w:t>
      </w:r>
      <w:proofErr w:type="spellEnd"/>
      <w:r w:rsidRPr="00C167EE">
        <w:rPr>
          <w:rFonts w:ascii="Helvetica Neue" w:hAnsi="Helvetica Neue"/>
        </w:rPr>
        <w:t>. Intell. 1388–1397 (2020).</w:t>
      </w:r>
    </w:p>
    <w:p w14:paraId="58A63825"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Runge, J. et al. Inferring causation from time series in Earth system sciences. Nat. Commun. 10, 2553 (2019).</w:t>
      </w:r>
    </w:p>
    <w:p w14:paraId="7BC4D867"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Didan, K. MOD13A3 MODIS/Terra Vegetation Indices Monthly L3 Global 1km V061. NASA EOSDIS LPDAAC (2021).</w:t>
      </w:r>
    </w:p>
    <w:p w14:paraId="49AED603"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Wan, Z., Hook, S. &amp; Hulley, G. MOD11A2 MODIS/Terra Land Surface Temperature 8-Day L3 Global 1km V061. NASA EOSDIS LPDAAC (2021).</w:t>
      </w:r>
    </w:p>
    <w:p w14:paraId="53550ED3"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Running, S., Mu, Q. &amp; Zhao, M. MOD16A2GF MODIS/Terra Net Evapotranspiration Gap-Filled 8-Day L4 Global 500m V061. NASA EOSDIS LPDAAC (2021).</w:t>
      </w:r>
    </w:p>
    <w:p w14:paraId="01269769"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Giglio, L., Justice, C., Boschetti, L. &amp; Roy, D. MCD64A1 MODIS/</w:t>
      </w:r>
      <w:proofErr w:type="spellStart"/>
      <w:r w:rsidRPr="00C167EE">
        <w:rPr>
          <w:rFonts w:ascii="Helvetica Neue" w:hAnsi="Helvetica Neue"/>
        </w:rPr>
        <w:t>Terra+Aqua</w:t>
      </w:r>
      <w:proofErr w:type="spellEnd"/>
      <w:r w:rsidRPr="00C167EE">
        <w:rPr>
          <w:rFonts w:ascii="Helvetica Neue" w:hAnsi="Helvetica Neue"/>
        </w:rPr>
        <w:t xml:space="preserve"> Burned Area Monthly L3 Global 500m V061. NASA EOSDIS LPDAAC (2021).</w:t>
      </w:r>
    </w:p>
    <w:p w14:paraId="408B5A0E" w14:textId="77777777" w:rsidR="00C167EE" w:rsidRPr="00C167EE" w:rsidRDefault="00C167EE" w:rsidP="00EB6593">
      <w:pPr>
        <w:spacing w:line="480" w:lineRule="auto"/>
        <w:jc w:val="both"/>
        <w:rPr>
          <w:rFonts w:ascii="Helvetica Neue" w:hAnsi="Helvetica Neue"/>
        </w:rPr>
      </w:pPr>
      <w:proofErr w:type="spellStart"/>
      <w:r w:rsidRPr="00C167EE">
        <w:rPr>
          <w:rFonts w:ascii="Helvetica Neue" w:hAnsi="Helvetica Neue"/>
        </w:rPr>
        <w:t>Hersbach</w:t>
      </w:r>
      <w:proofErr w:type="spellEnd"/>
      <w:r w:rsidRPr="00C167EE">
        <w:rPr>
          <w:rFonts w:ascii="Helvetica Neue" w:hAnsi="Helvetica Neue"/>
        </w:rPr>
        <w:t xml:space="preserve">, H. et al. The ERA5 global reanalysis. Q. J. R. </w:t>
      </w:r>
      <w:proofErr w:type="spellStart"/>
      <w:r w:rsidRPr="00C167EE">
        <w:rPr>
          <w:rFonts w:ascii="Helvetica Neue" w:hAnsi="Helvetica Neue"/>
        </w:rPr>
        <w:t>Meteorol</w:t>
      </w:r>
      <w:proofErr w:type="spellEnd"/>
      <w:r w:rsidRPr="00C167EE">
        <w:rPr>
          <w:rFonts w:ascii="Helvetica Neue" w:hAnsi="Helvetica Neue"/>
        </w:rPr>
        <w:t>. Soc. 146, 1999–2049 (2020).</w:t>
      </w:r>
    </w:p>
    <w:p w14:paraId="3D0AACCB"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Dorigo, W. et al. ESA CCI Soil Moisture for improved Earth system understanding. Remote Sens. Environ. 203, 185–215 (2017).</w:t>
      </w:r>
    </w:p>
    <w:p w14:paraId="5D93C7A7"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Cleveland, R. B. et al. STL: a seasonal-trend decomposition procedure based on loess. J. Off. Stat. 6, 3–73 (1990).</w:t>
      </w:r>
    </w:p>
    <w:p w14:paraId="095F3EB1"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Yue, S. &amp; Wang, C. The Mann-Kendall test modified by effective sample size to detect trend in serially correlated hydrological series. Water </w:t>
      </w:r>
      <w:proofErr w:type="spellStart"/>
      <w:r w:rsidRPr="00C167EE">
        <w:rPr>
          <w:rFonts w:ascii="Helvetica Neue" w:hAnsi="Helvetica Neue"/>
        </w:rPr>
        <w:t>Resour</w:t>
      </w:r>
      <w:proofErr w:type="spellEnd"/>
      <w:r w:rsidRPr="00C167EE">
        <w:rPr>
          <w:rFonts w:ascii="Helvetica Neue" w:hAnsi="Helvetica Neue"/>
        </w:rPr>
        <w:t>. Manag. 18, 201–218 (2004).</w:t>
      </w:r>
    </w:p>
    <w:p w14:paraId="25F4CACB"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lastRenderedPageBreak/>
        <w:t>Lenton, T. M. Early warning of climate tipping points. Nat. Clim. Change 1, 201–209 (2011).</w:t>
      </w:r>
    </w:p>
    <w:p w14:paraId="3B1493F4"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FEWS NET. East Africa Food Security Outlook. Famine Early Warning Systems Network (2022).</w:t>
      </w:r>
    </w:p>
    <w:p w14:paraId="1F7CD90D"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Simonyan, K., Vedaldi, A. &amp; Zisserman, A. Deep inside convolutional networks: visualising image classification models and saliency maps. Preprint at </w:t>
      </w:r>
      <w:proofErr w:type="spellStart"/>
      <w:r w:rsidRPr="00C167EE">
        <w:rPr>
          <w:rFonts w:ascii="Helvetica Neue" w:hAnsi="Helvetica Neue"/>
        </w:rPr>
        <w:t>arXiv</w:t>
      </w:r>
      <w:proofErr w:type="spellEnd"/>
      <w:r w:rsidRPr="00C167EE">
        <w:rPr>
          <w:rFonts w:ascii="Helvetica Neue" w:hAnsi="Helvetica Neue"/>
        </w:rPr>
        <w:t xml:space="preserve"> https://arxiv.org/abs/1312.6034 (2013).</w:t>
      </w:r>
    </w:p>
    <w:p w14:paraId="139F804C"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Hirota, M., Holmgren, M., Van Nes, E. H. &amp; Scheffer, M. Global resilience of tropical forest and savanna to critical transitions. Science 334, 232–235 (2011).</w:t>
      </w:r>
    </w:p>
    <w:p w14:paraId="69099C67"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Runge, J. et al. Detecting and quantifying causal associations in large nonlinear time series datasets. Sci. Adv. 5, eaau4996 (2019).</w:t>
      </w:r>
    </w:p>
    <w:p w14:paraId="30C20F7C"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Lovejoy, T. E. &amp; Nobre, C. Amazon tipping point. Sci. Adv. 4, eaat2340 (2018).</w:t>
      </w:r>
    </w:p>
    <w:p w14:paraId="1FD8C963"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Marengo, J. A. et al. The drought of Amazonia in 2005. J. Clim. 21, 495–516 (2008).</w:t>
      </w:r>
    </w:p>
    <w:p w14:paraId="5AB29D6D"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Lewis, S. L. et al. The 2010 Amazon drought. Science 331, 554 (2011).</w:t>
      </w:r>
    </w:p>
    <w:p w14:paraId="114E3CDC"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Seddon, A. W. R. et al. Sensitivity of global terrestrial ecosystems to climate variability. Nature 531, 229–232 (2016).</w:t>
      </w:r>
    </w:p>
    <w:p w14:paraId="01818ABC" w14:textId="77777777" w:rsidR="00C167EE" w:rsidRPr="00C167EE" w:rsidRDefault="00C167EE" w:rsidP="00EB6593">
      <w:pPr>
        <w:spacing w:line="480" w:lineRule="auto"/>
        <w:jc w:val="both"/>
        <w:rPr>
          <w:rFonts w:ascii="Helvetica Neue" w:hAnsi="Helvetica Neue"/>
        </w:rPr>
      </w:pPr>
      <w:proofErr w:type="spellStart"/>
      <w:r w:rsidRPr="00C167EE">
        <w:rPr>
          <w:rFonts w:ascii="Helvetica Neue" w:hAnsi="Helvetica Neue"/>
        </w:rPr>
        <w:t>Forzieri</w:t>
      </w:r>
      <w:proofErr w:type="spellEnd"/>
      <w:r w:rsidRPr="00C167EE">
        <w:rPr>
          <w:rFonts w:ascii="Helvetica Neue" w:hAnsi="Helvetica Neue"/>
        </w:rPr>
        <w:t>, G. et al. Increased control of vegetation on global terrestrial energy fluxes. Nat. Clim. Change 10, 356–362 (2020).</w:t>
      </w:r>
    </w:p>
    <w:p w14:paraId="61B3F45C"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Zscheischler, J. et al. A typology of compound weather and climate events. Nat. Rev. Earth Environ. 1, 333–347 (2020).</w:t>
      </w:r>
    </w:p>
    <w:p w14:paraId="4FB251C0"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Vaswani, A. et al. Attention is all you need. Adv. Neural Inf. Process. Syst. 30 (2017).</w:t>
      </w:r>
    </w:p>
    <w:p w14:paraId="06F72060"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LeCun, Y., Bengio, Y. &amp; Hinton, G. Deep learning. Nature 521, 436–444 (2015).</w:t>
      </w:r>
    </w:p>
    <w:p w14:paraId="51A1AC62"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lastRenderedPageBreak/>
        <w:t xml:space="preserve">Rolnick, D. et al. Tackling climate change with machine learning. ACM </w:t>
      </w:r>
      <w:proofErr w:type="spellStart"/>
      <w:r w:rsidRPr="00C167EE">
        <w:rPr>
          <w:rFonts w:ascii="Helvetica Neue" w:hAnsi="Helvetica Neue"/>
        </w:rPr>
        <w:t>Comput</w:t>
      </w:r>
      <w:proofErr w:type="spellEnd"/>
      <w:r w:rsidRPr="00C167EE">
        <w:rPr>
          <w:rFonts w:ascii="Helvetica Neue" w:hAnsi="Helvetica Neue"/>
        </w:rPr>
        <w:t xml:space="preserve">. </w:t>
      </w:r>
      <w:proofErr w:type="spellStart"/>
      <w:r w:rsidRPr="00C167EE">
        <w:rPr>
          <w:rFonts w:ascii="Helvetica Neue" w:hAnsi="Helvetica Neue"/>
        </w:rPr>
        <w:t>Surv</w:t>
      </w:r>
      <w:proofErr w:type="spellEnd"/>
      <w:r w:rsidRPr="00C167EE">
        <w:rPr>
          <w:rFonts w:ascii="Helvetica Neue" w:hAnsi="Helvetica Neue"/>
        </w:rPr>
        <w:t>. 55, 1–96 (2022).</w:t>
      </w:r>
    </w:p>
    <w:p w14:paraId="425F1D91"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Brandt, M. et al. Satellite passive microwaves reveal recent climate-induced carbon losses in African drylands. Nat. Ecol. Evol. 2, 827–835 (2018).</w:t>
      </w:r>
    </w:p>
    <w:p w14:paraId="55FE2814"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Saatchi, S. S. et al. Benchmark map of forest carbon stocks in tropical regions across three continents. Proc. Natl Acad. Sci. 108, 9899–9904 (2011).</w:t>
      </w:r>
    </w:p>
    <w:p w14:paraId="12547065"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Peng, S. et al. Asymmetric effects of daytime and night-time warming on Northern Hemisphere vegetation. Nature 501, 88–92 (2013).</w:t>
      </w:r>
    </w:p>
    <w:p w14:paraId="4C688019" w14:textId="77777777" w:rsidR="00C167EE" w:rsidRPr="00C167EE" w:rsidRDefault="00C167EE" w:rsidP="00EB6593">
      <w:pPr>
        <w:spacing w:line="480" w:lineRule="auto"/>
        <w:jc w:val="both"/>
        <w:rPr>
          <w:rFonts w:ascii="Helvetica Neue" w:hAnsi="Helvetica Neue"/>
        </w:rPr>
      </w:pPr>
      <w:proofErr w:type="spellStart"/>
      <w:r w:rsidRPr="00C167EE">
        <w:rPr>
          <w:rFonts w:ascii="Helvetica Neue" w:hAnsi="Helvetica Neue"/>
        </w:rPr>
        <w:t>Guttal</w:t>
      </w:r>
      <w:proofErr w:type="spellEnd"/>
      <w:r w:rsidRPr="00C167EE">
        <w:rPr>
          <w:rFonts w:ascii="Helvetica Neue" w:hAnsi="Helvetica Neue"/>
        </w:rPr>
        <w:t>, V. &amp; Jayaprakash, C. Changing skewness: an early warning signal of regime shifts in ecosystems. Ecol. Lett. 11, 450–460 (2008).</w:t>
      </w:r>
    </w:p>
    <w:p w14:paraId="60071BC4"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Andela, N. et al. A human-driven decline in global burned area. Science 356, 1356–1362 (2017).</w:t>
      </w:r>
    </w:p>
    <w:p w14:paraId="0BC1227F"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Nicholson, S. E. The West African Sahel: a review of recent studies. Atmosphere 4, 286–337 (2013).</w:t>
      </w:r>
    </w:p>
    <w:p w14:paraId="0B551205"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Funk, C. et al. Warming of the Indian Ocean threatens eastern and southern African food security. Proc. Natl Acad. Sci. 105, 11081–11086 (2008).</w:t>
      </w:r>
    </w:p>
    <w:p w14:paraId="59A0FFEA"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 xml:space="preserve">Tuia, D. et al. Toward a collective agenda on AI for Earth observation data analysis. IEEE </w:t>
      </w:r>
      <w:proofErr w:type="spellStart"/>
      <w:r w:rsidRPr="00C167EE">
        <w:rPr>
          <w:rFonts w:ascii="Helvetica Neue" w:hAnsi="Helvetica Neue"/>
        </w:rPr>
        <w:t>Geosci</w:t>
      </w:r>
      <w:proofErr w:type="spellEnd"/>
      <w:r w:rsidRPr="00C167EE">
        <w:rPr>
          <w:rFonts w:ascii="Helvetica Neue" w:hAnsi="Helvetica Neue"/>
        </w:rPr>
        <w:t>. Remote Sens. Mag. 9, 88–104 (2021).</w:t>
      </w:r>
    </w:p>
    <w:p w14:paraId="10869365" w14:textId="77777777" w:rsidR="00C167EE" w:rsidRPr="00C167EE" w:rsidRDefault="00C167EE" w:rsidP="00EB6593">
      <w:pPr>
        <w:spacing w:line="480" w:lineRule="auto"/>
        <w:jc w:val="both"/>
        <w:rPr>
          <w:rFonts w:ascii="Helvetica Neue" w:hAnsi="Helvetica Neue"/>
        </w:rPr>
      </w:pPr>
      <w:proofErr w:type="spellStart"/>
      <w:r w:rsidRPr="00C167EE">
        <w:rPr>
          <w:rFonts w:ascii="Helvetica Neue" w:hAnsi="Helvetica Neue"/>
        </w:rPr>
        <w:t>Verbesselt</w:t>
      </w:r>
      <w:proofErr w:type="spellEnd"/>
      <w:r w:rsidRPr="00C167EE">
        <w:rPr>
          <w:rFonts w:ascii="Helvetica Neue" w:hAnsi="Helvetica Neue"/>
        </w:rPr>
        <w:t>, J. et al. Remotely sensed resilience of tropical forests. Nat. Clim. Change 6, 1028–1031 (2016).</w:t>
      </w:r>
    </w:p>
    <w:p w14:paraId="15D145F0"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t>Boers, N., Rypdal, M. &amp; Rypdal, K. Cascading regime shifts within and across scales. Science 367, 1117–1123 (2020).</w:t>
      </w:r>
    </w:p>
    <w:p w14:paraId="1874BD2A" w14:textId="77777777" w:rsidR="00C167EE" w:rsidRPr="00C167EE" w:rsidRDefault="00C167EE" w:rsidP="00EB6593">
      <w:pPr>
        <w:spacing w:line="480" w:lineRule="auto"/>
        <w:jc w:val="both"/>
        <w:rPr>
          <w:rFonts w:ascii="Helvetica Neue" w:hAnsi="Helvetica Neue"/>
        </w:rPr>
      </w:pPr>
      <w:r w:rsidRPr="00C167EE">
        <w:rPr>
          <w:rFonts w:ascii="Helvetica Neue" w:hAnsi="Helvetica Neue"/>
        </w:rPr>
        <w:lastRenderedPageBreak/>
        <w:t>Kriegler, E. et al. Imprecise probability assessment of tipping points in the climate system. Proc. Natl Acad. Sci. 106, 5041–5046 (2009).</w:t>
      </w:r>
    </w:p>
    <w:p w14:paraId="10F86A99" w14:textId="77777777" w:rsidR="00CF1D58" w:rsidRDefault="00CF1D58" w:rsidP="00EB6593">
      <w:pPr>
        <w:spacing w:line="480" w:lineRule="auto"/>
        <w:jc w:val="both"/>
        <w:rPr>
          <w:rFonts w:ascii="Helvetica Neue" w:hAnsi="Helvetica Neue"/>
        </w:rPr>
      </w:pPr>
    </w:p>
    <w:p w14:paraId="5189B7D8" w14:textId="484E841C" w:rsidR="00C167EE" w:rsidRDefault="00C167EE" w:rsidP="00EB6593">
      <w:pPr>
        <w:spacing w:line="480" w:lineRule="auto"/>
        <w:jc w:val="both"/>
        <w:rPr>
          <w:rFonts w:ascii="Helvetica Neue" w:hAnsi="Helvetica Neue"/>
          <w:b/>
          <w:bCs/>
        </w:rPr>
      </w:pPr>
      <w:r w:rsidRPr="00CF1D58">
        <w:rPr>
          <w:rFonts w:ascii="Helvetica Neue" w:hAnsi="Helvetica Neue"/>
          <w:b/>
          <w:bCs/>
        </w:rPr>
        <w:t>Figur</w:t>
      </w:r>
      <w:r w:rsidR="00CF1D58" w:rsidRPr="00CF1D58">
        <w:rPr>
          <w:rFonts w:ascii="Helvetica Neue" w:hAnsi="Helvetica Neue"/>
          <w:b/>
          <w:bCs/>
        </w:rPr>
        <w:t>es</w:t>
      </w:r>
    </w:p>
    <w:p w14:paraId="02BA7696" w14:textId="5064B79A" w:rsidR="000E1237" w:rsidRPr="00CF1D58" w:rsidRDefault="000E1237" w:rsidP="00EB6593">
      <w:pPr>
        <w:spacing w:line="480" w:lineRule="auto"/>
        <w:jc w:val="center"/>
        <w:rPr>
          <w:rFonts w:ascii="Helvetica Neue" w:hAnsi="Helvetica Neue"/>
          <w:b/>
          <w:bCs/>
        </w:rPr>
      </w:pPr>
      <w:r>
        <w:rPr>
          <w:noProof/>
        </w:rPr>
        <w:drawing>
          <wp:inline distT="0" distB="0" distL="0" distR="0" wp14:anchorId="1B881ABB" wp14:editId="5DD091DF">
            <wp:extent cx="4667534" cy="5475709"/>
            <wp:effectExtent l="0" t="0" r="0" b="0"/>
            <wp:docPr id="65775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52138"/>
                    <a:stretch>
                      <a:fillRect/>
                    </a:stretch>
                  </pic:blipFill>
                  <pic:spPr bwMode="auto">
                    <a:xfrm>
                      <a:off x="0" y="0"/>
                      <a:ext cx="4671893" cy="5480823"/>
                    </a:xfrm>
                    <a:prstGeom prst="rect">
                      <a:avLst/>
                    </a:prstGeom>
                    <a:noFill/>
                    <a:ln>
                      <a:noFill/>
                    </a:ln>
                    <a:extLst>
                      <a:ext uri="{53640926-AAD7-44D8-BBD7-CCE9431645EC}">
                        <a14:shadowObscured xmlns:a14="http://schemas.microsoft.com/office/drawing/2010/main"/>
                      </a:ext>
                    </a:extLst>
                  </pic:spPr>
                </pic:pic>
              </a:graphicData>
            </a:graphic>
          </wp:inline>
        </w:drawing>
      </w:r>
    </w:p>
    <w:p w14:paraId="3280D9E5" w14:textId="77777777" w:rsidR="00B56B22" w:rsidRPr="00B56B22" w:rsidRDefault="00B56B22" w:rsidP="00EB6593">
      <w:pPr>
        <w:spacing w:line="480" w:lineRule="auto"/>
        <w:jc w:val="both"/>
        <w:rPr>
          <w:rFonts w:ascii="Helvetica Neue" w:hAnsi="Helvetica Neue"/>
        </w:rPr>
      </w:pPr>
      <w:r w:rsidRPr="00B56B22">
        <w:rPr>
          <w:rFonts w:ascii="Helvetica Neue" w:hAnsi="Helvetica Neue"/>
        </w:rPr>
        <w:t xml:space="preserve">Fig. 1 | Multi-source Earth observation dataset and analytical framework. </w:t>
      </w:r>
      <w:proofErr w:type="gramStart"/>
      <w:r w:rsidRPr="00B56B22">
        <w:rPr>
          <w:rFonts w:ascii="Helvetica Neue" w:hAnsi="Helvetica Neue"/>
        </w:rPr>
        <w:t>a,</w:t>
      </w:r>
      <w:proofErr w:type="gramEnd"/>
      <w:r w:rsidRPr="00B56B22">
        <w:rPr>
          <w:rFonts w:ascii="Helvetica Neue" w:hAnsi="Helvetica Neue"/>
        </w:rPr>
        <w:t xml:space="preserve"> Regional study area boundaries discretised into sub-units at 0.05° (~5.5 km) spatial resolution: Amazon Rainforest (left), Sahel Drylands (centre), and East Africa (right). Colour intensity reflects regional sub-unit index. b, Multi-source Earth observation input </w:t>
      </w:r>
      <w:r w:rsidRPr="00B56B22">
        <w:rPr>
          <w:rFonts w:ascii="Helvetica Neue" w:hAnsi="Helvetica Neue"/>
        </w:rPr>
        <w:lastRenderedPageBreak/>
        <w:t>variables assembled for 2000–2023 (14 variables total). MODIS products: MOD13A3 v6.1 (NDVI, EVI; 1 km monthly), MOD11A2 v6.1 (</w:t>
      </w:r>
      <w:proofErr w:type="spellStart"/>
      <w:r w:rsidRPr="00B56B22">
        <w:rPr>
          <w:rFonts w:ascii="Helvetica Neue" w:hAnsi="Helvetica Neue"/>
        </w:rPr>
        <w:t>LST_Day</w:t>
      </w:r>
      <w:proofErr w:type="spellEnd"/>
      <w:r w:rsidRPr="00B56B22">
        <w:rPr>
          <w:rFonts w:ascii="Helvetica Neue" w:hAnsi="Helvetica Neue"/>
        </w:rPr>
        <w:t xml:space="preserve">, </w:t>
      </w:r>
      <w:proofErr w:type="spellStart"/>
      <w:r w:rsidRPr="00B56B22">
        <w:rPr>
          <w:rFonts w:ascii="Helvetica Neue" w:hAnsi="Helvetica Neue"/>
        </w:rPr>
        <w:t>LST_Night</w:t>
      </w:r>
      <w:proofErr w:type="spellEnd"/>
      <w:r w:rsidRPr="00B56B22">
        <w:rPr>
          <w:rFonts w:ascii="Helvetica Neue" w:hAnsi="Helvetica Neue"/>
        </w:rPr>
        <w:t>; 1 km 8-day), MOD16A2GF v6.1 (ET; 500 m 8-day), MCD64A1 v6.1 (</w:t>
      </w:r>
      <w:proofErr w:type="spellStart"/>
      <w:r w:rsidRPr="00B56B22">
        <w:rPr>
          <w:rFonts w:ascii="Helvetica Neue" w:hAnsi="Helvetica Neue"/>
        </w:rPr>
        <w:t>BurnDate</w:t>
      </w:r>
      <w:proofErr w:type="spellEnd"/>
      <w:r w:rsidRPr="00B56B22">
        <w:rPr>
          <w:rFonts w:ascii="Helvetica Neue" w:hAnsi="Helvetica Neue"/>
        </w:rPr>
        <w:t>; 500 m monthly). ERA5 reanalysis: precipitation (</w:t>
      </w:r>
      <w:proofErr w:type="spellStart"/>
      <w:r w:rsidRPr="00B56B22">
        <w:rPr>
          <w:rFonts w:ascii="Helvetica Neue" w:hAnsi="Helvetica Neue"/>
        </w:rPr>
        <w:t>tp</w:t>
      </w:r>
      <w:proofErr w:type="spellEnd"/>
      <w:r w:rsidRPr="00B56B22">
        <w:rPr>
          <w:rFonts w:ascii="Helvetica Neue" w:hAnsi="Helvetica Neue"/>
        </w:rPr>
        <w:t>), 2 m air temperature (t2m), potential evapotranspiration (</w:t>
      </w:r>
      <w:proofErr w:type="spellStart"/>
      <w:r w:rsidRPr="00B56B22">
        <w:rPr>
          <w:rFonts w:ascii="Helvetica Neue" w:hAnsi="Helvetica Neue"/>
        </w:rPr>
        <w:t>pev</w:t>
      </w:r>
      <w:proofErr w:type="spellEnd"/>
      <w:r w:rsidRPr="00B56B22">
        <w:rPr>
          <w:rFonts w:ascii="Helvetica Neue" w:hAnsi="Helvetica Neue"/>
        </w:rPr>
        <w:t>), and soil water volume (swvl1), plus their monthly anomalies (0.25° monthly). ESA CCI Combined Soil Moisture v8.1 (</w:t>
      </w:r>
      <w:proofErr w:type="spellStart"/>
      <w:r w:rsidRPr="00B56B22">
        <w:rPr>
          <w:rFonts w:ascii="Helvetica Neue" w:hAnsi="Helvetica Neue"/>
        </w:rPr>
        <w:t>soil_moisture</w:t>
      </w:r>
      <w:proofErr w:type="spellEnd"/>
      <w:r w:rsidRPr="00B56B22">
        <w:rPr>
          <w:rFonts w:ascii="Helvetica Neue" w:hAnsi="Helvetica Neue"/>
        </w:rPr>
        <w:t xml:space="preserve">; 0.25° daily). All variables harmonised to 0.05° monthly resolution. c, </w:t>
      </w:r>
      <w:proofErr w:type="gramStart"/>
      <w:r w:rsidRPr="00B56B22">
        <w:rPr>
          <w:rFonts w:ascii="Helvetica Neue" w:hAnsi="Helvetica Neue"/>
        </w:rPr>
        <w:t>Integrated</w:t>
      </w:r>
      <w:proofErr w:type="gramEnd"/>
      <w:r w:rsidRPr="00B56B22">
        <w:rPr>
          <w:rFonts w:ascii="Helvetica Neue" w:hAnsi="Helvetica Neue"/>
        </w:rPr>
        <w:t xml:space="preserve"> analytical framework: multi-source EO data undergo spatiotemporal harmonisation, then feed a three-component EWS engine (classical critical slowing down, dilated TCN with self-attention, and PCMCI+ causal discovery), yielding risk maps, lead-time estimates, and causal driver attribution.</w:t>
      </w:r>
    </w:p>
    <w:p w14:paraId="1433FFBC" w14:textId="6FEFA373" w:rsidR="00B56B22" w:rsidRPr="00B56B22" w:rsidRDefault="000E1237" w:rsidP="00EB6593">
      <w:pPr>
        <w:spacing w:line="480" w:lineRule="auto"/>
        <w:jc w:val="center"/>
        <w:rPr>
          <w:rFonts w:ascii="Helvetica Neue" w:hAnsi="Helvetica Neue"/>
        </w:rPr>
      </w:pPr>
      <w:r>
        <w:rPr>
          <w:noProof/>
        </w:rPr>
        <w:drawing>
          <wp:inline distT="0" distB="0" distL="0" distR="0" wp14:anchorId="36C155E9" wp14:editId="0F3B20A4">
            <wp:extent cx="5472752" cy="4842365"/>
            <wp:effectExtent l="0" t="0" r="0" b="0"/>
            <wp:docPr id="71894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r="36542"/>
                    <a:stretch>
                      <a:fillRect/>
                    </a:stretch>
                  </pic:blipFill>
                  <pic:spPr bwMode="auto">
                    <a:xfrm>
                      <a:off x="0" y="0"/>
                      <a:ext cx="5476636" cy="4845801"/>
                    </a:xfrm>
                    <a:prstGeom prst="rect">
                      <a:avLst/>
                    </a:prstGeom>
                    <a:noFill/>
                    <a:ln>
                      <a:noFill/>
                    </a:ln>
                    <a:extLst>
                      <a:ext uri="{53640926-AAD7-44D8-BBD7-CCE9431645EC}">
                        <a14:shadowObscured xmlns:a14="http://schemas.microsoft.com/office/drawing/2010/main"/>
                      </a:ext>
                    </a:extLst>
                  </pic:spPr>
                </pic:pic>
              </a:graphicData>
            </a:graphic>
          </wp:inline>
        </w:drawing>
      </w:r>
    </w:p>
    <w:p w14:paraId="29E68519" w14:textId="77777777" w:rsidR="00B56B22" w:rsidRPr="00B56B22" w:rsidRDefault="00B56B22" w:rsidP="00EB6593">
      <w:pPr>
        <w:spacing w:line="480" w:lineRule="auto"/>
        <w:jc w:val="both"/>
        <w:rPr>
          <w:rFonts w:ascii="Helvetica Neue" w:hAnsi="Helvetica Neue"/>
        </w:rPr>
      </w:pPr>
      <w:r w:rsidRPr="00B56B22">
        <w:rPr>
          <w:rFonts w:ascii="Helvetica Neue" w:hAnsi="Helvetica Neue"/>
        </w:rPr>
        <w:lastRenderedPageBreak/>
        <w:t xml:space="preserve">Fig. 2 | Classical early warning signals of ecosystem collapse. Rolling variance (left column) and lag-1 autocorrelation </w:t>
      </w:r>
      <w:proofErr w:type="gramStart"/>
      <w:r w:rsidRPr="00B56B22">
        <w:rPr>
          <w:rFonts w:ascii="Helvetica Neue" w:hAnsi="Helvetica Neue"/>
        </w:rPr>
        <w:t>AC(</w:t>
      </w:r>
      <w:proofErr w:type="gramEnd"/>
      <w:r w:rsidRPr="00B56B22">
        <w:rPr>
          <w:rFonts w:ascii="Helvetica Neue" w:hAnsi="Helvetica Neue"/>
        </w:rPr>
        <w:t xml:space="preserve">1) (right column) for the highest-EWS-score NDVI sub-region per ecosystem (Amazon region 4, Sahel region 13, East Africa region 8) over 2000–2023. Time series were first </w:t>
      </w:r>
      <w:proofErr w:type="spellStart"/>
      <w:r w:rsidRPr="00B56B22">
        <w:rPr>
          <w:rFonts w:ascii="Helvetica Neue" w:hAnsi="Helvetica Neue"/>
        </w:rPr>
        <w:t>deseasonalised</w:t>
      </w:r>
      <w:proofErr w:type="spellEnd"/>
      <w:r w:rsidRPr="00B56B22">
        <w:rPr>
          <w:rFonts w:ascii="Helvetica Neue" w:hAnsi="Helvetica Neue"/>
        </w:rPr>
        <w:t xml:space="preserve"> using STL decomposition (period = 12 months, robust = True) and then detrended with a Gaussian kernel smoother (bandwidth = 0.5 × series length) before applying a 50-month rolling window (minimum 25 observations). a, b, Amazon Rainforest. c, d, Sahel Drylands. e, f, East Africa. Shaded fills show signal magnitude. Kendall τ values from block-bootstrapped Mann–Kendall tests (500 resamples, block size √n) are annotated at top-right of each panel; red text indicates a significant rising trend (p &lt; 0.05); **, p &lt; 0.01; *, p &lt; 0.05; ns, not significant.</w:t>
      </w:r>
    </w:p>
    <w:p w14:paraId="0B8CD399" w14:textId="7B36B1E8" w:rsidR="00B56B22" w:rsidRPr="00B56B22" w:rsidRDefault="009E02F7" w:rsidP="00EB6593">
      <w:pPr>
        <w:spacing w:line="480" w:lineRule="auto"/>
        <w:jc w:val="center"/>
        <w:rPr>
          <w:rFonts w:ascii="Helvetica Neue" w:hAnsi="Helvetica Neue"/>
        </w:rPr>
      </w:pPr>
      <w:r>
        <w:rPr>
          <w:noProof/>
        </w:rPr>
        <w:drawing>
          <wp:inline distT="0" distB="0" distL="0" distR="0" wp14:anchorId="0D2C55EC" wp14:editId="79FE799C">
            <wp:extent cx="5718412" cy="2734554"/>
            <wp:effectExtent l="0" t="0" r="0" b="8890"/>
            <wp:docPr id="623926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1" r="12722" b="25668"/>
                    <a:stretch>
                      <a:fillRect/>
                    </a:stretch>
                  </pic:blipFill>
                  <pic:spPr bwMode="auto">
                    <a:xfrm>
                      <a:off x="0" y="0"/>
                      <a:ext cx="5731284" cy="2740710"/>
                    </a:xfrm>
                    <a:prstGeom prst="rect">
                      <a:avLst/>
                    </a:prstGeom>
                    <a:noFill/>
                    <a:ln>
                      <a:noFill/>
                    </a:ln>
                    <a:extLst>
                      <a:ext uri="{53640926-AAD7-44D8-BBD7-CCE9431645EC}">
                        <a14:shadowObscured xmlns:a14="http://schemas.microsoft.com/office/drawing/2010/main"/>
                      </a:ext>
                    </a:extLst>
                  </pic:spPr>
                </pic:pic>
              </a:graphicData>
            </a:graphic>
          </wp:inline>
        </w:drawing>
      </w:r>
    </w:p>
    <w:p w14:paraId="349E3AF2" w14:textId="397DD62A" w:rsidR="00B56B22" w:rsidRPr="00B56B22" w:rsidRDefault="00B56B22" w:rsidP="00EB6593">
      <w:pPr>
        <w:spacing w:line="480" w:lineRule="auto"/>
        <w:jc w:val="both"/>
        <w:rPr>
          <w:rFonts w:ascii="Helvetica Neue" w:hAnsi="Helvetica Neue"/>
        </w:rPr>
      </w:pPr>
      <w:r w:rsidRPr="00B56B22">
        <w:rPr>
          <w:rFonts w:ascii="Helvetica Neue" w:hAnsi="Helvetica Neue"/>
        </w:rPr>
        <w:t xml:space="preserve">Fig. 3 | Deep learning EWS detector performance and temporal feature attribution. a, Leave-one-event-out (LOEO) AUC-ROC for the TCN detector and three baseline models Logistic Regression, Gradient Boosting, and LSTM evaluated under identical LOEO protocols. Bars show mean AUC; error bars show inter-fold/inter-event standard deviation. Individual TCN fold AUCs are overlaid as white dots. The dashed </w:t>
      </w:r>
      <w:r w:rsidRPr="00B56B22">
        <w:rPr>
          <w:rFonts w:ascii="Helvetica Neue" w:hAnsi="Helvetica Neue"/>
        </w:rPr>
        <w:lastRenderedPageBreak/>
        <w:t>line marks random performance (AUC = 0.5). Significance bracket (***) indicates the TCN significantly outperforms the best baseline (LSTM; p &lt; 0.001). Values above bars are mean AUC. TCN: 5-fold LOEO (AUC = 0.883 ± 0.136); Logistic Regression: 0.560 ± 0.148; Gradient Boosting: 0.575 ± 0.154; LSTM: 0.686 ± 0.194. b, Temporal Gradient × Input (</w:t>
      </w:r>
      <w:proofErr w:type="spellStart"/>
      <w:r w:rsidRPr="00B56B22">
        <w:rPr>
          <w:rFonts w:ascii="Helvetica Neue" w:hAnsi="Helvetica Neue"/>
        </w:rPr>
        <w:t>GxI</w:t>
      </w:r>
      <w:proofErr w:type="spellEnd"/>
      <w:r w:rsidRPr="00B56B22">
        <w:rPr>
          <w:rFonts w:ascii="Helvetica Neue" w:hAnsi="Helvetica Neue"/>
        </w:rPr>
        <w:t>) attribution heatmap showing mean absolute attribution per input feature (rows) across the 60-month input window (columns; 0 = most recent month). Red–blue diverging colour scale indicates the direction and magnitude of attribution. Red arrows (</w:t>
      </w:r>
      <w:r w:rsidRPr="00B56B22">
        <w:rPr>
          <w:rFonts w:ascii="Cambria Math" w:hAnsi="Cambria Math" w:cs="Cambria Math"/>
        </w:rPr>
        <w:t>◀</w:t>
      </w:r>
      <w:r w:rsidRPr="00B56B22">
        <w:rPr>
          <w:rFonts w:ascii="Helvetica Neue" w:hAnsi="Helvetica Neue"/>
        </w:rPr>
        <w:t>) mark the three highest-importance features: t2m (2 m air temperature), swvl1_anom (soil water volume anomaly), and t2m_anom (temperature anomaly), consistent with thermal stress pathways preceding vegetation decline.</w:t>
      </w:r>
    </w:p>
    <w:p w14:paraId="35482FC1" w14:textId="74350231" w:rsidR="00B56B22" w:rsidRPr="00B56B22" w:rsidRDefault="00DA50C0" w:rsidP="00EB6593">
      <w:pPr>
        <w:spacing w:line="480" w:lineRule="auto"/>
        <w:jc w:val="center"/>
        <w:rPr>
          <w:rFonts w:ascii="Helvetica Neue" w:hAnsi="Helvetica Neue"/>
        </w:rPr>
      </w:pPr>
      <w:r>
        <w:rPr>
          <w:noProof/>
        </w:rPr>
        <w:drawing>
          <wp:inline distT="0" distB="0" distL="0" distR="0" wp14:anchorId="096A3983" wp14:editId="2AB1F69D">
            <wp:extent cx="5472752" cy="3574765"/>
            <wp:effectExtent l="0" t="0" r="0" b="6985"/>
            <wp:docPr id="1370882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r="14039"/>
                    <a:stretch>
                      <a:fillRect/>
                    </a:stretch>
                  </pic:blipFill>
                  <pic:spPr bwMode="auto">
                    <a:xfrm>
                      <a:off x="0" y="0"/>
                      <a:ext cx="5478054" cy="3578228"/>
                    </a:xfrm>
                    <a:prstGeom prst="rect">
                      <a:avLst/>
                    </a:prstGeom>
                    <a:noFill/>
                    <a:ln>
                      <a:noFill/>
                    </a:ln>
                    <a:extLst>
                      <a:ext uri="{53640926-AAD7-44D8-BBD7-CCE9431645EC}">
                        <a14:shadowObscured xmlns:a14="http://schemas.microsoft.com/office/drawing/2010/main"/>
                      </a:ext>
                    </a:extLst>
                  </pic:spPr>
                </pic:pic>
              </a:graphicData>
            </a:graphic>
          </wp:inline>
        </w:drawing>
      </w:r>
    </w:p>
    <w:p w14:paraId="2D5CD0C9" w14:textId="77777777" w:rsidR="00B56B22" w:rsidRDefault="00B56B22" w:rsidP="00EB6593">
      <w:pPr>
        <w:spacing w:line="480" w:lineRule="auto"/>
        <w:jc w:val="both"/>
        <w:rPr>
          <w:rFonts w:ascii="Helvetica Neue" w:hAnsi="Helvetica Neue"/>
        </w:rPr>
      </w:pPr>
      <w:r w:rsidRPr="00B56B22">
        <w:rPr>
          <w:rFonts w:ascii="Helvetica Neue" w:hAnsi="Helvetica Neue"/>
        </w:rPr>
        <w:t xml:space="preserve">Fig. 4 | Spatially explicit ecosystem collapse risk maps (2000–2023). Top row (a, b, c): Deep learning (TCN) risk maps derived from 90th-percentile regional prediction scores interpolated to the </w:t>
      </w:r>
      <w:proofErr w:type="gramStart"/>
      <w:r w:rsidRPr="00B56B22">
        <w:rPr>
          <w:rFonts w:ascii="Helvetica Neue" w:hAnsi="Helvetica Neue"/>
        </w:rPr>
        <w:t>0.05° pixel</w:t>
      </w:r>
      <w:proofErr w:type="gramEnd"/>
      <w:r w:rsidRPr="00B56B22">
        <w:rPr>
          <w:rFonts w:ascii="Helvetica Neue" w:hAnsi="Helvetica Neue"/>
        </w:rPr>
        <w:t xml:space="preserve"> grid. Bottom row (d, e, f): Classical EWS composite risk maps derived from rolling variance and lag-1 autocorrelation Kendall τ trends. </w:t>
      </w:r>
      <w:r w:rsidRPr="00B56B22">
        <w:rPr>
          <w:rFonts w:ascii="Helvetica Neue" w:hAnsi="Helvetica Neue"/>
        </w:rPr>
        <w:lastRenderedPageBreak/>
        <w:t>Columns from left to right: Amazon Rainforest, Sahel Drylands, East Africa. Colour scale: green = low collapse risk, red = high collapse risk (</w:t>
      </w:r>
      <w:proofErr w:type="spellStart"/>
      <w:r w:rsidRPr="00B56B22">
        <w:rPr>
          <w:rFonts w:ascii="Helvetica Neue" w:hAnsi="Helvetica Neue"/>
        </w:rPr>
        <w:t>RdYlGn_r</w:t>
      </w:r>
      <w:proofErr w:type="spellEnd"/>
      <w:r w:rsidRPr="00B56B22">
        <w:rPr>
          <w:rFonts w:ascii="Helvetica Neue" w:hAnsi="Helvetica Neue"/>
        </w:rPr>
        <w:t>). Dashed contours delineate the high-risk threshold (score ≥ 0.6). Percentages inset in each panel show the fraction of valid pixels exceeding this threshold. DL maps: Amazon 77%, Sahel 73%, East Africa 74%. Classical maps: Amazon 33%, Sahel 52%, East Africa 47%.</w:t>
      </w:r>
    </w:p>
    <w:p w14:paraId="3FE4FC81" w14:textId="77777777" w:rsidR="00DA50C0" w:rsidRPr="00B56B22" w:rsidRDefault="00DA50C0" w:rsidP="00EB6593">
      <w:pPr>
        <w:spacing w:line="480" w:lineRule="auto"/>
        <w:jc w:val="both"/>
        <w:rPr>
          <w:rFonts w:ascii="Helvetica Neue" w:hAnsi="Helvetica Neue"/>
        </w:rPr>
      </w:pPr>
    </w:p>
    <w:p w14:paraId="5CC28868" w14:textId="33F8EF95" w:rsidR="00B56B22" w:rsidRPr="00B56B22" w:rsidRDefault="00DA50C0" w:rsidP="00EB6593">
      <w:pPr>
        <w:spacing w:line="480" w:lineRule="auto"/>
        <w:jc w:val="both"/>
        <w:rPr>
          <w:rFonts w:ascii="Helvetica Neue" w:hAnsi="Helvetica Neue"/>
        </w:rPr>
      </w:pPr>
      <w:r>
        <w:rPr>
          <w:noProof/>
        </w:rPr>
        <w:drawing>
          <wp:inline distT="0" distB="0" distL="0" distR="0" wp14:anchorId="24E80BC8" wp14:editId="20DCBD76">
            <wp:extent cx="5731510" cy="3218180"/>
            <wp:effectExtent l="0" t="0" r="2540" b="1270"/>
            <wp:docPr id="148392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2DF7F25F" w14:textId="77777777" w:rsidR="00B56B22" w:rsidRPr="00B56B22" w:rsidRDefault="00B56B22" w:rsidP="00EB6593">
      <w:pPr>
        <w:spacing w:line="480" w:lineRule="auto"/>
        <w:jc w:val="both"/>
        <w:rPr>
          <w:rFonts w:ascii="Helvetica Neue" w:hAnsi="Helvetica Neue"/>
        </w:rPr>
      </w:pPr>
      <w:r w:rsidRPr="00B56B22">
        <w:rPr>
          <w:rFonts w:ascii="Helvetica Neue" w:hAnsi="Helvetica Neue"/>
        </w:rPr>
        <w:t xml:space="preserve">Fig. 5 | Dominant time-lagged causal pathways to NDVI decline identified by PCMCI+ (α = 0.05). Horizontal bar charts of mean absolute causal effect strength for each driver → NDVI pair, aggregated across sub-regions per ecosystem: a, Amazon Rainforest; b, Sahel Drylands; c, East Africa. Only statistically significant links (α = 0.05, FDR-corrected) are included. Bars are coloured by causal lag (months 1–6; see legend). In the Amazon, soil moisture (lag 1, β = 0.411) and evapotranspiration ET (lag 1, β = 0.299) are the dominant drivers. In the Sahel, ET dominates (lag 1, β = 0.470) followed by soil moisture (lag 1, β = 0.413). In East Africa, ET leads at lag 6 (β = 0.490) and lag 1 (β = 0.441). No direct t2m_anom → NDVI causal link was detected in the Sahel; </w:t>
      </w:r>
      <w:r w:rsidRPr="00B56B22">
        <w:rPr>
          <w:rFonts w:ascii="Helvetica Neue" w:hAnsi="Helvetica Neue"/>
        </w:rPr>
        <w:lastRenderedPageBreak/>
        <w:t>temperature acts indirectly through ET. Consistent causal lags of 1–6 months across biomes indicate both fast thermal stress and slower drought propagation pathways.</w:t>
      </w:r>
    </w:p>
    <w:p w14:paraId="1C19F244" w14:textId="3AF49A7B" w:rsidR="00B56B22" w:rsidRPr="00B56B22" w:rsidRDefault="00DA50C0" w:rsidP="00EB6593">
      <w:pPr>
        <w:spacing w:line="480" w:lineRule="auto"/>
        <w:jc w:val="both"/>
        <w:rPr>
          <w:rFonts w:ascii="Helvetica Neue" w:hAnsi="Helvetica Neue"/>
        </w:rPr>
      </w:pPr>
      <w:r>
        <w:rPr>
          <w:noProof/>
        </w:rPr>
        <w:drawing>
          <wp:inline distT="0" distB="0" distL="0" distR="0" wp14:anchorId="456C728E" wp14:editId="7564BFF3">
            <wp:extent cx="5670645" cy="3359683"/>
            <wp:effectExtent l="0" t="0" r="6350" b="0"/>
            <wp:docPr id="613984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a:extLst>
                        <a:ext uri="{28A0092B-C50C-407E-A947-70E740481C1C}">
                          <a14:useLocalDpi xmlns:a14="http://schemas.microsoft.com/office/drawing/2010/main" val="0"/>
                        </a:ext>
                      </a:extLst>
                    </a:blip>
                    <a:srcRect r="5229"/>
                    <a:stretch>
                      <a:fillRect/>
                    </a:stretch>
                  </pic:blipFill>
                  <pic:spPr bwMode="auto">
                    <a:xfrm>
                      <a:off x="0" y="0"/>
                      <a:ext cx="5675286" cy="3362432"/>
                    </a:xfrm>
                    <a:prstGeom prst="rect">
                      <a:avLst/>
                    </a:prstGeom>
                    <a:noFill/>
                    <a:ln>
                      <a:noFill/>
                    </a:ln>
                    <a:extLst>
                      <a:ext uri="{53640926-AAD7-44D8-BBD7-CCE9431645EC}">
                        <a14:shadowObscured xmlns:a14="http://schemas.microsoft.com/office/drawing/2010/main"/>
                      </a:ext>
                    </a:extLst>
                  </pic:spPr>
                </pic:pic>
              </a:graphicData>
            </a:graphic>
          </wp:inline>
        </w:drawing>
      </w:r>
    </w:p>
    <w:p w14:paraId="39F4D07D" w14:textId="211EEC85" w:rsidR="00EC46AA" w:rsidRPr="00C167EE" w:rsidRDefault="00B56B22" w:rsidP="00EB6593">
      <w:pPr>
        <w:spacing w:line="480" w:lineRule="auto"/>
        <w:jc w:val="both"/>
        <w:rPr>
          <w:rFonts w:ascii="Helvetica Neue" w:hAnsi="Helvetica Neue"/>
        </w:rPr>
      </w:pPr>
      <w:r w:rsidRPr="00B56B22">
        <w:rPr>
          <w:rFonts w:ascii="Helvetica Neue" w:hAnsi="Helvetica Neue"/>
        </w:rPr>
        <w:t>Fig. 6 | Validation of the deep learning EWS detector against nine documented ecosystem stress events. a, Per-event Kendall τ computed on mean regional TCN risk scores during the 24 months preceding each event onset. Green bars: statistically significant rising pre-event signal detected (τ &gt; 0, p &lt; 0.1). Red bars: no significant rising signal. Grey hatched bar (Amazon Drought 2005): no valid τ computed due to an insufficient pre-event window. Significance stars show event-level p-values (***, p &lt; 0.001; **, p &lt; 0.01; *, p &lt; 0.05). Seven of nine events were detected. The two non-detections are Amazon Drought 2005 (no valid τ) and Sahel Crisis 2011–12 (τ = +0.196, p = 0.19, below the p &lt; 0.1 threshold). The strongest signals were Amazon Drought 2020 (τ = 0.754, p = 6.3 × 10</w:t>
      </w:r>
      <w:r w:rsidR="00DA50C0" w:rsidRPr="00DA50C0">
        <w:rPr>
          <w:rFonts w:ascii="Cambria Math" w:hAnsi="Cambria Math" w:cs="Cambria Math"/>
          <w:vertAlign w:val="superscript"/>
        </w:rPr>
        <w:t>-9</w:t>
      </w:r>
      <w:r w:rsidRPr="00B56B22">
        <w:rPr>
          <w:rFonts w:ascii="Helvetica Neue" w:hAnsi="Helvetica Neue"/>
        </w:rPr>
        <w:t>) and Horn of Africa Famine 2011 (</w:t>
      </w:r>
      <w:r w:rsidRPr="00B56B22">
        <w:rPr>
          <w:rFonts w:ascii="Arial" w:hAnsi="Arial" w:cs="Arial"/>
        </w:rPr>
        <w:t>τ</w:t>
      </w:r>
      <w:r w:rsidRPr="00B56B22">
        <w:rPr>
          <w:rFonts w:ascii="Helvetica Neue" w:hAnsi="Helvetica Neue"/>
        </w:rPr>
        <w:t xml:space="preserve"> = 0.667, p = 7.7 </w:t>
      </w:r>
      <w:r w:rsidRPr="00B56B22">
        <w:rPr>
          <w:rFonts w:ascii="Arial" w:hAnsi="Arial" w:cs="Arial"/>
        </w:rPr>
        <w:t>×</w:t>
      </w:r>
      <w:r w:rsidRPr="00B56B22">
        <w:rPr>
          <w:rFonts w:ascii="Helvetica Neue" w:hAnsi="Helvetica Neue"/>
        </w:rPr>
        <w:t xml:space="preserve"> 10</w:t>
      </w:r>
      <w:r w:rsidR="00C633E2" w:rsidRPr="00C633E2">
        <w:rPr>
          <w:rFonts w:ascii="Cambria Math" w:hAnsi="Cambria Math" w:cs="Cambria Math"/>
          <w:vertAlign w:val="superscript"/>
        </w:rPr>
        <w:t>-7</w:t>
      </w:r>
      <w:r w:rsidRPr="00B56B22">
        <w:rPr>
          <w:rFonts w:ascii="Helvetica Neue" w:hAnsi="Helvetica Neue"/>
        </w:rPr>
        <w:t xml:space="preserve">). b, </w:t>
      </w:r>
      <w:proofErr w:type="gramStart"/>
      <w:r w:rsidRPr="00B56B22">
        <w:rPr>
          <w:rFonts w:ascii="Helvetica Neue" w:hAnsi="Helvetica Neue"/>
        </w:rPr>
        <w:t>Mean</w:t>
      </w:r>
      <w:proofErr w:type="gramEnd"/>
      <w:r w:rsidRPr="00B56B22">
        <w:rPr>
          <w:rFonts w:ascii="Helvetica Neue" w:hAnsi="Helvetica Neue"/>
        </w:rPr>
        <w:t xml:space="preserve"> pre-event TCN risk score versus documented event severity (0</w:t>
      </w:r>
      <w:r w:rsidRPr="00B56B22">
        <w:rPr>
          <w:rFonts w:ascii="Arial" w:hAnsi="Arial" w:cs="Arial"/>
        </w:rPr>
        <w:t>–</w:t>
      </w:r>
      <w:r w:rsidRPr="00B56B22">
        <w:rPr>
          <w:rFonts w:ascii="Helvetica Neue" w:hAnsi="Helvetica Neue"/>
        </w:rPr>
        <w:t xml:space="preserve">1), coloured by ecosystem. Dashed line: ordinary least-squares fit. Pearson r and p-value are shown; the positive but non-significant correlation (r = 0.10, p = 0.82) reflects </w:t>
      </w:r>
      <w:r w:rsidRPr="00B56B22">
        <w:rPr>
          <w:rFonts w:ascii="Helvetica Neue" w:hAnsi="Helvetica Neue"/>
        </w:rPr>
        <w:lastRenderedPageBreak/>
        <w:t>the small sample size (n = 9) rather than absence of a relationship, with the two strongest events (Amazon 2010 severity = 1.0; Horn of Africa 2011 severity = 1.0) both yielding high pre-event risk scores.</w:t>
      </w:r>
    </w:p>
    <w:sectPr w:rsidR="00EC46AA" w:rsidRPr="00C16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Harrington">
    <w:panose1 w:val="04040505050A0202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61FFE"/>
    <w:multiLevelType w:val="hybridMultilevel"/>
    <w:tmpl w:val="FC2E04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193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1A6"/>
    <w:rsid w:val="00015A38"/>
    <w:rsid w:val="00066E92"/>
    <w:rsid w:val="000763AE"/>
    <w:rsid w:val="000A5795"/>
    <w:rsid w:val="000B05E4"/>
    <w:rsid w:val="000E1237"/>
    <w:rsid w:val="000E60EF"/>
    <w:rsid w:val="000F7657"/>
    <w:rsid w:val="00117D01"/>
    <w:rsid w:val="0012715F"/>
    <w:rsid w:val="0012772F"/>
    <w:rsid w:val="001277D7"/>
    <w:rsid w:val="0015262C"/>
    <w:rsid w:val="001725EE"/>
    <w:rsid w:val="00175D11"/>
    <w:rsid w:val="00180D33"/>
    <w:rsid w:val="00182B26"/>
    <w:rsid w:val="00185978"/>
    <w:rsid w:val="002106B5"/>
    <w:rsid w:val="0022616E"/>
    <w:rsid w:val="00241635"/>
    <w:rsid w:val="00247EE7"/>
    <w:rsid w:val="00273B41"/>
    <w:rsid w:val="002E39F4"/>
    <w:rsid w:val="00306E3A"/>
    <w:rsid w:val="003445AE"/>
    <w:rsid w:val="00387E27"/>
    <w:rsid w:val="0039416B"/>
    <w:rsid w:val="0041092A"/>
    <w:rsid w:val="0042623F"/>
    <w:rsid w:val="00430130"/>
    <w:rsid w:val="00437C44"/>
    <w:rsid w:val="004471DA"/>
    <w:rsid w:val="0046481F"/>
    <w:rsid w:val="004870B7"/>
    <w:rsid w:val="0048736A"/>
    <w:rsid w:val="004959D3"/>
    <w:rsid w:val="005029E6"/>
    <w:rsid w:val="005314BF"/>
    <w:rsid w:val="0053728D"/>
    <w:rsid w:val="005A641A"/>
    <w:rsid w:val="005C0006"/>
    <w:rsid w:val="005D3CC1"/>
    <w:rsid w:val="005F3A24"/>
    <w:rsid w:val="00606780"/>
    <w:rsid w:val="006106A7"/>
    <w:rsid w:val="00654940"/>
    <w:rsid w:val="00661D3D"/>
    <w:rsid w:val="00664F23"/>
    <w:rsid w:val="0067762B"/>
    <w:rsid w:val="00680816"/>
    <w:rsid w:val="006814F9"/>
    <w:rsid w:val="006B6617"/>
    <w:rsid w:val="006C6A33"/>
    <w:rsid w:val="006D0C61"/>
    <w:rsid w:val="00703B31"/>
    <w:rsid w:val="0074442C"/>
    <w:rsid w:val="00775EA6"/>
    <w:rsid w:val="00791F70"/>
    <w:rsid w:val="007A669F"/>
    <w:rsid w:val="007B50AB"/>
    <w:rsid w:val="007B52D2"/>
    <w:rsid w:val="007F48C2"/>
    <w:rsid w:val="00800155"/>
    <w:rsid w:val="00823388"/>
    <w:rsid w:val="008D7CE9"/>
    <w:rsid w:val="008F7599"/>
    <w:rsid w:val="00905877"/>
    <w:rsid w:val="00914DEF"/>
    <w:rsid w:val="00946605"/>
    <w:rsid w:val="00955DAB"/>
    <w:rsid w:val="00975DE2"/>
    <w:rsid w:val="009976E1"/>
    <w:rsid w:val="009E02F7"/>
    <w:rsid w:val="009E6A5A"/>
    <w:rsid w:val="00A4490D"/>
    <w:rsid w:val="00A52BAA"/>
    <w:rsid w:val="00A54BFB"/>
    <w:rsid w:val="00A904B2"/>
    <w:rsid w:val="00AA510A"/>
    <w:rsid w:val="00AC12BB"/>
    <w:rsid w:val="00B124D4"/>
    <w:rsid w:val="00B31118"/>
    <w:rsid w:val="00B52031"/>
    <w:rsid w:val="00B56B22"/>
    <w:rsid w:val="00B812D7"/>
    <w:rsid w:val="00BE6EB5"/>
    <w:rsid w:val="00C1012B"/>
    <w:rsid w:val="00C106F1"/>
    <w:rsid w:val="00C167EE"/>
    <w:rsid w:val="00C633E2"/>
    <w:rsid w:val="00C86584"/>
    <w:rsid w:val="00CA5CE4"/>
    <w:rsid w:val="00CB14F2"/>
    <w:rsid w:val="00CE71DD"/>
    <w:rsid w:val="00CF1D58"/>
    <w:rsid w:val="00D154F3"/>
    <w:rsid w:val="00D448B4"/>
    <w:rsid w:val="00D52B6A"/>
    <w:rsid w:val="00D871BD"/>
    <w:rsid w:val="00D95C04"/>
    <w:rsid w:val="00DA50C0"/>
    <w:rsid w:val="00DA5964"/>
    <w:rsid w:val="00E02552"/>
    <w:rsid w:val="00E21D47"/>
    <w:rsid w:val="00E24C2A"/>
    <w:rsid w:val="00E4128E"/>
    <w:rsid w:val="00E64F60"/>
    <w:rsid w:val="00EB6593"/>
    <w:rsid w:val="00EC46AA"/>
    <w:rsid w:val="00EC59FE"/>
    <w:rsid w:val="00EE11A6"/>
    <w:rsid w:val="00EE47FF"/>
    <w:rsid w:val="00F36CEB"/>
    <w:rsid w:val="00F97E12"/>
    <w:rsid w:val="00FA10A5"/>
  </w:rsids>
  <m:mathPr>
    <m:mathFont m:val="Cambria Math"/>
    <m:brkBin m:val="before"/>
    <m:brkBinSub m:val="--"/>
    <m:smallFrac m:val="0"/>
    <m:dispDef/>
    <m:lMargin m:val="0"/>
    <m:rMargin m:val="0"/>
    <m:defJc m:val="centerGroup"/>
    <m:wrapIndent m:val="1440"/>
    <m:intLim m:val="subSup"/>
    <m:naryLim m:val="undOvr"/>
  </m:mathPr>
  <w:themeFontLang w:val="en-IN"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921D"/>
  <w15:chartTrackingRefBased/>
  <w15:docId w15:val="{B312672A-8B6D-41BC-BD14-D75B52D14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1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E11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E11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E11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E11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1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1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E11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E11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E11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E11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1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1A6"/>
    <w:rPr>
      <w:rFonts w:eastAsiaTheme="majorEastAsia" w:cstheme="majorBidi"/>
      <w:color w:val="272727" w:themeColor="text1" w:themeTint="D8"/>
    </w:rPr>
  </w:style>
  <w:style w:type="paragraph" w:styleId="Title">
    <w:name w:val="Title"/>
    <w:basedOn w:val="Normal"/>
    <w:next w:val="Normal"/>
    <w:link w:val="TitleChar"/>
    <w:uiPriority w:val="10"/>
    <w:qFormat/>
    <w:rsid w:val="00EE1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1A6"/>
    <w:pPr>
      <w:spacing w:before="160"/>
      <w:jc w:val="center"/>
    </w:pPr>
    <w:rPr>
      <w:i/>
      <w:iCs/>
      <w:color w:val="404040" w:themeColor="text1" w:themeTint="BF"/>
    </w:rPr>
  </w:style>
  <w:style w:type="character" w:customStyle="1" w:styleId="QuoteChar">
    <w:name w:val="Quote Char"/>
    <w:basedOn w:val="DefaultParagraphFont"/>
    <w:link w:val="Quote"/>
    <w:uiPriority w:val="29"/>
    <w:rsid w:val="00EE11A6"/>
    <w:rPr>
      <w:i/>
      <w:iCs/>
      <w:color w:val="404040" w:themeColor="text1" w:themeTint="BF"/>
    </w:rPr>
  </w:style>
  <w:style w:type="paragraph" w:styleId="ListParagraph">
    <w:name w:val="List Paragraph"/>
    <w:basedOn w:val="Normal"/>
    <w:uiPriority w:val="34"/>
    <w:qFormat/>
    <w:rsid w:val="00EE11A6"/>
    <w:pPr>
      <w:ind w:left="720"/>
      <w:contextualSpacing/>
    </w:pPr>
  </w:style>
  <w:style w:type="character" w:styleId="IntenseEmphasis">
    <w:name w:val="Intense Emphasis"/>
    <w:basedOn w:val="DefaultParagraphFont"/>
    <w:uiPriority w:val="21"/>
    <w:qFormat/>
    <w:rsid w:val="00EE11A6"/>
    <w:rPr>
      <w:i/>
      <w:iCs/>
      <w:color w:val="2E74B5" w:themeColor="accent1" w:themeShade="BF"/>
    </w:rPr>
  </w:style>
  <w:style w:type="paragraph" w:styleId="IntenseQuote">
    <w:name w:val="Intense Quote"/>
    <w:basedOn w:val="Normal"/>
    <w:next w:val="Normal"/>
    <w:link w:val="IntenseQuoteChar"/>
    <w:uiPriority w:val="30"/>
    <w:qFormat/>
    <w:rsid w:val="00EE11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11A6"/>
    <w:rPr>
      <w:i/>
      <w:iCs/>
      <w:color w:val="2E74B5" w:themeColor="accent1" w:themeShade="BF"/>
    </w:rPr>
  </w:style>
  <w:style w:type="character" w:styleId="IntenseReference">
    <w:name w:val="Intense Reference"/>
    <w:basedOn w:val="DefaultParagraphFont"/>
    <w:uiPriority w:val="32"/>
    <w:qFormat/>
    <w:rsid w:val="00EE11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1534</TotalTime>
  <Pages>23</Pages>
  <Words>4851</Words>
  <Characters>27654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RAJENDRAPRASAD</dc:creator>
  <cp:keywords/>
  <dc:description/>
  <cp:lastModifiedBy>Dr. RAJENDRAPRASAD</cp:lastModifiedBy>
  <cp:revision>130</cp:revision>
  <cp:lastPrinted>2026-08-18T10:01:00Z</cp:lastPrinted>
  <dcterms:created xsi:type="dcterms:W3CDTF">2026-08-01T13:08:00Z</dcterms:created>
  <dcterms:modified xsi:type="dcterms:W3CDTF">2026-08-22T05:26:00Z</dcterms:modified>
</cp:coreProperties>
</file>