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Access Control &amp; Identity Security Policy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Name</w:t>
            </w:r>
          </w:p>
        </w:tc>
        <w:tc>
          <w:tcPr>
            <w:tcW w:type="dxa" w:w="4320"/>
          </w:tcPr>
          <w:p>
            <w:r>
              <w:t>Enterprise Access Control &amp; Identity Security 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Access Control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Identity and Access Management Governance Team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</w:tbl>
    <w:p/>
    <w:p>
      <w:pPr>
        <w:pStyle w:val="Heading1"/>
      </w:pPr>
      <w:r>
        <w:t>1. Purpose &amp; Strategic Scope</w:t>
      </w:r>
    </w:p>
    <w:p>
      <w:r>
        <w:t>This policy establishes mandatory identity governance, authentication safeguards, and account lifecycle controls across all cloud platforms, infrastructure consoles, and corporate information systems.</w:t>
      </w:r>
    </w:p>
    <w:p>
      <w:r>
        <w:t>All internal employees, contractors, and administrative operators must strictly adhere to these controls to safeguard organizational assets.</w:t>
      </w:r>
    </w:p>
    <w:p>
      <w:pPr>
        <w:pStyle w:val="Heading1"/>
      </w:pPr>
      <w:r>
        <w:t>2. Measurable Policy Directives</w:t>
      </w:r>
    </w:p>
    <w:p>
      <w:r>
        <w:t>- Privileged accounts must use multi-factor authentication (MFA) prior to gaining access to critical environments.</w:t>
      </w:r>
    </w:p>
    <w:p>
      <w:r>
        <w:t>- Administrative access must be reviewed every 90 days by designated security governance custodians.</w:t>
      </w:r>
    </w:p>
    <w:p>
      <w:r>
        <w:t>- Terminated users must have access disabled within 24 hours of official HR separation notification.</w:t>
      </w:r>
    </w:p>
    <w:p>
      <w:r>
        <w:t>- Enabled accounts without activity for more than 45 days must be reviewed and remediated to prevent dormant credential exploitation.</w:t>
      </w:r>
    </w:p>
    <w:p>
      <w:pPr>
        <w:pStyle w:val="Heading1"/>
      </w:pPr>
      <w:r>
        <w:t>3. Continuous Compliance &amp; Enforcement</w:t>
      </w:r>
    </w:p>
    <w:p>
      <w:r>
        <w:t>Adherence to these technical directives will be assessed continuously by automated telemetry checks. Violations are logged as risk findings and assigned to resource owners for mandatory remediation.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