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5A5" w:rsidRDefault="001F25A5" w:rsidP="001F25A5">
      <w:pPr>
        <w:pStyle w:val="Heading1"/>
      </w:pPr>
      <w:r>
        <w:t>Roles</w:t>
      </w:r>
    </w:p>
    <w:p w:rsidR="001F25A5" w:rsidRDefault="001F25A5" w:rsidP="001F25A5">
      <w:r w:rsidRPr="001F25A5">
        <w:t>Roles describe people, teams, or organizations that perform work.</w:t>
      </w:r>
      <w:r w:rsidR="00C604CE">
        <w:t xml:space="preserve"> Roles are not job descriptions used by the organization to describe job responsibilities or duties. Roles are void of organizational or department names, or names of individuals holding positions.</w:t>
      </w:r>
    </w:p>
    <w:p w:rsidR="001F25A5" w:rsidRDefault="001F25A5" w:rsidP="001F25A5">
      <w:pPr>
        <w:pStyle w:val="Heading1"/>
      </w:pPr>
      <w:r>
        <w:t>Tasks</w:t>
      </w:r>
    </w:p>
    <w:p w:rsidR="001F25A5" w:rsidRPr="001F25A5" w:rsidRDefault="001F25A5" w:rsidP="001F25A5">
      <w:r w:rsidRPr="001F25A5">
        <w:t>Tasks describe how to perform the work.</w:t>
      </w:r>
      <w:r w:rsidR="00C604CE">
        <w:t xml:space="preserve"> Flexible processes use non-prescriptive steps whereas rigid processes use prescritive steps. High-level tasks with many sub-tasks should be expanded using additional tasks or guidance. Steps have names and should elaborate on the expected outcomes of the performing the step.</w:t>
      </w:r>
    </w:p>
    <w:p w:rsidR="001F25A5" w:rsidRDefault="001F25A5" w:rsidP="001F25A5">
      <w:pPr>
        <w:pStyle w:val="Heading1"/>
      </w:pPr>
      <w:r>
        <w:t>Work Products</w:t>
      </w:r>
    </w:p>
    <w:p w:rsidR="00C604CE" w:rsidRDefault="00C604CE" w:rsidP="001F25A5">
      <w:r>
        <w:t>Work products are manifested as artifacts, outcomes, or deliverables.</w:t>
      </w:r>
    </w:p>
    <w:p w:rsidR="001F25A5" w:rsidRPr="001F25A5" w:rsidRDefault="001F25A5" w:rsidP="001F25A5">
      <w:r w:rsidRPr="001F25A5">
        <w:t>Artifacts describe tangible outputs of performing tasks.</w:t>
      </w:r>
      <w:r w:rsidR="00C604CE">
        <w:t xml:space="preserve"> Artifacts are typically document-based, but can also be code or testing results, among other tangible items.</w:t>
      </w:r>
    </w:p>
    <w:p w:rsidR="001F25A5" w:rsidRPr="001F25A5" w:rsidRDefault="001F25A5" w:rsidP="001F25A5">
      <w:r>
        <w:t>Outcomes</w:t>
      </w:r>
      <w:r w:rsidRPr="001F25A5">
        <w:t xml:space="preserve"> describe </w:t>
      </w:r>
      <w:r>
        <w:t>in</w:t>
      </w:r>
      <w:r w:rsidRPr="001F25A5">
        <w:t>tangible outputs of performing tasks.</w:t>
      </w:r>
      <w:r w:rsidR="00C604CE">
        <w:t xml:space="preserve"> Knowledge gained from collaboration is an intangible, but meaningful outcome of a worksession, handoff from one department/individual to another, or state of a system or process.</w:t>
      </w:r>
    </w:p>
    <w:p w:rsidR="001F25A5" w:rsidRPr="001F25A5" w:rsidRDefault="001F25A5" w:rsidP="001F25A5">
      <w:r w:rsidRPr="001F25A5">
        <w:t>Deliverables are a grouping of two or more artifacts and/or outcomes that result from performing a task.</w:t>
      </w:r>
      <w:r w:rsidR="00C604CE">
        <w:t xml:space="preserve"> Contents of a deliverable can </w:t>
      </w:r>
      <w:r w:rsidR="00212D8B">
        <w:t>stand alone,</w:t>
      </w:r>
      <w:r w:rsidR="00C604CE">
        <w:t xml:space="preserve"> but have greater meaning or value when grouped.</w:t>
      </w:r>
    </w:p>
    <w:p w:rsidR="001F25A5" w:rsidRDefault="001F25A5" w:rsidP="001F25A5">
      <w:pPr>
        <w:pStyle w:val="Heading1"/>
      </w:pPr>
      <w:r>
        <w:t>Guidance – Checklist</w:t>
      </w:r>
    </w:p>
    <w:p w:rsidR="001F25A5" w:rsidRPr="001F25A5" w:rsidRDefault="001F25A5" w:rsidP="001F25A5">
      <w:r w:rsidRPr="001F25A5">
        <w:t>Checklists identify a series of items that need to be completed or verified. Checklists are often used in reviews such as walkthroughs or inspections.</w:t>
      </w:r>
    </w:p>
    <w:p w:rsidR="001F25A5" w:rsidRDefault="001F25A5" w:rsidP="001F25A5">
      <w:pPr>
        <w:pStyle w:val="Heading1"/>
      </w:pPr>
      <w:r>
        <w:t>Guidance – Concept</w:t>
      </w:r>
    </w:p>
    <w:p w:rsidR="001F25A5" w:rsidRPr="001F25A5" w:rsidRDefault="001F25A5" w:rsidP="001F25A5">
      <w:r w:rsidRPr="001F25A5">
        <w:t xml:space="preserve">Concepts are ideas </w:t>
      </w:r>
      <w:r w:rsidR="00212D8B">
        <w:t xml:space="preserve">that help build </w:t>
      </w:r>
      <w:r w:rsidRPr="001F25A5">
        <w:t>foundations for</w:t>
      </w:r>
      <w:r w:rsidR="00212D8B">
        <w:t xml:space="preserve"> the organization.</w:t>
      </w:r>
    </w:p>
    <w:p w:rsidR="001F25A5" w:rsidRDefault="001F25A5" w:rsidP="001F25A5">
      <w:pPr>
        <w:pStyle w:val="Heading1"/>
      </w:pPr>
      <w:r>
        <w:t>Guidance – Estimation Consideration</w:t>
      </w:r>
    </w:p>
    <w:p w:rsidR="001F25A5" w:rsidRPr="001F25A5" w:rsidRDefault="001F25A5" w:rsidP="001F25A5">
      <w:r w:rsidRPr="001F25A5">
        <w:t>Estimation Considerations describes any influencing factors to consider in estimating work required to complete a task.</w:t>
      </w:r>
    </w:p>
    <w:p w:rsidR="001F25A5" w:rsidRDefault="001F25A5" w:rsidP="001F25A5">
      <w:pPr>
        <w:pStyle w:val="Heading1"/>
      </w:pPr>
      <w:r>
        <w:t>Guidance – Example</w:t>
      </w:r>
    </w:p>
    <w:p w:rsidR="001F25A5" w:rsidRPr="001F25A5" w:rsidRDefault="001F25A5" w:rsidP="001F25A5">
      <w:r w:rsidRPr="001F25A5">
        <w:t>Examples demonstrate typical application of the element type.</w:t>
      </w:r>
      <w:r w:rsidR="00212D8B">
        <w:t xml:space="preserve"> One practical application of the Example guidance is a completed template.</w:t>
      </w:r>
    </w:p>
    <w:p w:rsidR="001F25A5" w:rsidRDefault="001F25A5" w:rsidP="001F25A5">
      <w:pPr>
        <w:pStyle w:val="Heading1"/>
      </w:pPr>
      <w:r>
        <w:t>Guidance – Guideline</w:t>
      </w:r>
    </w:p>
    <w:p w:rsidR="001F25A5" w:rsidRPr="001F25A5" w:rsidRDefault="001F25A5" w:rsidP="00BD43C5">
      <w:proofErr w:type="gramStart"/>
      <w:r w:rsidRPr="001F25A5">
        <w:t xml:space="preserve">A specialized type of guidance that provides </w:t>
      </w:r>
      <w:r w:rsidR="00212D8B">
        <w:t>details, explanations or elaborations on the method element.</w:t>
      </w:r>
      <w:proofErr w:type="gramEnd"/>
      <w:r w:rsidR="00212D8B">
        <w:t xml:space="preserve"> Guidelines assist the methodologist describe tangetial ideas to create a complete picture of the method element.</w:t>
      </w:r>
    </w:p>
    <w:p w:rsidR="001F25A5" w:rsidRDefault="001F25A5" w:rsidP="001F25A5">
      <w:pPr>
        <w:pStyle w:val="Heading1"/>
      </w:pPr>
      <w:r>
        <w:t>Guidance – Practice</w:t>
      </w:r>
    </w:p>
    <w:p w:rsidR="001F25A5" w:rsidRPr="001F25A5" w:rsidRDefault="001F25A5" w:rsidP="001F25A5">
      <w:r w:rsidRPr="001F25A5">
        <w:t xml:space="preserve">A practice is a documented approach to solving one or </w:t>
      </w:r>
      <w:r w:rsidR="00BD43C5">
        <w:t>more</w:t>
      </w:r>
      <w:r w:rsidRPr="001F25A5">
        <w:t xml:space="preserve"> commonly occurring problems. Practices are intended as "chunks" of process for adoption, enablement, and configuration.</w:t>
      </w:r>
      <w:r w:rsidR="00BD43C5">
        <w:t xml:space="preserve"> </w:t>
      </w:r>
      <w:proofErr w:type="gramStart"/>
      <w:r w:rsidR="00BD43C5">
        <w:t>Methodologist define</w:t>
      </w:r>
      <w:proofErr w:type="gramEnd"/>
      <w:r w:rsidR="00BD43C5">
        <w:t xml:space="preserve"> practices to ensure the method element is adopted consistently.</w:t>
      </w:r>
    </w:p>
    <w:p w:rsidR="001F25A5" w:rsidRDefault="001F25A5" w:rsidP="001F25A5">
      <w:pPr>
        <w:pStyle w:val="Heading1"/>
      </w:pPr>
      <w:r>
        <w:t>Guidance – Report</w:t>
      </w:r>
    </w:p>
    <w:p w:rsidR="001F25A5" w:rsidRPr="001F25A5" w:rsidRDefault="001F25A5" w:rsidP="001F25A5">
      <w:r w:rsidRPr="001F25A5">
        <w:t xml:space="preserve">Reports provide guidance on representing </w:t>
      </w:r>
      <w:r w:rsidR="00BD43C5">
        <w:t>data</w:t>
      </w:r>
      <w:r w:rsidRPr="001F25A5">
        <w:t xml:space="preserve"> output that may be a combination of information from o</w:t>
      </w:r>
      <w:r w:rsidR="00BD43C5">
        <w:t xml:space="preserve">ne or more other work products. </w:t>
      </w:r>
    </w:p>
    <w:p w:rsidR="001F25A5" w:rsidRDefault="001F25A5" w:rsidP="001F25A5">
      <w:pPr>
        <w:pStyle w:val="Heading1"/>
      </w:pPr>
      <w:r>
        <w:t>Guidance – Re-Usable Asset</w:t>
      </w:r>
    </w:p>
    <w:p w:rsidR="001F25A5" w:rsidRPr="001F25A5" w:rsidRDefault="001F25A5" w:rsidP="001F25A5">
      <w:proofErr w:type="gramStart"/>
      <w:r w:rsidRPr="001F25A5">
        <w:t>Links to intellectual capital that can be utilized to perform some task or leveraged as a starting point for the creation of a solution.</w:t>
      </w:r>
      <w:proofErr w:type="gramEnd"/>
      <w:r w:rsidRPr="001F25A5">
        <w:t xml:space="preserve"> </w:t>
      </w:r>
    </w:p>
    <w:p w:rsidR="001F25A5" w:rsidRDefault="001F25A5" w:rsidP="001F25A5">
      <w:pPr>
        <w:pStyle w:val="Heading1"/>
      </w:pPr>
      <w:r>
        <w:t>Guidance – Roadmap</w:t>
      </w:r>
    </w:p>
    <w:p w:rsidR="001F25A5" w:rsidRPr="001F25A5" w:rsidRDefault="001F25A5" w:rsidP="001F25A5">
      <w:r w:rsidRPr="001F25A5">
        <w:t>A Roadmap provides strategic and tactical approaches to implementation of concepts, practices, processes, procedures.</w:t>
      </w:r>
    </w:p>
    <w:p w:rsidR="001F25A5" w:rsidRDefault="001F25A5" w:rsidP="001F25A5">
      <w:pPr>
        <w:pStyle w:val="Heading1"/>
      </w:pPr>
      <w:r>
        <w:t>Guidance – Supporting Material</w:t>
      </w:r>
    </w:p>
    <w:p w:rsidR="001F25A5" w:rsidRPr="001F25A5" w:rsidRDefault="001F25A5" w:rsidP="001F25A5">
      <w:r w:rsidRPr="001F25A5">
        <w:t>Supporting Material is a guidance that is a catch-all for other types of guidance not specifically defined elsewhere.</w:t>
      </w:r>
      <w:r w:rsidR="00BD43C5">
        <w:t xml:space="preserve"> Supporting material can be used to substantiate method elements.</w:t>
      </w:r>
    </w:p>
    <w:p w:rsidR="001F25A5" w:rsidRDefault="001F25A5" w:rsidP="001F25A5">
      <w:pPr>
        <w:pStyle w:val="Heading1"/>
      </w:pPr>
      <w:r>
        <w:t>Guidance – Template</w:t>
      </w:r>
    </w:p>
    <w:p w:rsidR="001F25A5" w:rsidRPr="001F25A5" w:rsidRDefault="001F25A5" w:rsidP="001F25A5">
      <w:r w:rsidRPr="001F25A5">
        <w:t xml:space="preserve">Templates are draft work products that must be tailored for content. </w:t>
      </w:r>
    </w:p>
    <w:p w:rsidR="001F25A5" w:rsidRDefault="001F25A5" w:rsidP="001F25A5">
      <w:pPr>
        <w:pStyle w:val="Heading1"/>
      </w:pPr>
      <w:r>
        <w:t>Guidance – Term Definition</w:t>
      </w:r>
    </w:p>
    <w:p w:rsidR="001F25A5" w:rsidRPr="001F25A5" w:rsidRDefault="001F25A5" w:rsidP="001F25A5">
      <w:r w:rsidRPr="001F25A5">
        <w:t>Term Definitions clarify terms, and expand acronyms. Term definitions form the Glossary which is accessible via the top right Glossary icon.</w:t>
      </w:r>
    </w:p>
    <w:p w:rsidR="001F25A5" w:rsidRDefault="001F25A5" w:rsidP="001F25A5">
      <w:pPr>
        <w:pStyle w:val="Heading1"/>
      </w:pPr>
      <w:r>
        <w:t>Guidance – Tool Mentor</w:t>
      </w:r>
    </w:p>
    <w:p w:rsidR="001F25A5" w:rsidRPr="001F25A5" w:rsidRDefault="001F25A5" w:rsidP="001F25A5">
      <w:r w:rsidRPr="001F25A5">
        <w:t>Tool Mentors provide direction and guidance on application of specific tooling to perform tasks, product work products, etc.</w:t>
      </w:r>
      <w:r w:rsidR="00BD43C5">
        <w:t xml:space="preserve"> Methodology and tooling should be segregated since tools are likely to change at higher pace versus methodology changes.</w:t>
      </w:r>
    </w:p>
    <w:p w:rsidR="001F25A5" w:rsidRDefault="001F25A5" w:rsidP="001F25A5">
      <w:pPr>
        <w:pStyle w:val="Heading1"/>
      </w:pPr>
      <w:r>
        <w:t>Guidance – White Paper</w:t>
      </w:r>
    </w:p>
    <w:p w:rsidR="001F25A5" w:rsidRPr="001F25A5" w:rsidRDefault="001F25A5" w:rsidP="001F25A5">
      <w:r w:rsidRPr="001F25A5">
        <w:t xml:space="preserve">White papers are a specialized type of guidance for </w:t>
      </w:r>
      <w:r w:rsidR="00BD43C5">
        <w:t>generally available</w:t>
      </w:r>
      <w:r w:rsidRPr="001F25A5">
        <w:t xml:space="preserve"> </w:t>
      </w:r>
      <w:r w:rsidR="00BD43C5">
        <w:t xml:space="preserve">content </w:t>
      </w:r>
      <w:r w:rsidRPr="001F25A5">
        <w:t>that can be read and understood in isolation of other content elements.</w:t>
      </w:r>
    </w:p>
    <w:p w:rsidR="001C0D8E" w:rsidRDefault="001F25A5" w:rsidP="001F25A5">
      <w:pPr>
        <w:pStyle w:val="Heading1"/>
      </w:pPr>
      <w:r>
        <w:t>Capability Patterns</w:t>
      </w:r>
    </w:p>
    <w:p w:rsidR="001F25A5" w:rsidRPr="001F25A5" w:rsidRDefault="001F25A5" w:rsidP="001F25A5">
      <w:proofErr w:type="gramStart"/>
      <w:r w:rsidRPr="001F25A5">
        <w:t>A capability pattern are</w:t>
      </w:r>
      <w:proofErr w:type="gramEnd"/>
      <w:r w:rsidRPr="001F25A5">
        <w:t xml:space="preserve"> patterns of activity that can be repeated in any phase of the lifecycle.</w:t>
      </w:r>
    </w:p>
    <w:p w:rsidR="001F25A5" w:rsidRDefault="001F25A5" w:rsidP="001F25A5">
      <w:pPr>
        <w:pStyle w:val="Heading1"/>
      </w:pPr>
      <w:r>
        <w:t>Delivery Processes</w:t>
      </w:r>
    </w:p>
    <w:p w:rsidR="001F25A5" w:rsidRPr="001F25A5" w:rsidRDefault="001F25A5" w:rsidP="001F25A5">
      <w:r w:rsidRPr="001F25A5">
        <w:t xml:space="preserve">A delivery process is an end-to-end series of activities, tasks, and/or capability patterns that, when executed, </w:t>
      </w:r>
      <w:r w:rsidR="00BD43C5">
        <w:t xml:space="preserve">result in a deliverable system – </w:t>
      </w:r>
      <w:r w:rsidRPr="001F25A5">
        <w:t>AKA the lifecycle.</w:t>
      </w:r>
    </w:p>
    <w:p w:rsidR="001F25A5" w:rsidRDefault="001F25A5">
      <w:pPr>
        <w:rPr>
          <w:b/>
          <w:bCs/>
        </w:rPr>
      </w:pPr>
    </w:p>
    <w:p w:rsidR="001F25A5" w:rsidRDefault="001F25A5"/>
    <w:sectPr w:rsidR="001F25A5" w:rsidSect="001C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grammar="clean"/>
  <w:defaultTabStop w:val="720"/>
  <w:characterSpacingControl w:val="doNotCompress"/>
  <w:compat/>
  <w:rsids>
    <w:rsidRoot w:val="001F25A5"/>
    <w:rsid w:val="00032AE2"/>
    <w:rsid w:val="000341AF"/>
    <w:rsid w:val="00037304"/>
    <w:rsid w:val="0005487C"/>
    <w:rsid w:val="000A03D3"/>
    <w:rsid w:val="00153264"/>
    <w:rsid w:val="001A65A5"/>
    <w:rsid w:val="001C0D8E"/>
    <w:rsid w:val="001E0B6F"/>
    <w:rsid w:val="001F25A5"/>
    <w:rsid w:val="00212D8B"/>
    <w:rsid w:val="00231BDA"/>
    <w:rsid w:val="00233808"/>
    <w:rsid w:val="002426CE"/>
    <w:rsid w:val="00242B66"/>
    <w:rsid w:val="002B4966"/>
    <w:rsid w:val="003068E9"/>
    <w:rsid w:val="00330ADD"/>
    <w:rsid w:val="00374D1F"/>
    <w:rsid w:val="0047103B"/>
    <w:rsid w:val="004C3017"/>
    <w:rsid w:val="00535484"/>
    <w:rsid w:val="00536DB6"/>
    <w:rsid w:val="0054701F"/>
    <w:rsid w:val="005503C5"/>
    <w:rsid w:val="00575D89"/>
    <w:rsid w:val="005B4DAB"/>
    <w:rsid w:val="005C10A1"/>
    <w:rsid w:val="005E573F"/>
    <w:rsid w:val="005F792B"/>
    <w:rsid w:val="006233C3"/>
    <w:rsid w:val="006267FB"/>
    <w:rsid w:val="00635676"/>
    <w:rsid w:val="00673A98"/>
    <w:rsid w:val="006B424A"/>
    <w:rsid w:val="006D1D31"/>
    <w:rsid w:val="007100E0"/>
    <w:rsid w:val="007B1F3C"/>
    <w:rsid w:val="007B50A5"/>
    <w:rsid w:val="00891F93"/>
    <w:rsid w:val="008D4A1C"/>
    <w:rsid w:val="009018C2"/>
    <w:rsid w:val="009E6C25"/>
    <w:rsid w:val="00A52183"/>
    <w:rsid w:val="00A64A9B"/>
    <w:rsid w:val="00B70B86"/>
    <w:rsid w:val="00BC69D0"/>
    <w:rsid w:val="00BD43C5"/>
    <w:rsid w:val="00BF0961"/>
    <w:rsid w:val="00C604CE"/>
    <w:rsid w:val="00CA0323"/>
    <w:rsid w:val="00CA754E"/>
    <w:rsid w:val="00CD05EF"/>
    <w:rsid w:val="00CF2847"/>
    <w:rsid w:val="00D51013"/>
    <w:rsid w:val="00D6687A"/>
    <w:rsid w:val="00D85A9D"/>
    <w:rsid w:val="00DB09F6"/>
    <w:rsid w:val="00DB1017"/>
    <w:rsid w:val="00E44BAE"/>
    <w:rsid w:val="00E5242D"/>
    <w:rsid w:val="00EE129A"/>
    <w:rsid w:val="00EF1384"/>
    <w:rsid w:val="00EF266D"/>
    <w:rsid w:val="00F81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D8E"/>
  </w:style>
  <w:style w:type="paragraph" w:styleId="Heading1">
    <w:name w:val="heading 1"/>
    <w:basedOn w:val="Normal"/>
    <w:next w:val="Normal"/>
    <w:link w:val="Heading1Char"/>
    <w:uiPriority w:val="9"/>
    <w:qFormat/>
    <w:rsid w:val="001F2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2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FNFG</Company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D. Rathod</dc:creator>
  <cp:lastModifiedBy>Rakesh D. Rathod</cp:lastModifiedBy>
  <cp:revision>2</cp:revision>
  <dcterms:created xsi:type="dcterms:W3CDTF">2014-06-12T15:07:00Z</dcterms:created>
  <dcterms:modified xsi:type="dcterms:W3CDTF">2014-06-12T19:25:00Z</dcterms:modified>
</cp:coreProperties>
</file>