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count of messages received by QCC (queries).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Lower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count of messages QCC has responded to.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QCC Firmware No.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Response-only: QCC firmware version/build number.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 2: QCC_MODE / speed toggle status (0=normal high-speed mode, 1=low-speed remote-programming mode). Bits 7-3: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Lower 32 bits of the 64-bit chip ID, positioned immediately before the Checksum.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0xFF (REMOTE_PROGRAMMING)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Selects a Remote Programming session. No DMA triggered. Byte 34 (MESSAGE_BODY offset 0) is a SubCommand QCC itself reads and acts on - see byte 34 row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SUB_COMMAND (byte 34) / Reserved (bytes 35-89)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0x00-0x02 (byte 34 only)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Byte 34 is a SubCommand selector QCC itself reads and acts on - 0x00 = Broadcast (QCC fans the following 10, or 10+4096, bytes out to all 96 QTRMs over the low-speed link - the standard path for every QTRM-targeted RP command and the QTRM -&gt; High Speed broadcast); 0x01 = QCC -&gt; Low-Speed (Mode Step 2, bare 90-byte header, no payload); 0x02 = QCC -&gt; High-Speed (bare 90-byte header, no payload; value 0x02, not 0x00, so 0x00 is reserved exclusively for Broadcast). Bytes 35-89 are unused/reserved for SubCommands 0x01/0x02 (those frames end at byte 90 anyway) and are the standard message_body content for SubCommand 0x00, which does not use this 56-byte shape at all - see core/packet.py and docs/idd/packet_spec.yaml for the actual on-wire frame shapes (which vary by SubCommand and are NOT the standard 90+56 byte frame).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