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40"/>
      </w:pPr>
      <w:r>
        <w:rPr>
          <w:b/>
          <w:color w:val="2E74B5"/>
          <w:sz w:val="20"/>
        </w:rPr>
        <w:t>QUARRY  /  ARCHITECTURE ASSESSMENT</w:t>
      </w:r>
    </w:p>
    <w:p>
      <w:pPr>
        <w:pStyle w:val="Title"/>
      </w:pPr>
      <w:r>
        <w:t>A Composable Architecture for Quarry</w:t>
      </w:r>
    </w:p>
    <w:p>
      <w:pPr>
        <w:pStyle w:val="Subtitle"/>
      </w:pPr>
      <w:r>
        <w:t>Implementation-ready analysis for the React, Axum, and Tauri codebase</w:t>
      </w:r>
    </w:p>
    <w:p>
      <w:pPr>
        <w:spacing w:after="480"/>
        <w:pBdr>
          <w:bottom w:val="single" w:sz="24" w:space="1" w:color="2E74B5"/>
        </w:pBdr>
      </w:pPr>
    </w:p>
    <w:p>
      <w:pPr>
        <w:spacing w:after="560"/>
      </w:pPr>
      <w:r>
        <w:rPr>
          <w:color w:val="202A33"/>
          <w:sz w:val="28"/>
        </w:rPr>
        <w:t>A deep assessment of Quarry’s present composition boundaries, the specific seams that should be strengthened, and a phased migration plan that improves reuse, testability, and platform independence without interrupting product delivery.</w:t>
      </w:r>
    </w:p>
    <w:p>
      <w:pPr>
        <w:spacing w:after="100"/>
        <w:ind w:left="173"/>
        <w:shd w:fill="F4F8FB"/>
      </w:pPr>
      <w:r>
        <w:rPr>
          <w:b/>
          <w:color w:val="1F4D78"/>
          <w:sz w:val="18"/>
        </w:rPr>
        <w:t xml:space="preserve">Prepared:  </w:t>
      </w:r>
      <w:r>
        <w:rPr>
          <w:sz w:val="18"/>
        </w:rPr>
        <w:t>August 27, 2026</w:t>
      </w:r>
    </w:p>
    <w:p>
      <w:pPr>
        <w:spacing w:after="100"/>
        <w:ind w:left="173"/>
        <w:shd w:fill="F4F8FB"/>
      </w:pPr>
      <w:r>
        <w:rPr>
          <w:b/>
          <w:color w:val="1F4D78"/>
          <w:sz w:val="18"/>
        </w:rPr>
        <w:t xml:space="preserve">Repository snapshot:  </w:t>
      </w:r>
      <w:r>
        <w:rPr>
          <w:sz w:val="18"/>
        </w:rPr>
        <w:t>Git HEAD 081c511 plus the current working-tree changes</w:t>
      </w:r>
    </w:p>
    <w:p>
      <w:pPr>
        <w:spacing w:after="100"/>
        <w:ind w:left="173"/>
        <w:shd w:fill="F4F8FB"/>
      </w:pPr>
      <w:r>
        <w:rPr>
          <w:b/>
          <w:color w:val="1F4D78"/>
          <w:sz w:val="18"/>
        </w:rPr>
        <w:t xml:space="preserve">Scope:  </w:t>
      </w:r>
      <w:r>
        <w:rPr>
          <w:sz w:val="18"/>
        </w:rPr>
        <w:t>React 19 frontend, Axum backend, web/desktop runtime boundary, tests and build rules</w:t>
      </w:r>
    </w:p>
    <w:p>
      <w:pPr>
        <w:spacing w:after="100"/>
        <w:ind w:left="173"/>
        <w:shd w:fill="F4F8FB"/>
      </w:pPr>
      <w:r>
        <w:rPr>
          <w:b/>
          <w:color w:val="1F4D78"/>
          <w:sz w:val="18"/>
        </w:rPr>
        <w:t xml:space="preserve">Assessment intent:  </w:t>
      </w:r>
      <w:r>
        <w:rPr>
          <w:sz w:val="18"/>
        </w:rPr>
        <w:t>Incremental modernization; no big-bang rewrite</w:t>
      </w:r>
    </w:p>
    <w:p>
      <w:pPr>
        <w:spacing w:after="840"/>
      </w:pPr>
    </w:p>
    <w:p>
      <w:pPr>
        <w:pStyle w:val="SmallNote"/>
      </w:pPr>
      <w:r>
        <w:t>Prepared from direct repository inspection and local verification. File and line references in the appendix are tied to the assessed snapshot.</w:t>
      </w:r>
    </w:p>
    <w:p>
      <w:pPr>
        <w:sectPr>
          <w:headerReference w:type="default" r:id="rId9"/>
          <w:footerReference w:type="default" r:id="rId10"/>
          <w:pgSz w:w="12240" w:h="15840"/>
          <w:pgMar w:top="1440" w:right="1440" w:bottom="1440" w:left="1440" w:header="708" w:footer="708" w:gutter="0"/>
          <w:cols w:space="720"/>
          <w:titlePg/>
          <w:docGrid w:linePitch="360"/>
        </w:sectPr>
      </w:pPr>
    </w:p>
    <w:p>
      <w:pPr>
        <w:pStyle w:val="Heading1"/>
        <w:keepNext/>
      </w:pPr>
      <w:r>
        <w:t>Contents and reading guide</w:t>
      </w:r>
    </w:p>
    <w:p>
      <w:r>
        <w:t>This report is ordered from diagnosis to implementation. Readers making an architecture decision should focus on the executive summary, Sections 3–6, and the acceptance criteria. Engineers preparing pull requests should use Sections 4–7 and Appendix A.</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1800"/>
        <w:gridCol w:w="7560"/>
      </w:tblGrid>
      <w:tr>
        <w:trPr>
          <w:tblHeader w:val="true"/>
          <w:cantSplit/>
        </w:trPr>
        <w:tc>
          <w:tcPr>
            <w:tcW w:type="dxa" w:w="1800"/>
            <w:shd w:fill="F2F4F7"/>
            <w:tcMar>
              <w:top w:w="80" w:type="dxa"/>
              <w:start w:w="120" w:type="dxa"/>
              <w:bottom w:w="80" w:type="dxa"/>
              <w:end w:w="120" w:type="dxa"/>
            </w:tcMar>
            <w:vAlign w:val="center"/>
          </w:tcPr>
          <w:p>
            <w:pPr>
              <w:spacing w:after="0"/>
            </w:pPr>
            <w:r>
              <w:rPr>
                <w:b/>
                <w:color w:val="1F4D78"/>
                <w:sz w:val="18"/>
              </w:rPr>
              <w:t>Section</w:t>
            </w:r>
          </w:p>
        </w:tc>
        <w:tc>
          <w:tcPr>
            <w:tcW w:type="dxa" w:w="7560"/>
            <w:shd w:fill="F2F4F7"/>
            <w:tcMar>
              <w:top w:w="80" w:type="dxa"/>
              <w:start w:w="120" w:type="dxa"/>
              <w:bottom w:w="80" w:type="dxa"/>
              <w:end w:w="120" w:type="dxa"/>
            </w:tcMar>
            <w:vAlign w:val="center"/>
          </w:tcPr>
          <w:p>
            <w:pPr>
              <w:spacing w:after="0"/>
            </w:pPr>
            <w:r>
              <w:rPr>
                <w:b/>
                <w:color w:val="1F4D78"/>
                <w:sz w:val="18"/>
              </w:rPr>
              <w:t>Focus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Executive summary</w:t>
            </w:r>
          </w:p>
        </w:tc>
        <w:tc>
          <w:tcPr>
            <w:tcW w:type="dxa" w:w="7560"/>
            <w:tcMar>
              <w:top w:w="80" w:type="dxa"/>
              <w:start w:w="120" w:type="dxa"/>
              <w:bottom w:w="80" w:type="dxa"/>
              <w:end w:w="120" w:type="dxa"/>
            </w:tcMar>
            <w:vAlign w:val="center"/>
          </w:tcPr>
          <w:p>
            <w:pPr>
              <w:spacing w:after="40" w:line="252" w:lineRule="auto"/>
            </w:pPr>
            <w:r>
              <w:rPr>
                <w:sz w:val="18"/>
              </w:rPr>
              <w:t>Recommendation, evidence summary, and expected outcomes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1</w:t>
            </w:r>
          </w:p>
        </w:tc>
        <w:tc>
          <w:tcPr>
            <w:tcW w:type="dxa" w:w="7560"/>
            <w:tcMar>
              <w:top w:w="80" w:type="dxa"/>
              <w:start w:w="120" w:type="dxa"/>
              <w:bottom w:w="80" w:type="dxa"/>
              <w:end w:w="120" w:type="dxa"/>
            </w:tcMar>
            <w:vAlign w:val="center"/>
          </w:tcPr>
          <w:p>
            <w:pPr>
              <w:spacing w:after="40" w:line="252" w:lineRule="auto"/>
            </w:pPr>
            <w:r>
              <w:rPr>
                <w:sz w:val="18"/>
              </w:rPr>
              <w:t>Scope, interpretation, method, and verified baseline</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2</w:t>
            </w:r>
          </w:p>
        </w:tc>
        <w:tc>
          <w:tcPr>
            <w:tcW w:type="dxa" w:w="7560"/>
            <w:tcMar>
              <w:top w:w="80" w:type="dxa"/>
              <w:start w:w="120" w:type="dxa"/>
              <w:bottom w:w="80" w:type="dxa"/>
              <w:end w:w="120" w:type="dxa"/>
            </w:tcMar>
            <w:vAlign w:val="center"/>
          </w:tcPr>
          <w:p>
            <w:pPr>
              <w:spacing w:after="40" w:line="252" w:lineRule="auto"/>
            </w:pPr>
            <w:r>
              <w:rPr>
                <w:sz w:val="18"/>
              </w:rPr>
              <w:t>Current strengths, metrics, hotspots, and recurring causes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3</w:t>
            </w:r>
          </w:p>
        </w:tc>
        <w:tc>
          <w:tcPr>
            <w:tcW w:type="dxa" w:w="7560"/>
            <w:tcMar>
              <w:top w:w="80" w:type="dxa"/>
              <w:start w:w="120" w:type="dxa"/>
              <w:bottom w:w="80" w:type="dxa"/>
              <w:end w:w="120" w:type="dxa"/>
            </w:tcMar>
            <w:vAlign w:val="center"/>
          </w:tcPr>
          <w:p>
            <w:pPr>
              <w:spacing w:after="40" w:line="252" w:lineRule="auto"/>
            </w:pPr>
            <w:r>
              <w:rPr>
                <w:sz w:val="18"/>
              </w:rPr>
              <w:t>Design principles and decision rules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4</w:t>
            </w:r>
          </w:p>
        </w:tc>
        <w:tc>
          <w:tcPr>
            <w:tcW w:type="dxa" w:w="7560"/>
            <w:tcMar>
              <w:top w:w="80" w:type="dxa"/>
              <w:start w:w="120" w:type="dxa"/>
              <w:bottom w:w="80" w:type="dxa"/>
              <w:end w:w="120" w:type="dxa"/>
            </w:tcMar>
            <w:vAlign w:val="center"/>
          </w:tcPr>
          <w:p>
            <w:pPr>
              <w:spacing w:after="40" w:line="252" w:lineRule="auto"/>
            </w:pPr>
            <w:r>
              <w:rPr>
                <w:sz w:val="18"/>
              </w:rPr>
              <w:t>Target React/runtime/API architecture with examples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5</w:t>
            </w:r>
          </w:p>
        </w:tc>
        <w:tc>
          <w:tcPr>
            <w:tcW w:type="dxa" w:w="7560"/>
            <w:tcMar>
              <w:top w:w="80" w:type="dxa"/>
              <w:start w:w="120" w:type="dxa"/>
              <w:bottom w:w="80" w:type="dxa"/>
              <w:end w:w="120" w:type="dxa"/>
            </w:tcMar>
            <w:vAlign w:val="center"/>
          </w:tcPr>
          <w:p>
            <w:pPr>
              <w:spacing w:after="40" w:line="252" w:lineRule="auto"/>
            </w:pPr>
            <w:r>
              <w:rPr>
                <w:sz w:val="18"/>
              </w:rPr>
              <w:t>Target Axum composition, ports, configuration, jobs, and errors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6</w:t>
            </w:r>
          </w:p>
        </w:tc>
        <w:tc>
          <w:tcPr>
            <w:tcW w:type="dxa" w:w="7560"/>
            <w:tcMar>
              <w:top w:w="80" w:type="dxa"/>
              <w:start w:w="120" w:type="dxa"/>
              <w:bottom w:w="80" w:type="dxa"/>
              <w:end w:w="120" w:type="dxa"/>
            </w:tcMar>
            <w:vAlign w:val="center"/>
          </w:tcPr>
          <w:p>
            <w:pPr>
              <w:spacing w:after="40" w:line="252" w:lineRule="auto"/>
            </w:pPr>
            <w:r>
              <w:rPr>
                <w:sz w:val="18"/>
              </w:rPr>
              <w:t>Phased migration and first five pull requests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7</w:t>
            </w:r>
          </w:p>
        </w:tc>
        <w:tc>
          <w:tcPr>
            <w:tcW w:type="dxa" w:w="7560"/>
            <w:tcMar>
              <w:top w:w="80" w:type="dxa"/>
              <w:start w:w="120" w:type="dxa"/>
              <w:bottom w:w="80" w:type="dxa"/>
              <w:end w:w="120" w:type="dxa"/>
            </w:tcMar>
            <w:vAlign w:val="center"/>
          </w:tcPr>
          <w:p>
            <w:pPr>
              <w:spacing w:after="40" w:line="252" w:lineRule="auto"/>
            </w:pPr>
            <w:r>
              <w:rPr>
                <w:sz w:val="18"/>
              </w:rPr>
              <w:t>Tests, CI boundaries, and definition of done</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8</w:t>
            </w:r>
          </w:p>
        </w:tc>
        <w:tc>
          <w:tcPr>
            <w:tcW w:type="dxa" w:w="7560"/>
            <w:tcMar>
              <w:top w:w="80" w:type="dxa"/>
              <w:start w:w="120" w:type="dxa"/>
              <w:bottom w:w="80" w:type="dxa"/>
              <w:end w:w="120" w:type="dxa"/>
            </w:tcMar>
            <w:vAlign w:val="center"/>
          </w:tcPr>
          <w:p>
            <w:pPr>
              <w:spacing w:after="40" w:line="252" w:lineRule="auto"/>
            </w:pPr>
            <w:r>
              <w:rPr>
                <w:sz w:val="18"/>
              </w:rPr>
              <w:t>Tradeoffs, risks, and non-goals</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9</w:t>
            </w:r>
          </w:p>
        </w:tc>
        <w:tc>
          <w:tcPr>
            <w:tcW w:type="dxa" w:w="7560"/>
            <w:tcMar>
              <w:top w:w="80" w:type="dxa"/>
              <w:start w:w="120" w:type="dxa"/>
              <w:bottom w:w="80" w:type="dxa"/>
              <w:end w:w="120" w:type="dxa"/>
            </w:tcMar>
            <w:vAlign w:val="center"/>
          </w:tcPr>
          <w:p>
            <w:pPr>
              <w:spacing w:after="40" w:line="252" w:lineRule="auto"/>
            </w:pPr>
            <w:r>
              <w:rPr>
                <w:sz w:val="18"/>
              </w:rPr>
              <w:t>Request flow, acceptance checklist, and practical recommendation</w:t>
            </w:r>
          </w:p>
        </w:tc>
      </w:tr>
      <w:tr>
        <w:trPr>
          <w:cantSplit/>
        </w:trPr>
        <w:tc>
          <w:tcPr>
            <w:tcW w:type="dxa" w:w="1800"/>
            <w:shd w:fill="F4F8FB"/>
            <w:tcMar>
              <w:top w:w="80" w:type="dxa"/>
              <w:start w:w="120" w:type="dxa"/>
              <w:bottom w:w="80" w:type="dxa"/>
              <w:end w:w="120" w:type="dxa"/>
            </w:tcMar>
            <w:vAlign w:val="center"/>
          </w:tcPr>
          <w:p>
            <w:pPr>
              <w:spacing w:after="40" w:line="252" w:lineRule="auto"/>
            </w:pPr>
            <w:r>
              <w:rPr>
                <w:b/>
                <w:color w:val="1F4D78"/>
                <w:sz w:val="18"/>
              </w:rPr>
              <w:t>Appendices</w:t>
            </w:r>
          </w:p>
        </w:tc>
        <w:tc>
          <w:tcPr>
            <w:tcW w:type="dxa" w:w="7560"/>
            <w:tcMar>
              <w:top w:w="80" w:type="dxa"/>
              <w:start w:w="120" w:type="dxa"/>
              <w:bottom w:w="80" w:type="dxa"/>
              <w:end w:w="120" w:type="dxa"/>
            </w:tcMar>
            <w:vAlign w:val="center"/>
          </w:tcPr>
          <w:p>
            <w:pPr>
              <w:spacing w:after="40" w:line="252" w:lineRule="auto"/>
            </w:pPr>
            <w:r>
              <w:rPr>
                <w:sz w:val="18"/>
              </w:rPr>
              <w:t>Source evidence, working-tree direction, ADR outline, and glossary</w:t>
            </w:r>
          </w:p>
        </w:tc>
      </w:tr>
    </w:tbl>
    <w:p>
      <w:pPr>
        <w:spacing w:after="20"/>
      </w:pPr>
    </w:p>
    <w:p>
      <w:r>
        <w:br w:type="page"/>
      </w:r>
    </w:p>
    <w:p>
      <w:pPr>
        <w:pStyle w:val="Heading1"/>
        <w:keepNext/>
      </w:pPr>
      <w:r>
        <w:t>Executive summary</w:t>
      </w:r>
    </w:p>
    <w:p>
      <w:r>
        <w:t>Quarry does not need a new framework or a rewrite to become composable. It already has several of the right structural ingredients: a transport-neutral API contract, build-time web/desktop composition, slot-based workspace layout, explicit sidebar variants, a partially compound PDF viewer, modular Axum routers, thin handlers in several areas, and a healthy automated test baseline. The central opportunity is to make those good boundaries consistent. Today, state, platform selection, endpoint mapping, and backend dependency construction still leak into feature code, so apparently small changes often require coordinated edits across large components or concrete infrastructure modules.</w:t>
      </w:r>
    </w:p>
    <w:p>
      <w:r>
        <w:t>The recommended target is a four-part composable architecture. First, UI structure is assembled from children, slots, compound component parts, and explicit variants. Second, feature state lives in scoped providers whose public contract is a generic state/actions/meta shape; reducers and asynchronous orchestration make valid transitions explicit. Third, the Quarry API is created once from a small transport interface, eliminating the parallel endpoint mapping currently maintained in the HTTP and Tauri clients. Fourth, the Axum backend gains a real composition root: configuration is loaded once, shared clients are constructed once, application services depend on narrow ports, and handlers receive only the capabilities they need.</w:t>
      </w:r>
    </w:p>
    <w:p>
      <w:pPr>
        <w:keepLines/>
        <w:spacing w:before="80" w:after="200"/>
        <w:ind w:left="173" w:right="173"/>
        <w:shd w:fill="EAF5EF"/>
        <w:pBdr>
          <w:left w:val="single" w:sz="18" w:space="8" w:color="2E7D59"/>
        </w:pBdr>
      </w:pPr>
      <w:r>
        <w:rPr>
          <w:b/>
          <w:color w:val="2E7D59"/>
          <w:sz w:val="18"/>
        </w:rPr>
        <w:t>PRIMARY RECOMMENDATION</w:t>
        <w:br/>
      </w:r>
      <w:r>
        <w:rPr>
          <w:color w:val="202A33"/>
          <w:sz w:val="21"/>
        </w:rPr>
        <w:t>Start with the seams that reduce future migration cost: centralize frontend endpoint mapping, mount a route-scoped WorkspaceProvider, replace structural sidebar flags with explicit composition, and introduce a backend bootstrap/configuration root. These changes are independently shippable and create the runway for later feature refactors.</w:t>
      </w:r>
    </w:p>
    <w:p>
      <w:pPr>
        <w:pStyle w:val="Heading2"/>
        <w:keepNext/>
      </w:pPr>
      <w:r>
        <w:t>What the assessment found</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1650"/>
        <w:gridCol w:w="3800"/>
        <w:gridCol w:w="3910"/>
      </w:tblGrid>
      <w:tr>
        <w:trPr>
          <w:tblHeader w:val="true"/>
          <w:cantSplit/>
        </w:trPr>
        <w:tc>
          <w:tcPr>
            <w:tcW w:type="dxa" w:w="1650"/>
            <w:shd w:fill="F2F4F7"/>
            <w:tcMar>
              <w:top w:w="80" w:type="dxa"/>
              <w:start w:w="120" w:type="dxa"/>
              <w:bottom w:w="80" w:type="dxa"/>
              <w:end w:w="120" w:type="dxa"/>
            </w:tcMar>
            <w:vAlign w:val="center"/>
          </w:tcPr>
          <w:p>
            <w:pPr>
              <w:spacing w:after="0"/>
            </w:pPr>
            <w:r>
              <w:rPr>
                <w:b/>
                <w:color w:val="1F4D78"/>
                <w:sz w:val="18"/>
              </w:rPr>
              <w:t>Area</w:t>
            </w:r>
          </w:p>
        </w:tc>
        <w:tc>
          <w:tcPr>
            <w:tcW w:type="dxa" w:w="3800"/>
            <w:shd w:fill="F2F4F7"/>
            <w:tcMar>
              <w:top w:w="80" w:type="dxa"/>
              <w:start w:w="120" w:type="dxa"/>
              <w:bottom w:w="80" w:type="dxa"/>
              <w:end w:w="120" w:type="dxa"/>
            </w:tcMar>
            <w:vAlign w:val="center"/>
          </w:tcPr>
          <w:p>
            <w:pPr>
              <w:spacing w:after="0"/>
            </w:pPr>
            <w:r>
              <w:rPr>
                <w:b/>
                <w:color w:val="1F4D78"/>
                <w:sz w:val="18"/>
              </w:rPr>
              <w:t>Current condition</w:t>
            </w:r>
          </w:p>
        </w:tc>
        <w:tc>
          <w:tcPr>
            <w:tcW w:type="dxa" w:w="3910"/>
            <w:shd w:fill="F2F4F7"/>
            <w:tcMar>
              <w:top w:w="80" w:type="dxa"/>
              <w:start w:w="120" w:type="dxa"/>
              <w:bottom w:w="80" w:type="dxa"/>
              <w:end w:w="120" w:type="dxa"/>
            </w:tcMar>
            <w:vAlign w:val="center"/>
          </w:tcPr>
          <w:p>
            <w:pPr>
              <w:spacing w:after="0"/>
            </w:pPr>
            <w:r>
              <w:rPr>
                <w:b/>
                <w:color w:val="1F4D78"/>
                <w:sz w:val="18"/>
              </w:rPr>
              <w:t>Recommended direction</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Web/desktop boundary</w:t>
            </w:r>
          </w:p>
        </w:tc>
        <w:tc>
          <w:tcPr>
            <w:tcW w:type="dxa" w:w="3800"/>
            <w:tcMar>
              <w:top w:w="80" w:type="dxa"/>
              <w:start w:w="120" w:type="dxa"/>
              <w:bottom w:w="80" w:type="dxa"/>
              <w:end w:w="120" w:type="dxa"/>
            </w:tcMar>
            <w:vAlign w:val="center"/>
          </w:tcPr>
          <w:p>
            <w:pPr>
              <w:spacing w:after="40" w:line="252" w:lineRule="auto"/>
            </w:pPr>
            <w:r>
              <w:rPr>
                <w:sz w:val="18"/>
              </w:rPr>
              <w:t>Strong build-time alias and transport-neutral contracts, but endpoint mapping and decoding are duplicated.</w:t>
            </w:r>
          </w:p>
        </w:tc>
        <w:tc>
          <w:tcPr>
            <w:tcW w:type="dxa" w:w="3910"/>
            <w:tcMar>
              <w:top w:w="80" w:type="dxa"/>
              <w:start w:w="120" w:type="dxa"/>
              <w:bottom w:w="80" w:type="dxa"/>
              <w:end w:w="120" w:type="dxa"/>
            </w:tcMar>
            <w:vAlign w:val="center"/>
          </w:tcPr>
          <w:p>
            <w:pPr>
              <w:spacing w:after="40" w:line="252" w:lineRule="auto"/>
            </w:pPr>
            <w:r>
              <w:rPr>
                <w:sz w:val="18"/>
              </w:rPr>
              <w:t>One API factory over HTTP and Tauri transports; platform imports confined to adapters.</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Workspace shell</w:t>
            </w:r>
          </w:p>
        </w:tc>
        <w:tc>
          <w:tcPr>
            <w:tcW w:type="dxa" w:w="3800"/>
            <w:tcMar>
              <w:top w:w="80" w:type="dxa"/>
              <w:start w:w="120" w:type="dxa"/>
              <w:bottom w:w="80" w:type="dxa"/>
              <w:end w:w="120" w:type="dxa"/>
            </w:tcMar>
            <w:vAlign w:val="center"/>
          </w:tcPr>
          <w:p>
            <w:pPr>
              <w:spacing w:after="40" w:line="252" w:lineRule="auto"/>
            </w:pPr>
            <w:r>
              <w:rPr>
                <w:sz w:val="18"/>
              </w:rPr>
              <w:t>Good slot-based layout, but provider lifetime and workspace data flow are tied to individual shells.</w:t>
            </w:r>
          </w:p>
        </w:tc>
        <w:tc>
          <w:tcPr>
            <w:tcW w:type="dxa" w:w="3910"/>
            <w:tcMar>
              <w:top w:w="80" w:type="dxa"/>
              <w:start w:w="120" w:type="dxa"/>
              <w:bottom w:w="80" w:type="dxa"/>
              <w:end w:w="120" w:type="dxa"/>
            </w:tcMar>
            <w:vAlign w:val="center"/>
          </w:tcPr>
          <w:p>
            <w:pPr>
              <w:spacing w:after="40" w:line="252" w:lineRule="auto"/>
            </w:pPr>
            <w:r>
              <w:rPr>
                <w:sz w:val="18"/>
              </w:rPr>
              <w:t>Nested route layout with one scoped WorkspaceProvider and fail-fast access hooks.</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Reusable UI</w:t>
            </w:r>
          </w:p>
        </w:tc>
        <w:tc>
          <w:tcPr>
            <w:tcW w:type="dxa" w:w="3800"/>
            <w:tcMar>
              <w:top w:w="80" w:type="dxa"/>
              <w:start w:w="120" w:type="dxa"/>
              <w:bottom w:w="80" w:type="dxa"/>
              <w:end w:w="120" w:type="dxa"/>
            </w:tcMar>
            <w:vAlign w:val="center"/>
          </w:tcPr>
          <w:p>
            <w:pPr>
              <w:spacing w:after="40" w:line="252" w:lineRule="auto"/>
            </w:pPr>
            <w:r>
              <w:rPr>
                <w:sz w:val="18"/>
              </w:rPr>
              <w:t>Several explicit variants exist, while structural booleans and semantic mode switches still accumulate.</w:t>
            </w:r>
          </w:p>
        </w:tc>
        <w:tc>
          <w:tcPr>
            <w:tcW w:type="dxa" w:w="3910"/>
            <w:tcMar>
              <w:top w:w="80" w:type="dxa"/>
              <w:start w:w="120" w:type="dxa"/>
              <w:bottom w:w="80" w:type="dxa"/>
              <w:end w:w="120" w:type="dxa"/>
            </w:tcMar>
            <w:vAlign w:val="center"/>
          </w:tcPr>
          <w:p>
            <w:pPr>
              <w:spacing w:after="40" w:line="252" w:lineRule="auto"/>
            </w:pPr>
            <w:r>
              <w:rPr>
                <w:sz w:val="18"/>
              </w:rPr>
              <w:t>Compound parts for flexible structure; named variants for product semantics.</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Feature workflows</w:t>
            </w:r>
          </w:p>
        </w:tc>
        <w:tc>
          <w:tcPr>
            <w:tcW w:type="dxa" w:w="3800"/>
            <w:tcMar>
              <w:top w:w="80" w:type="dxa"/>
              <w:start w:w="120" w:type="dxa"/>
              <w:bottom w:w="80" w:type="dxa"/>
              <w:end w:w="120" w:type="dxa"/>
            </w:tcMar>
            <w:vAlign w:val="center"/>
          </w:tcPr>
          <w:p>
            <w:pPr>
              <w:spacing w:after="40" w:line="252" w:lineRule="auto"/>
            </w:pPr>
            <w:r>
              <w:rPr>
                <w:sz w:val="18"/>
              </w:rPr>
              <w:t>Large pages coordinate loading, selection, overlays, platform branches, and rendering through many independent hooks.</w:t>
            </w:r>
          </w:p>
        </w:tc>
        <w:tc>
          <w:tcPr>
            <w:tcW w:type="dxa" w:w="3910"/>
            <w:tcMar>
              <w:top w:w="80" w:type="dxa"/>
              <w:start w:w="120" w:type="dxa"/>
              <w:bottom w:w="80" w:type="dxa"/>
              <w:end w:w="120" w:type="dxa"/>
            </w:tcMar>
            <w:vAlign w:val="center"/>
          </w:tcPr>
          <w:p>
            <w:pPr>
              <w:spacing w:after="40" w:line="252" w:lineRule="auto"/>
            </w:pPr>
            <w:r>
              <w:rPr>
                <w:sz w:val="18"/>
              </w:rPr>
              <w:t>Reducer-backed feature providers with discriminated workflow states and small view parts.</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Axum application</w:t>
            </w:r>
          </w:p>
        </w:tc>
        <w:tc>
          <w:tcPr>
            <w:tcW w:type="dxa" w:w="3800"/>
            <w:tcMar>
              <w:top w:w="80" w:type="dxa"/>
              <w:start w:w="120" w:type="dxa"/>
              <w:bottom w:w="80" w:type="dxa"/>
              <w:end w:w="120" w:type="dxa"/>
            </w:tcMar>
            <w:vAlign w:val="center"/>
          </w:tcPr>
          <w:p>
            <w:pPr>
              <w:spacing w:after="40" w:line="252" w:lineRule="auto"/>
            </w:pPr>
            <w:r>
              <w:rPr>
                <w:sz w:val="18"/>
              </w:rPr>
              <w:t>Routers and middleware compose well; services and repositories often depend on all of AppState.</w:t>
            </w:r>
          </w:p>
        </w:tc>
        <w:tc>
          <w:tcPr>
            <w:tcW w:type="dxa" w:w="3910"/>
            <w:tcMar>
              <w:top w:w="80" w:type="dxa"/>
              <w:start w:w="120" w:type="dxa"/>
              <w:bottom w:w="80" w:type="dxa"/>
              <w:end w:w="120" w:type="dxa"/>
            </w:tcMar>
            <w:vAlign w:val="center"/>
          </w:tcPr>
          <w:p>
            <w:pPr>
              <w:spacing w:after="40" w:line="252" w:lineRule="auto"/>
            </w:pPr>
            <w:r>
              <w:rPr>
                <w:sz w:val="18"/>
              </w:rPr>
              <w:t>Bootstrap-built application services over narrow ports; repositories depend only on their data clients.</w:t>
            </w:r>
          </w:p>
        </w:tc>
      </w:tr>
      <w:tr>
        <w:trPr>
          <w:cantSplit/>
        </w:trPr>
        <w:tc>
          <w:tcPr>
            <w:tcW w:type="dxa" w:w="1650"/>
            <w:shd w:fill="F4F8FB"/>
            <w:tcMar>
              <w:top w:w="80" w:type="dxa"/>
              <w:start w:w="120" w:type="dxa"/>
              <w:bottom w:w="80" w:type="dxa"/>
              <w:end w:w="120" w:type="dxa"/>
            </w:tcMar>
            <w:vAlign w:val="center"/>
          </w:tcPr>
          <w:p>
            <w:pPr>
              <w:spacing w:after="40" w:line="252" w:lineRule="auto"/>
            </w:pPr>
            <w:r>
              <w:rPr>
                <w:b/>
                <w:color w:val="1F4D78"/>
                <w:sz w:val="18"/>
              </w:rPr>
              <w:t>Delivery risk</w:t>
            </w:r>
          </w:p>
        </w:tc>
        <w:tc>
          <w:tcPr>
            <w:tcW w:type="dxa" w:w="3800"/>
            <w:tcMar>
              <w:top w:w="80" w:type="dxa"/>
              <w:start w:w="120" w:type="dxa"/>
              <w:bottom w:w="80" w:type="dxa"/>
              <w:end w:w="120" w:type="dxa"/>
            </w:tcMar>
            <w:vAlign w:val="center"/>
          </w:tcPr>
          <w:p>
            <w:pPr>
              <w:spacing w:after="40" w:line="252" w:lineRule="auto"/>
            </w:pPr>
            <w:r>
              <w:rPr>
                <w:sz w:val="18"/>
              </w:rPr>
              <w:t>Tests are green, making incremental refactoring feasible.</w:t>
            </w:r>
          </w:p>
        </w:tc>
        <w:tc>
          <w:tcPr>
            <w:tcW w:type="dxa" w:w="3910"/>
            <w:tcMar>
              <w:top w:w="80" w:type="dxa"/>
              <w:start w:w="120" w:type="dxa"/>
              <w:bottom w:w="80" w:type="dxa"/>
              <w:end w:w="120" w:type="dxa"/>
            </w:tcMar>
            <w:vAlign w:val="center"/>
          </w:tcPr>
          <w:p>
            <w:pPr>
              <w:spacing w:after="40" w:line="252" w:lineRule="auto"/>
            </w:pPr>
            <w:r>
              <w:rPr>
                <w:sz w:val="18"/>
              </w:rPr>
              <w:t>Preserve behavior with contract tests, state-transition tests, and temporary compatibility wrappers.</w:t>
            </w:r>
          </w:p>
        </w:tc>
      </w:tr>
    </w:tbl>
    <w:p>
      <w:pPr>
        <w:spacing w:after="20"/>
      </w:pPr>
    </w:p>
    <w:p>
      <w:pPr>
        <w:pStyle w:val="Heading2"/>
        <w:keepNext/>
      </w:pPr>
      <w:r>
        <w:t>Expected outcomes</w:t>
      </w:r>
    </w:p>
    <w:p>
      <w:pPr>
        <w:pStyle w:val="ListBullet"/>
      </w:pPr>
      <w:r>
        <w:t>A feature can be rearranged or given a new visual variant without adding another matrix of structural boolean props.</w:t>
      </w:r>
    </w:p>
    <w:p>
      <w:pPr>
        <w:pStyle w:val="ListBullet"/>
      </w:pPr>
      <w:r>
        <w:t>A web and desktop endpoint change is made once and verified against both transports.</w:t>
      </w:r>
    </w:p>
    <w:p>
      <w:pPr>
        <w:pStyle w:val="ListBullet"/>
      </w:pPr>
      <w:r>
        <w:t>Feature state transitions can be unit-tested without mounting an entire page or invoking the live runtime.</w:t>
      </w:r>
    </w:p>
    <w:p>
      <w:pPr>
        <w:pStyle w:val="ListBullet"/>
      </w:pPr>
      <w:r>
        <w:t>A backend use case can be tested with fake ports, without SQLite, Helix, OpenAI, or a live Axum server.</w:t>
      </w:r>
    </w:p>
    <w:p>
      <w:pPr>
        <w:pStyle w:val="ListBullet"/>
      </w:pPr>
      <w:r>
        <w:t>Configuration, secrets, and infrastructure clients are created at the application boundary instead of being discovered deep inside services.</w:t>
      </w:r>
    </w:p>
    <w:p>
      <w:pPr>
        <w:pStyle w:val="ListBullet"/>
      </w:pPr>
      <w:r>
        <w:t>The codebase gains enforceable import boundaries so the architecture does not slowly regress after the migration.</w:t>
      </w:r>
    </w:p>
    <w:p>
      <w:pPr>
        <w:pStyle w:val="Heading1"/>
        <w:keepNext/>
      </w:pPr>
      <w:r>
        <w:t>1. Scope, interpretation, and method</w:t>
      </w:r>
    </w:p>
    <w:p>
      <w:pPr>
        <w:pStyle w:val="Heading2"/>
        <w:keepNext/>
      </w:pPr>
      <w:r>
        <w:t>1.1 What “composable architecture” means here</w:t>
      </w:r>
    </w:p>
    <w:p>
      <w:r>
        <w:t>This report uses “composable architecture” as an architectural property, not as a recommendation to introduce a specific third-party library and not as a reference to the Swift Composable Architecture framework. In Quarry, composability means that behavior, state, presentation, transport, and infrastructure can be assembled through explicit contracts. Each unit should have one clear reason to change, should expose a deliberately small public API, and should be testable with inexpensive collaborators.</w:t>
      </w:r>
    </w:p>
    <w:p>
      <w:r>
        <w:t>A component or service is meaningfully composable when a consumer can choose and arrange capabilities without learning the implementation’s internal state model. That does not mean maximum abstraction. A one-off leaf component can remain simple. A pure parser can remain a function. A concrete repository can remain concrete until a use case needs an interchangeable dependency. The goal is to introduce boundaries where variability, platform differences, workflow complexity, or testing cost justify them.</w:t>
      </w:r>
    </w:p>
    <w:p>
      <w:pPr>
        <w:pStyle w:val="Heading2"/>
        <w:keepNext/>
      </w:pPr>
      <w:r>
        <w:t>1.2 Assessment scope</w:t>
      </w:r>
    </w:p>
    <w:p>
      <w:pPr>
        <w:pStyle w:val="ListBullet"/>
      </w:pPr>
      <w:r>
        <w:t>Frontend application composition, route structure, workspace shells, shared UI components, feature state, and browser/desktop branching.</w:t>
      </w:r>
    </w:p>
    <w:p>
      <w:pPr>
        <w:pStyle w:val="ListBullet"/>
      </w:pPr>
      <w:r>
        <w:t>The QuarryApi contract, HTTP and Tauri client implementations, runtime aliases, and platform capability modeling.</w:t>
      </w:r>
    </w:p>
    <w:p>
      <w:pPr>
        <w:pStyle w:val="ListBullet"/>
      </w:pPr>
      <w:r>
        <w:t>Axum router construction, AppState, handlers, services, repositories, error mapping, configuration, background jobs, and infrastructure clients.</w:t>
      </w:r>
    </w:p>
    <w:p>
      <w:pPr>
        <w:pStyle w:val="ListBullet"/>
      </w:pPr>
      <w:r>
        <w:t>Representative high-complexity areas: Data Room, Summarize, Add Deal, Deal Room, Sidebar, PDF Viewer, deal extraction, and document ingestion.</w:t>
      </w:r>
    </w:p>
    <w:p>
      <w:pPr>
        <w:pStyle w:val="ListBullet"/>
      </w:pPr>
      <w:r>
        <w:t>Automated tests and type/boundary checks used as the migration safety net.</w:t>
      </w:r>
    </w:p>
    <w:p>
      <w:pPr>
        <w:pStyle w:val="Heading2"/>
        <w:keepNext/>
      </w:pPr>
      <w:r>
        <w:t>1.3 Evidence and verification</w:t>
      </w:r>
    </w:p>
    <w:p>
      <w:r>
        <w:t>The analysis was performed against Git HEAD 081c511 and the current working tree. The working tree already contains active changes, so this report treats it as the authoritative design snapshot and does not assume that uncommitted files are released behavior. No repository source files were modified during the assessment.</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300"/>
        <w:gridCol w:w="2300"/>
        <w:gridCol w:w="4760"/>
      </w:tblGrid>
      <w:tr>
        <w:trPr>
          <w:tblHeader w:val="true"/>
          <w:cantSplit/>
        </w:trPr>
        <w:tc>
          <w:tcPr>
            <w:tcW w:type="dxa" w:w="2300"/>
            <w:shd w:fill="F2F4F7"/>
            <w:tcMar>
              <w:top w:w="80" w:type="dxa"/>
              <w:start w:w="120" w:type="dxa"/>
              <w:bottom w:w="80" w:type="dxa"/>
              <w:end w:w="120" w:type="dxa"/>
            </w:tcMar>
            <w:vAlign w:val="center"/>
          </w:tcPr>
          <w:p>
            <w:pPr>
              <w:spacing w:after="0"/>
            </w:pPr>
            <w:r>
              <w:rPr>
                <w:b/>
                <w:color w:val="1F4D78"/>
                <w:sz w:val="18"/>
              </w:rPr>
              <w:t>Verification</w:t>
            </w:r>
          </w:p>
        </w:tc>
        <w:tc>
          <w:tcPr>
            <w:tcW w:type="dxa" w:w="2300"/>
            <w:shd w:fill="F2F4F7"/>
            <w:tcMar>
              <w:top w:w="80" w:type="dxa"/>
              <w:start w:w="120" w:type="dxa"/>
              <w:bottom w:w="80" w:type="dxa"/>
              <w:end w:w="120" w:type="dxa"/>
            </w:tcMar>
            <w:vAlign w:val="center"/>
          </w:tcPr>
          <w:p>
            <w:pPr>
              <w:spacing w:after="0"/>
            </w:pPr>
            <w:r>
              <w:rPr>
                <w:b/>
                <w:color w:val="1F4D78"/>
                <w:sz w:val="18"/>
              </w:rPr>
              <w:t>Result</w:t>
            </w:r>
          </w:p>
        </w:tc>
        <w:tc>
          <w:tcPr>
            <w:tcW w:type="dxa" w:w="4760"/>
            <w:shd w:fill="F2F4F7"/>
            <w:tcMar>
              <w:top w:w="80" w:type="dxa"/>
              <w:start w:w="120" w:type="dxa"/>
              <w:bottom w:w="80" w:type="dxa"/>
              <w:end w:w="120" w:type="dxa"/>
            </w:tcMar>
            <w:vAlign w:val="center"/>
          </w:tcPr>
          <w:p>
            <w:pPr>
              <w:spacing w:after="0"/>
            </w:pPr>
            <w:r>
              <w:rPr>
                <w:b/>
                <w:color w:val="1F4D78"/>
                <w:sz w:val="18"/>
              </w:rPr>
              <w:t>Why it matters</w:t>
            </w:r>
          </w:p>
        </w:tc>
      </w:tr>
      <w:tr>
        <w:trPr>
          <w:cantSplit/>
        </w:trPr>
        <w:tc>
          <w:tcPr>
            <w:tcW w:type="dxa" w:w="2300"/>
            <w:shd w:fill="F4F8FB"/>
            <w:tcMar>
              <w:top w:w="80" w:type="dxa"/>
              <w:start w:w="120" w:type="dxa"/>
              <w:bottom w:w="80" w:type="dxa"/>
              <w:end w:w="120" w:type="dxa"/>
            </w:tcMar>
            <w:vAlign w:val="center"/>
          </w:tcPr>
          <w:p>
            <w:pPr>
              <w:spacing w:after="40" w:line="252" w:lineRule="auto"/>
            </w:pPr>
            <w:r>
              <w:rPr>
                <w:b/>
                <w:color w:val="1F4D78"/>
                <w:sz w:val="18"/>
              </w:rPr>
              <w:t>Frontend test suite</w:t>
            </w:r>
          </w:p>
        </w:tc>
        <w:tc>
          <w:tcPr>
            <w:tcW w:type="dxa" w:w="2300"/>
            <w:tcMar>
              <w:top w:w="80" w:type="dxa"/>
              <w:start w:w="120" w:type="dxa"/>
              <w:bottom w:w="80" w:type="dxa"/>
              <w:end w:w="120" w:type="dxa"/>
            </w:tcMar>
            <w:vAlign w:val="center"/>
          </w:tcPr>
          <w:p>
            <w:pPr>
              <w:spacing w:after="40" w:line="252" w:lineRule="auto"/>
            </w:pPr>
            <w:r>
              <w:rPr>
                <w:sz w:val="18"/>
              </w:rPr>
              <w:t>19 tests passed across 9 test files</w:t>
            </w:r>
          </w:p>
        </w:tc>
        <w:tc>
          <w:tcPr>
            <w:tcW w:type="dxa" w:w="4760"/>
            <w:tcMar>
              <w:top w:w="80" w:type="dxa"/>
              <w:start w:w="120" w:type="dxa"/>
              <w:bottom w:w="80" w:type="dxa"/>
              <w:end w:w="120" w:type="dxa"/>
            </w:tcMar>
            <w:vAlign w:val="center"/>
          </w:tcPr>
          <w:p>
            <w:pPr>
              <w:spacing w:after="40" w:line="252" w:lineRule="auto"/>
            </w:pPr>
            <w:r>
              <w:rPr>
                <w:sz w:val="18"/>
              </w:rPr>
              <w:t>Provides a baseline for behavior-preserving refactors.</w:t>
            </w:r>
          </w:p>
        </w:tc>
      </w:tr>
      <w:tr>
        <w:trPr>
          <w:cantSplit/>
        </w:trPr>
        <w:tc>
          <w:tcPr>
            <w:tcW w:type="dxa" w:w="2300"/>
            <w:shd w:fill="F4F8FB"/>
            <w:tcMar>
              <w:top w:w="80" w:type="dxa"/>
              <w:start w:w="120" w:type="dxa"/>
              <w:bottom w:w="80" w:type="dxa"/>
              <w:end w:w="120" w:type="dxa"/>
            </w:tcMar>
            <w:vAlign w:val="center"/>
          </w:tcPr>
          <w:p>
            <w:pPr>
              <w:spacing w:after="40" w:line="252" w:lineRule="auto"/>
            </w:pPr>
            <w:r>
              <w:rPr>
                <w:b/>
                <w:color w:val="1F4D78"/>
                <w:sz w:val="18"/>
              </w:rPr>
              <w:t>Web TypeScript check</w:t>
            </w:r>
          </w:p>
        </w:tc>
        <w:tc>
          <w:tcPr>
            <w:tcW w:type="dxa" w:w="2300"/>
            <w:tcMar>
              <w:top w:w="80" w:type="dxa"/>
              <w:start w:w="120" w:type="dxa"/>
              <w:bottom w:w="80" w:type="dxa"/>
              <w:end w:w="120" w:type="dxa"/>
            </w:tcMar>
            <w:vAlign w:val="center"/>
          </w:tcPr>
          <w:p>
            <w:pPr>
              <w:spacing w:after="40" w:line="252" w:lineRule="auto"/>
            </w:pPr>
            <w:r>
              <w:rPr>
                <w:sz w:val="18"/>
              </w:rPr>
              <w:t>Passed</w:t>
            </w:r>
          </w:p>
        </w:tc>
        <w:tc>
          <w:tcPr>
            <w:tcW w:type="dxa" w:w="4760"/>
            <w:tcMar>
              <w:top w:w="80" w:type="dxa"/>
              <w:start w:w="120" w:type="dxa"/>
              <w:bottom w:w="80" w:type="dxa"/>
              <w:end w:w="120" w:type="dxa"/>
            </w:tcMar>
            <w:vAlign w:val="center"/>
          </w:tcPr>
          <w:p>
            <w:pPr>
              <w:spacing w:after="40" w:line="252" w:lineRule="auto"/>
            </w:pPr>
            <w:r>
              <w:rPr>
                <w:sz w:val="18"/>
              </w:rPr>
              <w:t>Confirms the web runtime composition is currently coherent.</w:t>
            </w:r>
          </w:p>
        </w:tc>
      </w:tr>
      <w:tr>
        <w:trPr>
          <w:cantSplit/>
        </w:trPr>
        <w:tc>
          <w:tcPr>
            <w:tcW w:type="dxa" w:w="2300"/>
            <w:shd w:fill="F4F8FB"/>
            <w:tcMar>
              <w:top w:w="80" w:type="dxa"/>
              <w:start w:w="120" w:type="dxa"/>
              <w:bottom w:w="80" w:type="dxa"/>
              <w:end w:w="120" w:type="dxa"/>
            </w:tcMar>
            <w:vAlign w:val="center"/>
          </w:tcPr>
          <w:p>
            <w:pPr>
              <w:spacing w:after="40" w:line="252" w:lineRule="auto"/>
            </w:pPr>
            <w:r>
              <w:rPr>
                <w:b/>
                <w:color w:val="1F4D78"/>
                <w:sz w:val="18"/>
              </w:rPr>
              <w:t>Desktop TypeScript check</w:t>
            </w:r>
          </w:p>
        </w:tc>
        <w:tc>
          <w:tcPr>
            <w:tcW w:type="dxa" w:w="2300"/>
            <w:tcMar>
              <w:top w:w="80" w:type="dxa"/>
              <w:start w:w="120" w:type="dxa"/>
              <w:bottom w:w="80" w:type="dxa"/>
              <w:end w:w="120" w:type="dxa"/>
            </w:tcMar>
            <w:vAlign w:val="center"/>
          </w:tcPr>
          <w:p>
            <w:pPr>
              <w:spacing w:after="40" w:line="252" w:lineRule="auto"/>
            </w:pPr>
            <w:r>
              <w:rPr>
                <w:sz w:val="18"/>
              </w:rPr>
              <w:t>Passed</w:t>
            </w:r>
          </w:p>
        </w:tc>
        <w:tc>
          <w:tcPr>
            <w:tcW w:type="dxa" w:w="4760"/>
            <w:tcMar>
              <w:top w:w="80" w:type="dxa"/>
              <w:start w:w="120" w:type="dxa"/>
              <w:bottom w:w="80" w:type="dxa"/>
              <w:end w:w="120" w:type="dxa"/>
            </w:tcMar>
            <w:vAlign w:val="center"/>
          </w:tcPr>
          <w:p>
            <w:pPr>
              <w:spacing w:after="40" w:line="252" w:lineRule="auto"/>
            </w:pPr>
            <w:r>
              <w:rPr>
                <w:sz w:val="18"/>
              </w:rPr>
              <w:t>Confirms the desktop alias/runtime composition is currently coherent.</w:t>
            </w:r>
          </w:p>
        </w:tc>
      </w:tr>
      <w:tr>
        <w:trPr>
          <w:cantSplit/>
        </w:trPr>
        <w:tc>
          <w:tcPr>
            <w:tcW w:type="dxa" w:w="2300"/>
            <w:shd w:fill="F4F8FB"/>
            <w:tcMar>
              <w:top w:w="80" w:type="dxa"/>
              <w:start w:w="120" w:type="dxa"/>
              <w:bottom w:w="80" w:type="dxa"/>
              <w:end w:w="120" w:type="dxa"/>
            </w:tcMar>
            <w:vAlign w:val="center"/>
          </w:tcPr>
          <w:p>
            <w:pPr>
              <w:spacing w:after="40" w:line="252" w:lineRule="auto"/>
            </w:pPr>
            <w:r>
              <w:rPr>
                <w:b/>
                <w:color w:val="1F4D78"/>
                <w:sz w:val="18"/>
              </w:rPr>
              <w:t>Runtime boundary check</w:t>
            </w:r>
          </w:p>
        </w:tc>
        <w:tc>
          <w:tcPr>
            <w:tcW w:type="dxa" w:w="2300"/>
            <w:tcMar>
              <w:top w:w="80" w:type="dxa"/>
              <w:start w:w="120" w:type="dxa"/>
              <w:bottom w:w="80" w:type="dxa"/>
              <w:end w:w="120" w:type="dxa"/>
            </w:tcMar>
            <w:vAlign w:val="center"/>
          </w:tcPr>
          <w:p>
            <w:pPr>
              <w:spacing w:after="40" w:line="252" w:lineRule="auto"/>
            </w:pPr>
            <w:r>
              <w:rPr>
                <w:sz w:val="18"/>
              </w:rPr>
              <w:t>Passed</w:t>
            </w:r>
          </w:p>
        </w:tc>
        <w:tc>
          <w:tcPr>
            <w:tcW w:type="dxa" w:w="4760"/>
            <w:tcMar>
              <w:top w:w="80" w:type="dxa"/>
              <w:start w:w="120" w:type="dxa"/>
              <w:bottom w:w="80" w:type="dxa"/>
              <w:end w:w="120" w:type="dxa"/>
            </w:tcMar>
            <w:vAlign w:val="center"/>
          </w:tcPr>
          <w:p>
            <w:pPr>
              <w:spacing w:after="40" w:line="252" w:lineRule="auto"/>
            </w:pPr>
            <w:r>
              <w:rPr>
                <w:sz w:val="18"/>
              </w:rPr>
              <w:t>Existing platform boundary rules are enforceable and should be extended.</w:t>
            </w:r>
          </w:p>
        </w:tc>
      </w:tr>
      <w:tr>
        <w:trPr>
          <w:cantSplit/>
        </w:trPr>
        <w:tc>
          <w:tcPr>
            <w:tcW w:type="dxa" w:w="2300"/>
            <w:shd w:fill="F4F8FB"/>
            <w:tcMar>
              <w:top w:w="80" w:type="dxa"/>
              <w:start w:w="120" w:type="dxa"/>
              <w:bottom w:w="80" w:type="dxa"/>
              <w:end w:w="120" w:type="dxa"/>
            </w:tcMar>
            <w:vAlign w:val="center"/>
          </w:tcPr>
          <w:p>
            <w:pPr>
              <w:spacing w:after="40" w:line="252" w:lineRule="auto"/>
            </w:pPr>
            <w:r>
              <w:rPr>
                <w:b/>
                <w:color w:val="1F4D78"/>
                <w:sz w:val="18"/>
              </w:rPr>
              <w:t>Backend test suite</w:t>
            </w:r>
          </w:p>
        </w:tc>
        <w:tc>
          <w:tcPr>
            <w:tcW w:type="dxa" w:w="2300"/>
            <w:tcMar>
              <w:top w:w="80" w:type="dxa"/>
              <w:start w:w="120" w:type="dxa"/>
              <w:bottom w:w="80" w:type="dxa"/>
              <w:end w:w="120" w:type="dxa"/>
            </w:tcMar>
            <w:vAlign w:val="center"/>
          </w:tcPr>
          <w:p>
            <w:pPr>
              <w:spacing w:after="40" w:line="252" w:lineRule="auto"/>
            </w:pPr>
            <w:r>
              <w:rPr>
                <w:sz w:val="18"/>
              </w:rPr>
              <w:t>145 tests passed; 0 failed</w:t>
            </w:r>
          </w:p>
        </w:tc>
        <w:tc>
          <w:tcPr>
            <w:tcW w:type="dxa" w:w="4760"/>
            <w:tcMar>
              <w:top w:w="80" w:type="dxa"/>
              <w:start w:w="120" w:type="dxa"/>
              <w:bottom w:w="80" w:type="dxa"/>
              <w:end w:w="120" w:type="dxa"/>
            </w:tcMar>
            <w:vAlign w:val="center"/>
          </w:tcPr>
          <w:p>
            <w:pPr>
              <w:spacing w:after="40" w:line="252" w:lineRule="auto"/>
            </w:pPr>
            <w:r>
              <w:rPr>
                <w:sz w:val="18"/>
              </w:rPr>
              <w:t>Makes service extraction and port-based testing practical.</w:t>
            </w:r>
          </w:p>
        </w:tc>
      </w:tr>
    </w:tbl>
    <w:p>
      <w:pPr>
        <w:spacing w:after="20"/>
      </w:pPr>
    </w:p>
    <w:p>
      <w:pPr>
        <w:keepLines/>
        <w:spacing w:before="80" w:after="200"/>
        <w:ind w:left="173" w:right="173"/>
        <w:shd w:fill="EAF2F8"/>
        <w:pBdr>
          <w:left w:val="single" w:sz="18" w:space="8" w:color="2E74B5"/>
        </w:pBdr>
      </w:pPr>
      <w:r>
        <w:rPr>
          <w:b/>
          <w:color w:val="2E74B5"/>
          <w:sz w:val="18"/>
        </w:rPr>
        <w:t>IMPORTANT QUALIFICATION</w:t>
        <w:br/>
      </w:r>
      <w:r>
        <w:rPr>
          <w:color w:val="202A33"/>
          <w:sz w:val="21"/>
        </w:rPr>
        <w:t>Hook counts and file sizes identify investigation targets, not automatic violations. A large file can be cohesive, and a boolean such as disabled, selected, or loading can be perfectly appropriate. The recommendations below focus on structural booleans, platform leakage, impossible state combinations, duplicated mappings, and dependencies that increase change cost.</w:t>
      </w:r>
    </w:p>
    <w:p>
      <w:pPr>
        <w:pStyle w:val="Heading1"/>
        <w:keepNext/>
      </w:pPr>
      <w:r>
        <w:t>2. Current architecture: strengths and pressure points</w:t>
      </w:r>
    </w:p>
    <w:p>
      <w:pPr>
        <w:pStyle w:val="Heading2"/>
        <w:keepNext/>
      </w:pPr>
      <w:r>
        <w:t>2.1 The architecture Quarry already has</w:t>
      </w:r>
    </w:p>
    <w:p>
      <w:r>
        <w:t>Quarry is a React 19 and Vite frontend paired with an Axum backend and a deliberately thin Tauri shell. The frontend selects runtime and router implementations through build-time aliases. This is a strong composition-root pattern: product code imports stable module names while Vite chooses the platform implementation. The runtime exposes QuarryApi and PlatformCapabilities, so much of the UI can remain independent of HTTP and Tauri command details.</w:t>
      </w:r>
    </w:p>
    <w:p>
      <w:r>
        <w:t>The backend similarly has a useful outer skeleton. routes/mod.rs merges feature routers, applies tracing, CORS, request limits, and timeouts centrally, and passes shared state into Axum. Several CRUD handlers are thin. AppError avoids returning internal error detail to clients. Pure parsers and SQL-building utilities are covered by unit tests. These are not incidental strengths; the recommended design keeps them and makes their underlying boundaries more precise.</w:t>
      </w:r>
    </w:p>
    <w:p>
      <w:pPr>
        <w:pStyle w:val="Heading2"/>
        <w:keepNext/>
      </w:pPr>
      <w:r>
        <w:t>2.2 Quantitative shape</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100"/>
        <w:gridCol w:w="2860"/>
        <w:gridCol w:w="4400"/>
      </w:tblGrid>
      <w:tr>
        <w:trPr>
          <w:tblHeader w:val="true"/>
          <w:cantSplit/>
        </w:trPr>
        <w:tc>
          <w:tcPr>
            <w:tcW w:type="dxa" w:w="2100"/>
            <w:shd w:fill="F2F4F7"/>
            <w:tcMar>
              <w:top w:w="80" w:type="dxa"/>
              <w:start w:w="120" w:type="dxa"/>
              <w:bottom w:w="80" w:type="dxa"/>
              <w:end w:w="120" w:type="dxa"/>
            </w:tcMar>
            <w:vAlign w:val="center"/>
          </w:tcPr>
          <w:p>
            <w:pPr>
              <w:spacing w:after="0"/>
            </w:pPr>
            <w:r>
              <w:rPr>
                <w:b/>
                <w:color w:val="1F4D78"/>
                <w:sz w:val="18"/>
              </w:rPr>
              <w:t>Signal</w:t>
            </w:r>
          </w:p>
        </w:tc>
        <w:tc>
          <w:tcPr>
            <w:tcW w:type="dxa" w:w="2860"/>
            <w:shd w:fill="F2F4F7"/>
            <w:tcMar>
              <w:top w:w="80" w:type="dxa"/>
              <w:start w:w="120" w:type="dxa"/>
              <w:bottom w:w="80" w:type="dxa"/>
              <w:end w:w="120" w:type="dxa"/>
            </w:tcMar>
            <w:vAlign w:val="center"/>
          </w:tcPr>
          <w:p>
            <w:pPr>
              <w:spacing w:after="0"/>
            </w:pPr>
            <w:r>
              <w:rPr>
                <w:b/>
                <w:color w:val="1F4D78"/>
                <w:sz w:val="18"/>
              </w:rPr>
              <w:t>Observed shape</w:t>
            </w:r>
          </w:p>
        </w:tc>
        <w:tc>
          <w:tcPr>
            <w:tcW w:type="dxa" w:w="4400"/>
            <w:shd w:fill="F2F4F7"/>
            <w:tcMar>
              <w:top w:w="80" w:type="dxa"/>
              <w:start w:w="120" w:type="dxa"/>
              <w:bottom w:w="80" w:type="dxa"/>
              <w:end w:w="120" w:type="dxa"/>
            </w:tcMar>
            <w:vAlign w:val="center"/>
          </w:tcPr>
          <w:p>
            <w:pPr>
              <w:spacing w:after="0"/>
            </w:pPr>
            <w:r>
              <w:rPr>
                <w:b/>
                <w:color w:val="1F4D78"/>
                <w:sz w:val="18"/>
              </w:rPr>
              <w:t>Interpretation</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Frontend</w:t>
            </w:r>
          </w:p>
        </w:tc>
        <w:tc>
          <w:tcPr>
            <w:tcW w:type="dxa" w:w="2860"/>
            <w:tcMar>
              <w:top w:w="80" w:type="dxa"/>
              <w:start w:w="120" w:type="dxa"/>
              <w:bottom w:w="80" w:type="dxa"/>
              <w:end w:w="120" w:type="dxa"/>
            </w:tcMar>
            <w:vAlign w:val="center"/>
          </w:tcPr>
          <w:p>
            <w:pPr>
              <w:spacing w:after="40" w:line="252" w:lineRule="auto"/>
            </w:pPr>
            <w:r>
              <w:rPr>
                <w:sz w:val="18"/>
              </w:rPr>
              <w:t>138 TS/TSX files; about 15,853 lines; 11 files over 300 lines</w:t>
            </w:r>
          </w:p>
        </w:tc>
        <w:tc>
          <w:tcPr>
            <w:tcW w:type="dxa" w:w="4400"/>
            <w:tcMar>
              <w:top w:w="80" w:type="dxa"/>
              <w:start w:w="120" w:type="dxa"/>
              <w:bottom w:w="80" w:type="dxa"/>
              <w:end w:w="120" w:type="dxa"/>
            </w:tcMar>
            <w:vAlign w:val="center"/>
          </w:tcPr>
          <w:p>
            <w:pPr>
              <w:spacing w:after="40" w:line="252" w:lineRule="auto"/>
            </w:pPr>
            <w:r>
              <w:rPr>
                <w:sz w:val="18"/>
              </w:rPr>
              <w:t>Complexity is concentrated enough to address incrementally by feature.</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Backend</w:t>
            </w:r>
          </w:p>
        </w:tc>
        <w:tc>
          <w:tcPr>
            <w:tcW w:type="dxa" w:w="2860"/>
            <w:tcMar>
              <w:top w:w="80" w:type="dxa"/>
              <w:start w:w="120" w:type="dxa"/>
              <w:bottom w:w="80" w:type="dxa"/>
              <w:end w:w="120" w:type="dxa"/>
            </w:tcMar>
            <w:vAlign w:val="center"/>
          </w:tcPr>
          <w:p>
            <w:pPr>
              <w:spacing w:after="40" w:line="252" w:lineRule="auto"/>
            </w:pPr>
            <w:r>
              <w:rPr>
                <w:sz w:val="18"/>
              </w:rPr>
              <w:t>97 Rust files; about 14,663 lines; 14 files over 300 lines</w:t>
            </w:r>
          </w:p>
        </w:tc>
        <w:tc>
          <w:tcPr>
            <w:tcW w:type="dxa" w:w="4400"/>
            <w:tcMar>
              <w:top w:w="80" w:type="dxa"/>
              <w:start w:w="120" w:type="dxa"/>
              <w:bottom w:w="80" w:type="dxa"/>
              <w:end w:w="120" w:type="dxa"/>
            </w:tcMar>
            <w:vAlign w:val="center"/>
          </w:tcPr>
          <w:p>
            <w:pPr>
              <w:spacing w:after="40" w:line="252" w:lineRule="auto"/>
            </w:pPr>
            <w:r>
              <w:rPr>
                <w:sz w:val="18"/>
              </w:rPr>
              <w:t>Most code is already modular; several orchestration and repository files dominate coupling.</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Local React state</w:t>
            </w:r>
          </w:p>
        </w:tc>
        <w:tc>
          <w:tcPr>
            <w:tcW w:type="dxa" w:w="2860"/>
            <w:tcMar>
              <w:top w:w="80" w:type="dxa"/>
              <w:start w:w="120" w:type="dxa"/>
              <w:bottom w:w="80" w:type="dxa"/>
              <w:end w:w="120" w:type="dxa"/>
            </w:tcMar>
            <w:vAlign w:val="center"/>
          </w:tcPr>
          <w:p>
            <w:pPr>
              <w:spacing w:after="40" w:line="252" w:lineRule="auto"/>
            </w:pPr>
            <w:r>
              <w:rPr>
                <w:sz w:val="18"/>
              </w:rPr>
              <w:t>141 useState occurrences</w:t>
            </w:r>
          </w:p>
        </w:tc>
        <w:tc>
          <w:tcPr>
            <w:tcW w:type="dxa" w:w="4400"/>
            <w:tcMar>
              <w:top w:w="80" w:type="dxa"/>
              <w:start w:w="120" w:type="dxa"/>
              <w:bottom w:w="80" w:type="dxa"/>
              <w:end w:w="120" w:type="dxa"/>
            </w:tcMar>
            <w:vAlign w:val="center"/>
          </w:tcPr>
          <w:p>
            <w:pPr>
              <w:spacing w:after="40" w:line="252" w:lineRule="auto"/>
            </w:pPr>
            <w:r>
              <w:rPr>
                <w:sz w:val="18"/>
              </w:rPr>
              <w:t>Independent hooks are overused in a few workflow-heavy pages; this is not a global problem.</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React context</w:t>
            </w:r>
          </w:p>
        </w:tc>
        <w:tc>
          <w:tcPr>
            <w:tcW w:type="dxa" w:w="2860"/>
            <w:tcMar>
              <w:top w:w="80" w:type="dxa"/>
              <w:start w:w="120" w:type="dxa"/>
              <w:bottom w:w="80" w:type="dxa"/>
              <w:end w:w="120" w:type="dxa"/>
            </w:tcMar>
            <w:vAlign w:val="center"/>
          </w:tcPr>
          <w:p>
            <w:pPr>
              <w:spacing w:after="40" w:line="252" w:lineRule="auto"/>
            </w:pPr>
            <w:r>
              <w:rPr>
                <w:sz w:val="18"/>
              </w:rPr>
              <w:t>Three substantive context definitions</w:t>
            </w:r>
          </w:p>
        </w:tc>
        <w:tc>
          <w:tcPr>
            <w:tcW w:type="dxa" w:w="4400"/>
            <w:tcMar>
              <w:top w:w="80" w:type="dxa"/>
              <w:start w:w="120" w:type="dxa"/>
              <w:bottom w:w="80" w:type="dxa"/>
              <w:end w:w="120" w:type="dxa"/>
            </w:tcMar>
            <w:vAlign w:val="center"/>
          </w:tcPr>
          <w:p>
            <w:pPr>
              <w:spacing w:after="40" w:line="252" w:lineRule="auto"/>
            </w:pPr>
            <w:r>
              <w:rPr>
                <w:sz w:val="18"/>
              </w:rPr>
              <w:t>The app has avoided global context sprawl, but feature-scoped provider opportunities are being missed.</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Runtime access</w:t>
            </w:r>
          </w:p>
        </w:tc>
        <w:tc>
          <w:tcPr>
            <w:tcW w:type="dxa" w:w="2860"/>
            <w:tcMar>
              <w:top w:w="80" w:type="dxa"/>
              <w:start w:w="120" w:type="dxa"/>
              <w:bottom w:w="80" w:type="dxa"/>
              <w:end w:w="120" w:type="dxa"/>
            </w:tcMar>
            <w:vAlign w:val="center"/>
          </w:tcPr>
          <w:p>
            <w:pPr>
              <w:spacing w:after="40" w:line="252" w:lineRule="auto"/>
            </w:pPr>
            <w:r>
              <w:rPr>
                <w:sz w:val="18"/>
              </w:rPr>
              <w:t>Nine frontend files import @quarry/runtime</w:t>
            </w:r>
          </w:p>
        </w:tc>
        <w:tc>
          <w:tcPr>
            <w:tcW w:type="dxa" w:w="4400"/>
            <w:tcMar>
              <w:top w:w="80" w:type="dxa"/>
              <w:start w:w="120" w:type="dxa"/>
              <w:bottom w:w="80" w:type="dxa"/>
              <w:end w:w="120" w:type="dxa"/>
            </w:tcMar>
            <w:vAlign w:val="center"/>
          </w:tcPr>
          <w:p>
            <w:pPr>
              <w:spacing w:after="40" w:line="252" w:lineRule="auto"/>
            </w:pPr>
            <w:r>
              <w:rPr>
                <w:sz w:val="18"/>
              </w:rPr>
              <w:t>Reasonable in adapters and roots; less desirable inside multi-step feature components.</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Backend state reach</w:t>
            </w:r>
          </w:p>
        </w:tc>
        <w:tc>
          <w:tcPr>
            <w:tcW w:type="dxa" w:w="2860"/>
            <w:tcMar>
              <w:top w:w="80" w:type="dxa"/>
              <w:start w:w="120" w:type="dxa"/>
              <w:bottom w:w="80" w:type="dxa"/>
              <w:end w:w="120" w:type="dxa"/>
            </w:tcMar>
            <w:vAlign w:val="center"/>
          </w:tcPr>
          <w:p>
            <w:pPr>
              <w:spacing w:after="40" w:line="252" w:lineRule="auto"/>
            </w:pPr>
            <w:r>
              <w:rPr>
                <w:sz w:val="18"/>
              </w:rPr>
              <w:t>24 backend source files mention AppState</w:t>
            </w:r>
          </w:p>
        </w:tc>
        <w:tc>
          <w:tcPr>
            <w:tcW w:type="dxa" w:w="4400"/>
            <w:tcMar>
              <w:top w:w="80" w:type="dxa"/>
              <w:start w:w="120" w:type="dxa"/>
              <w:bottom w:w="80" w:type="dxa"/>
              <w:end w:w="120" w:type="dxa"/>
            </w:tcMar>
            <w:vAlign w:val="center"/>
          </w:tcPr>
          <w:p>
            <w:pPr>
              <w:spacing w:after="40" w:line="252" w:lineRule="auto"/>
            </w:pPr>
            <w:r>
              <w:rPr>
                <w:sz w:val="18"/>
              </w:rPr>
              <w:t>State is functioning as a service locator in parts of the application.</w:t>
            </w:r>
          </w:p>
        </w:tc>
      </w:tr>
    </w:tbl>
    <w:p>
      <w:pPr>
        <w:spacing w:after="20"/>
      </w:pPr>
    </w:p>
    <w:p>
      <w:pPr>
        <w:pStyle w:val="Heading2"/>
        <w:keepNext/>
      </w:pPr>
      <w:r>
        <w:t>2.3 Existing composition seams to preserve</w:t>
      </w:r>
    </w:p>
    <w:p>
      <w:pPr>
        <w:pStyle w:val="ListBullet"/>
      </w:pPr>
      <w:r>
        <w:t>Build-time aliases for @quarry/runtime and @quarry/router. They localize environment selection and keep separate web and desktop type checks meaningful.</w:t>
      </w:r>
    </w:p>
    <w:p>
      <w:pPr>
        <w:pStyle w:val="ListBullet"/>
      </w:pPr>
      <w:r>
        <w:t>The QuarryApi interface. It gives the product a transport-neutral vocabulary and is the correct public contract to retain.</w:t>
      </w:r>
    </w:p>
    <w:p>
      <w:pPr>
        <w:pStyle w:val="ListBullet"/>
      </w:pPr>
      <w:r>
        <w:t>WorkspaceLayout’s sidebar, header, and children slots. This is already a clean example of structural composition.</w:t>
      </w:r>
    </w:p>
    <w:p>
      <w:pPr>
        <w:pStyle w:val="ListBullet"/>
      </w:pPr>
      <w:r>
        <w:t>HomeWorkspaceSidebar and DealRoomWorkspaceSidebar. Their existence shows that explicit semantic variants fit the product better than a single infinitely configurable sidebar.</w:t>
      </w:r>
    </w:p>
    <w:p>
      <w:pPr>
        <w:pStyle w:val="ListBullet"/>
      </w:pPr>
      <w:r>
        <w:t>The PDF viewer context and internal parts. The viewer is already halfway toward a compound-component model; the problem is mainly its top-level prop surface and controller concentration.</w:t>
      </w:r>
    </w:p>
    <w:p>
      <w:pPr>
        <w:pStyle w:val="ListBullet"/>
      </w:pPr>
      <w:r>
        <w:t>Axum router merge/nest composition, Tower middleware, and thin request handlers. These should remain the delivery layer rather than becoming a new internal framework.</w:t>
      </w:r>
    </w:p>
    <w:p>
      <w:pPr>
        <w:pStyle w:val="ListBullet"/>
      </w:pPr>
      <w:r>
        <w:t>SharePoint’s CacheAdapter abstraction. It is a useful local example of introducing a port only where interchangeable behavior is valuable.</w:t>
      </w:r>
    </w:p>
    <w:p>
      <w:pPr>
        <w:pStyle w:val="Heading2"/>
        <w:keepNext/>
      </w:pPr>
      <w:r>
        <w:t>2.4 Highest-leverage pressure points</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800"/>
        <w:gridCol w:w="1900"/>
        <w:gridCol w:w="3350"/>
        <w:gridCol w:w="3310"/>
      </w:tblGrid>
      <w:tr>
        <w:trPr>
          <w:tblHeader w:val="true"/>
          <w:cantSplit/>
        </w:trPr>
        <w:tc>
          <w:tcPr>
            <w:tcW w:type="dxa" w:w="800"/>
            <w:shd w:fill="F2F4F7"/>
            <w:tcMar>
              <w:top w:w="80" w:type="dxa"/>
              <w:start w:w="120" w:type="dxa"/>
              <w:bottom w:w="80" w:type="dxa"/>
              <w:end w:w="120" w:type="dxa"/>
            </w:tcMar>
            <w:vAlign w:val="center"/>
          </w:tcPr>
          <w:p>
            <w:pPr>
              <w:spacing w:after="0"/>
            </w:pPr>
            <w:r>
              <w:rPr>
                <w:b/>
                <w:color w:val="1F4D78"/>
                <w:sz w:val="18"/>
              </w:rPr>
              <w:t>Priority</w:t>
            </w:r>
          </w:p>
        </w:tc>
        <w:tc>
          <w:tcPr>
            <w:tcW w:type="dxa" w:w="1900"/>
            <w:shd w:fill="F2F4F7"/>
            <w:tcMar>
              <w:top w:w="80" w:type="dxa"/>
              <w:start w:w="120" w:type="dxa"/>
              <w:bottom w:w="80" w:type="dxa"/>
              <w:end w:w="120" w:type="dxa"/>
            </w:tcMar>
            <w:vAlign w:val="center"/>
          </w:tcPr>
          <w:p>
            <w:pPr>
              <w:spacing w:after="0"/>
            </w:pPr>
            <w:r>
              <w:rPr>
                <w:b/>
                <w:color w:val="1F4D78"/>
                <w:sz w:val="18"/>
              </w:rPr>
              <w:t>Pressure point</w:t>
            </w:r>
          </w:p>
        </w:tc>
        <w:tc>
          <w:tcPr>
            <w:tcW w:type="dxa" w:w="3350"/>
            <w:shd w:fill="F2F4F7"/>
            <w:tcMar>
              <w:top w:w="80" w:type="dxa"/>
              <w:start w:w="120" w:type="dxa"/>
              <w:bottom w:w="80" w:type="dxa"/>
              <w:end w:w="120" w:type="dxa"/>
            </w:tcMar>
            <w:vAlign w:val="center"/>
          </w:tcPr>
          <w:p>
            <w:pPr>
              <w:spacing w:after="0"/>
            </w:pPr>
            <w:r>
              <w:rPr>
                <w:b/>
                <w:color w:val="1F4D78"/>
                <w:sz w:val="18"/>
              </w:rPr>
              <w:t>Concrete symptom</w:t>
            </w:r>
          </w:p>
        </w:tc>
        <w:tc>
          <w:tcPr>
            <w:tcW w:type="dxa" w:w="3310"/>
            <w:shd w:fill="F2F4F7"/>
            <w:tcMar>
              <w:top w:w="80" w:type="dxa"/>
              <w:start w:w="120" w:type="dxa"/>
              <w:bottom w:w="80" w:type="dxa"/>
              <w:end w:w="120" w:type="dxa"/>
            </w:tcMar>
            <w:vAlign w:val="center"/>
          </w:tcPr>
          <w:p>
            <w:pPr>
              <w:spacing w:after="0"/>
            </w:pPr>
            <w:r>
              <w:rPr>
                <w:b/>
                <w:color w:val="1F4D78"/>
                <w:sz w:val="18"/>
              </w:rPr>
              <w:t>Consequence</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P0</w:t>
            </w:r>
          </w:p>
        </w:tc>
        <w:tc>
          <w:tcPr>
            <w:tcW w:type="dxa" w:w="1900"/>
            <w:tcMar>
              <w:top w:w="80" w:type="dxa"/>
              <w:start w:w="120" w:type="dxa"/>
              <w:bottom w:w="80" w:type="dxa"/>
              <w:end w:w="120" w:type="dxa"/>
            </w:tcMar>
            <w:vAlign w:val="center"/>
          </w:tcPr>
          <w:p>
            <w:pPr>
              <w:spacing w:after="40" w:line="252" w:lineRule="auto"/>
            </w:pPr>
            <w:r>
              <w:rPr>
                <w:sz w:val="18"/>
              </w:rPr>
              <w:t>Transport duplication</w:t>
            </w:r>
          </w:p>
        </w:tc>
        <w:tc>
          <w:tcPr>
            <w:tcW w:type="dxa" w:w="3350"/>
            <w:tcMar>
              <w:top w:w="80" w:type="dxa"/>
              <w:start w:w="120" w:type="dxa"/>
              <w:bottom w:w="80" w:type="dxa"/>
              <w:end w:w="120" w:type="dxa"/>
            </w:tcMar>
            <w:vAlign w:val="center"/>
          </w:tcPr>
          <w:p>
            <w:pPr>
              <w:spacing w:after="40" w:line="252" w:lineRule="auto"/>
            </w:pPr>
            <w:r>
              <w:rPr>
                <w:sz w:val="18"/>
              </w:rPr>
              <w:t>HTTP and Tauri clients repeat endpoint paths, payload mapping, and response decoding.</w:t>
            </w:r>
          </w:p>
        </w:tc>
        <w:tc>
          <w:tcPr>
            <w:tcW w:type="dxa" w:w="3310"/>
            <w:tcMar>
              <w:top w:w="80" w:type="dxa"/>
              <w:start w:w="120" w:type="dxa"/>
              <w:bottom w:w="80" w:type="dxa"/>
              <w:end w:w="120" w:type="dxa"/>
            </w:tcMar>
            <w:vAlign w:val="center"/>
          </w:tcPr>
          <w:p>
            <w:pPr>
              <w:spacing w:after="40" w:line="252" w:lineRule="auto"/>
            </w:pPr>
            <w:r>
              <w:rPr>
                <w:sz w:val="18"/>
              </w:rPr>
              <w:t>Every API change has two implementation sites and two opportunities to drift.</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P0</w:t>
            </w:r>
          </w:p>
        </w:tc>
        <w:tc>
          <w:tcPr>
            <w:tcW w:type="dxa" w:w="1900"/>
            <w:tcMar>
              <w:top w:w="80" w:type="dxa"/>
              <w:start w:w="120" w:type="dxa"/>
              <w:bottom w:w="80" w:type="dxa"/>
              <w:end w:w="120" w:type="dxa"/>
            </w:tcMar>
            <w:vAlign w:val="center"/>
          </w:tcPr>
          <w:p>
            <w:pPr>
              <w:spacing w:after="40" w:line="252" w:lineRule="auto"/>
            </w:pPr>
            <w:r>
              <w:rPr>
                <w:sz w:val="18"/>
              </w:rPr>
              <w:t>Workflow state fragmentation</w:t>
            </w:r>
          </w:p>
        </w:tc>
        <w:tc>
          <w:tcPr>
            <w:tcW w:type="dxa" w:w="3350"/>
            <w:tcMar>
              <w:top w:w="80" w:type="dxa"/>
              <w:start w:w="120" w:type="dxa"/>
              <w:bottom w:w="80" w:type="dxa"/>
              <w:end w:w="120" w:type="dxa"/>
            </w:tcMar>
            <w:vAlign w:val="center"/>
          </w:tcPr>
          <w:p>
            <w:pPr>
              <w:spacing w:after="40" w:line="252" w:lineRule="auto"/>
            </w:pPr>
            <w:r>
              <w:rPr>
                <w:sz w:val="18"/>
              </w:rPr>
              <w:t>DataRoomPage and SummarizePage coordinate many independent state variables and asynchronous branches.</w:t>
            </w:r>
          </w:p>
        </w:tc>
        <w:tc>
          <w:tcPr>
            <w:tcW w:type="dxa" w:w="3310"/>
            <w:tcMar>
              <w:top w:w="80" w:type="dxa"/>
              <w:start w:w="120" w:type="dxa"/>
              <w:bottom w:w="80" w:type="dxa"/>
              <w:end w:w="120" w:type="dxa"/>
            </w:tcMar>
            <w:vAlign w:val="center"/>
          </w:tcPr>
          <w:p>
            <w:pPr>
              <w:spacing w:after="40" w:line="252" w:lineRule="auto"/>
            </w:pPr>
            <w:r>
              <w:rPr>
                <w:sz w:val="18"/>
              </w:rPr>
              <w:t>Impossible combinations, race conditions, and page-level tests become more likely.</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P1</w:t>
            </w:r>
          </w:p>
        </w:tc>
        <w:tc>
          <w:tcPr>
            <w:tcW w:type="dxa" w:w="1900"/>
            <w:tcMar>
              <w:top w:w="80" w:type="dxa"/>
              <w:start w:w="120" w:type="dxa"/>
              <w:bottom w:w="80" w:type="dxa"/>
              <w:end w:w="120" w:type="dxa"/>
            </w:tcMar>
            <w:vAlign w:val="center"/>
          </w:tcPr>
          <w:p>
            <w:pPr>
              <w:spacing w:after="40" w:line="252" w:lineRule="auto"/>
            </w:pPr>
            <w:r>
              <w:rPr>
                <w:sz w:val="18"/>
              </w:rPr>
              <w:t>Structural configuration props</w:t>
            </w:r>
          </w:p>
        </w:tc>
        <w:tc>
          <w:tcPr>
            <w:tcW w:type="dxa" w:w="3350"/>
            <w:tcMar>
              <w:top w:w="80" w:type="dxa"/>
              <w:start w:w="120" w:type="dxa"/>
              <w:bottom w:w="80" w:type="dxa"/>
              <w:end w:w="120" w:type="dxa"/>
            </w:tcMar>
            <w:vAlign w:val="center"/>
          </w:tcPr>
          <w:p>
            <w:pPr>
              <w:spacing w:after="40" w:line="252" w:lineRule="auto"/>
            </w:pPr>
            <w:r>
              <w:rPr>
                <w:sz w:val="18"/>
              </w:rPr>
              <w:t>SidebarFrame and PdfViewer alter component trees through several flags/render callbacks.</w:t>
            </w:r>
          </w:p>
        </w:tc>
        <w:tc>
          <w:tcPr>
            <w:tcW w:type="dxa" w:w="3310"/>
            <w:tcMar>
              <w:top w:w="80" w:type="dxa"/>
              <w:start w:w="120" w:type="dxa"/>
              <w:bottom w:w="80" w:type="dxa"/>
              <w:end w:w="120" w:type="dxa"/>
            </w:tcMar>
            <w:vAlign w:val="center"/>
          </w:tcPr>
          <w:p>
            <w:pPr>
              <w:spacing w:after="40" w:line="252" w:lineRule="auto"/>
            </w:pPr>
            <w:r>
              <w:rPr>
                <w:sz w:val="18"/>
              </w:rPr>
              <w:t>New combinations expand the test matrix and hide product semantics at call sites.</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P1</w:t>
            </w:r>
          </w:p>
        </w:tc>
        <w:tc>
          <w:tcPr>
            <w:tcW w:type="dxa" w:w="1900"/>
            <w:tcMar>
              <w:top w:w="80" w:type="dxa"/>
              <w:start w:w="120" w:type="dxa"/>
              <w:bottom w:w="80" w:type="dxa"/>
              <w:end w:w="120" w:type="dxa"/>
            </w:tcMar>
            <w:vAlign w:val="center"/>
          </w:tcPr>
          <w:p>
            <w:pPr>
              <w:spacing w:after="40" w:line="252" w:lineRule="auto"/>
            </w:pPr>
            <w:r>
              <w:rPr>
                <w:sz w:val="18"/>
              </w:rPr>
              <w:t>Backend service locator</w:t>
            </w:r>
          </w:p>
        </w:tc>
        <w:tc>
          <w:tcPr>
            <w:tcW w:type="dxa" w:w="3350"/>
            <w:tcMar>
              <w:top w:w="80" w:type="dxa"/>
              <w:start w:w="120" w:type="dxa"/>
              <w:bottom w:w="80" w:type="dxa"/>
              <w:end w:w="120" w:type="dxa"/>
            </w:tcMar>
            <w:vAlign w:val="center"/>
          </w:tcPr>
          <w:p>
            <w:pPr>
              <w:spacing w:after="40" w:line="252" w:lineRule="auto"/>
            </w:pPr>
            <w:r>
              <w:rPr>
                <w:sz w:val="18"/>
              </w:rPr>
              <w:t>Services and repositories receive all of AppState; some services read environment variables and construct clients.</w:t>
            </w:r>
          </w:p>
        </w:tc>
        <w:tc>
          <w:tcPr>
            <w:tcW w:type="dxa" w:w="3310"/>
            <w:tcMar>
              <w:top w:w="80" w:type="dxa"/>
              <w:start w:w="120" w:type="dxa"/>
              <w:bottom w:w="80" w:type="dxa"/>
              <w:end w:w="120" w:type="dxa"/>
            </w:tcMar>
            <w:vAlign w:val="center"/>
          </w:tcPr>
          <w:p>
            <w:pPr>
              <w:spacing w:after="40" w:line="252" w:lineRule="auto"/>
            </w:pPr>
            <w:r>
              <w:rPr>
                <w:sz w:val="18"/>
              </w:rPr>
              <w:t>Dependencies are implicit, tests become expensive, and runtime configuration is scattered.</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P1</w:t>
            </w:r>
          </w:p>
        </w:tc>
        <w:tc>
          <w:tcPr>
            <w:tcW w:type="dxa" w:w="1900"/>
            <w:tcMar>
              <w:top w:w="80" w:type="dxa"/>
              <w:start w:w="120" w:type="dxa"/>
              <w:bottom w:w="80" w:type="dxa"/>
              <w:end w:w="120" w:type="dxa"/>
            </w:tcMar>
            <w:vAlign w:val="center"/>
          </w:tcPr>
          <w:p>
            <w:pPr>
              <w:spacing w:after="40" w:line="252" w:lineRule="auto"/>
            </w:pPr>
            <w:r>
              <w:rPr>
                <w:sz w:val="18"/>
              </w:rPr>
              <w:t>Repository responsibility concentration</w:t>
            </w:r>
          </w:p>
        </w:tc>
        <w:tc>
          <w:tcPr>
            <w:tcW w:type="dxa" w:w="3350"/>
            <w:tcMar>
              <w:top w:w="80" w:type="dxa"/>
              <w:start w:w="120" w:type="dxa"/>
              <w:bottom w:w="80" w:type="dxa"/>
              <w:end w:w="120" w:type="dxa"/>
            </w:tcMar>
            <w:vAlign w:val="center"/>
          </w:tcPr>
          <w:p>
            <w:pPr>
              <w:spacing w:after="40" w:line="252" w:lineRule="auto"/>
            </w:pPr>
            <w:r>
              <w:rPr>
                <w:sz w:val="18"/>
              </w:rPr>
              <w:t>document_repository.rs combines SQLite persistence, graph mapping, Helix behavior, and validation.</w:t>
            </w:r>
          </w:p>
        </w:tc>
        <w:tc>
          <w:tcPr>
            <w:tcW w:type="dxa" w:w="3310"/>
            <w:tcMar>
              <w:top w:w="80" w:type="dxa"/>
              <w:start w:w="120" w:type="dxa"/>
              <w:bottom w:w="80" w:type="dxa"/>
              <w:end w:w="120" w:type="dxa"/>
            </w:tcMar>
            <w:vAlign w:val="center"/>
          </w:tcPr>
          <w:p>
            <w:pPr>
              <w:spacing w:after="40" w:line="252" w:lineRule="auto"/>
            </w:pPr>
            <w:r>
              <w:rPr>
                <w:sz w:val="18"/>
              </w:rPr>
              <w:t>Storage and search changes cannot evolve independently.</w:t>
            </w:r>
          </w:p>
        </w:tc>
      </w:tr>
      <w:tr>
        <w:trPr>
          <w:cantSplit/>
        </w:trPr>
        <w:tc>
          <w:tcPr>
            <w:tcW w:type="dxa" w:w="800"/>
            <w:shd w:fill="F4F8FB"/>
            <w:tcMar>
              <w:top w:w="80" w:type="dxa"/>
              <w:start w:w="120" w:type="dxa"/>
              <w:bottom w:w="80" w:type="dxa"/>
              <w:end w:w="120" w:type="dxa"/>
            </w:tcMar>
            <w:vAlign w:val="center"/>
          </w:tcPr>
          <w:p>
            <w:pPr>
              <w:spacing w:after="40" w:line="252" w:lineRule="auto"/>
            </w:pPr>
            <w:r>
              <w:rPr>
                <w:b/>
                <w:color w:val="1F4D78"/>
                <w:sz w:val="18"/>
              </w:rPr>
              <w:t>P2</w:t>
            </w:r>
          </w:p>
        </w:tc>
        <w:tc>
          <w:tcPr>
            <w:tcW w:type="dxa" w:w="1900"/>
            <w:tcMar>
              <w:top w:w="80" w:type="dxa"/>
              <w:start w:w="120" w:type="dxa"/>
              <w:bottom w:w="80" w:type="dxa"/>
              <w:end w:w="120" w:type="dxa"/>
            </w:tcMar>
            <w:vAlign w:val="center"/>
          </w:tcPr>
          <w:p>
            <w:pPr>
              <w:spacing w:after="40" w:line="252" w:lineRule="auto"/>
            </w:pPr>
            <w:r>
              <w:rPr>
                <w:sz w:val="18"/>
              </w:rPr>
              <w:t>Route/provider lifetime</w:t>
            </w:r>
          </w:p>
        </w:tc>
        <w:tc>
          <w:tcPr>
            <w:tcW w:type="dxa" w:w="3350"/>
            <w:tcMar>
              <w:top w:w="80" w:type="dxa"/>
              <w:start w:w="120" w:type="dxa"/>
              <w:bottom w:w="80" w:type="dxa"/>
              <w:end w:w="120" w:type="dxa"/>
            </w:tcMar>
            <w:vAlign w:val="center"/>
          </w:tcPr>
          <w:p>
            <w:pPr>
              <w:spacing w:after="40" w:line="252" w:lineRule="auto"/>
            </w:pPr>
            <w:r>
              <w:rPr>
                <w:sz w:val="18"/>
              </w:rPr>
              <w:t>The flat App route list repeats Suspense and mounts workspace state in individual shells.</w:t>
            </w:r>
          </w:p>
        </w:tc>
        <w:tc>
          <w:tcPr>
            <w:tcW w:type="dxa" w:w="3310"/>
            <w:tcMar>
              <w:top w:w="80" w:type="dxa"/>
              <w:start w:w="120" w:type="dxa"/>
              <w:bottom w:w="80" w:type="dxa"/>
              <w:end w:w="120" w:type="dxa"/>
            </w:tcMar>
            <w:vAlign w:val="center"/>
          </w:tcPr>
          <w:p>
            <w:pPr>
              <w:spacing w:after="40" w:line="252" w:lineRule="auto"/>
            </w:pPr>
            <w:r>
              <w:rPr>
                <w:sz w:val="18"/>
              </w:rPr>
              <w:t>State lifetime and cross-page reuse are accidental rather than designed.</w:t>
            </w:r>
          </w:p>
        </w:tc>
      </w:tr>
    </w:tbl>
    <w:p>
      <w:pPr>
        <w:spacing w:after="20"/>
      </w:pPr>
    </w:p>
    <w:p>
      <w:pPr>
        <w:pStyle w:val="Heading2"/>
        <w:keepNext/>
      </w:pPr>
      <w:r>
        <w:t>2.5 The recurring root causes</w:t>
      </w:r>
    </w:p>
    <w:p>
      <w:r>
        <w:t>The pressure points are related. Structure is often selected through flags because product variants do not have an explicit composition boundary. Pages own many hooks because asynchronous work, valid transitions, and presentation are not separated. Runtime details reach feature code because environment capabilities are exposed as a target check rather than injected as product-specific strategies. Backend modules receive AppState because construction and dependency ownership are not distinguished from request sharing. Addressing each symptom in isolation would produce local cleanup; addressing these root causes produces an architecture.</w:t>
      </w:r>
    </w:p>
    <w:p>
      <w:pPr>
        <w:pStyle w:val="Heading1"/>
        <w:keepNext/>
      </w:pPr>
      <w:r>
        <w:t>3. Design principles for Quarry</w:t>
      </w:r>
    </w:p>
    <w:p>
      <w:pPr>
        <w:pStyle w:val="Heading2"/>
        <w:keepNext/>
      </w:pPr>
      <w:r>
        <w:t>3.1 Compose around reasons to vary</w:t>
      </w:r>
    </w:p>
    <w:p>
      <w:r>
        <w:t>The correct unit of composition is the reason something varies. Layout structure varies by product surface, so expose slots and named variants. Workflow state varies by user actions and asynchronous results, so expose a reducer-backed feature contract. Network transport varies by runtime, so isolate it behind a narrow transport. Persistence and external AI vary by infrastructure and test environment, so application services depend on ports. A single generic abstraction across all four concerns would make the design harder to understand; several small seams make it easier.</w:t>
      </w:r>
    </w:p>
    <w:p>
      <w:pPr>
        <w:pStyle w:val="Heading2"/>
        <w:keepNext/>
      </w:pPr>
      <w:r>
        <w:t>3.2 Children for structure; render callbacks for data-dependent iteration</w:t>
      </w:r>
    </w:p>
    <w:p>
      <w:r>
        <w:t>Use children and named slots when the consumer knows the static structure. A sidebar consumer should be able to arrange Header, Navigation, Section, and Profile parts directly. A PDF preset should include or omit Toolbar and DropOverlay parts. Keep render callbacks when the parent owns iteration data and the consumer must describe each item; examples include a virtualized row renderer or an item template. This distinction prevents every shared component from turning into a configuration language.</w:t>
      </w:r>
    </w:p>
    <w:p>
      <w:pPr>
        <w:pStyle w:val="Heading2"/>
        <w:keepNext/>
      </w:pPr>
      <w:r>
        <w:t>3.3 Explicit variants instead of structural boolean matrices</w:t>
      </w:r>
    </w:p>
    <w:p>
      <w:r>
        <w:t>A boolean is not inherently wrong. disabled, selected, expanded, loading, and ARIA state usually describe atomic state. A boolean becomes architectural debt when it selects a different subtree or product meaning: centeredLogo, alignedHeader, showHeaderBackButton, allowPrint, enableDragDrop, and similar props create combinations that callers must reason about. When structure or behavior changes, create a named variant or let the consumer compose the parts. The variant name documents intent and limits supported combinations.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 Avoid: supported product semantics are hidden in a flag combination</w:t>
        <w:br/>
        <w:t>&lt;SidebarFrame alignedHeader centeredLogo showHeaderBackButton={false} /&gt;</w:t>
        <w:br/>
        <w:br/>
        <w:t>// Prefer: the product variant is explicit</w:t>
        <w:br/>
        <w:t>&lt;HomeSidebar /&gt;</w:t>
        <w:br/>
        <w:br/>
        <w:t>// Or compose a truly custom structure from stable parts</w:t>
        <w:br/>
        <w:t>&lt;Sidebar.Root&gt;</w:t>
        <w:br/>
        <w:t xml:space="preserve">  &lt;Sidebar.Header&gt;&lt;Sidebar.Brand /&gt;&lt;/Sidebar.Header&gt;</w:t>
        <w:br/>
        <w:t xml:space="preserve">  &lt;Sidebar.Navigation&gt;{children}&lt;/Sidebar.Navigation&gt;</w:t>
        <w:br/>
        <w:t xml:space="preserve">  &lt;Sidebar.Profile /&gt;</w:t>
        <w:br/>
        <w:t>&lt;/Sidebar.Root&gt;</w:t>
      </w:r>
    </w:p>
    <w:p>
      <w:pPr>
        <w:pStyle w:val="Heading2"/>
        <w:keepNext/>
      </w:pPr>
      <w:r>
        <w:t>3.4 Providers expose a stable state/actions/meta contract</w:t>
      </w:r>
    </w:p>
    <w:p>
      <w:r>
        <w:t>Feature providers should hide how state is produced. A reducer, a client cache, server events, or a future state library can implement the same public contract. Consumers receive state, actions, and meta: state contains renderable product state, actions contains intent-level commands, and meta contains status or capability information that does not belong to the domain model. The context default should be null and the access hook should fail immediately outside the provider. Silent defaults such as an empty array make provider mistakes look like valid empty application state.</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type FeatureValue&lt;S, A, M = Record&lt;string, never&gt;&gt; = {</w:t>
        <w:br/>
        <w:t xml:space="preserve">  state: S;</w:t>
        <w:br/>
        <w:t xml:space="preserve">  actions: A;</w:t>
        <w:br/>
        <w:t xml:space="preserve">  meta: M;</w:t>
        <w:br/>
        <w:t>};</w:t>
        <w:br/>
        <w:br/>
        <w:t>const WorkspaceContext = createContext&lt;WorkspaceValue | null&gt;(null);</w:t>
        <w:br/>
        <w:br/>
        <w:t>export function useWorkspace(): WorkspaceValue {</w:t>
        <w:br/>
        <w:t xml:space="preserve">  const value = use(WorkspaceContext); // React 19</w:t>
        <w:br/>
        <w:t xml:space="preserve">  if (!value) throw new Error('useWorkspace must be used within WorkspaceProvider');</w:t>
        <w:br/>
        <w:t xml:space="preserve">  return value;</w:t>
        <w:br/>
        <w:t>}</w:t>
      </w:r>
    </w:p>
    <w:p>
      <w:pPr>
        <w:pStyle w:val="Heading2"/>
        <w:keepNext/>
      </w:pPr>
      <w:r>
        <w:t>3.5 Model workflows as valid states, not bags of flags</w:t>
      </w:r>
    </w:p>
    <w:p>
      <w:r>
        <w:t>Independent hooks work well for independent concerns. They work poorly when the values jointly describe a state machine. If preview data, raw text, selected document, loading, and error flags must agree, encode their agreement in a discriminated union and transition it through a reducer. The compiler then prevents impossible combinations, actions provide an audit trail, and tests become a table of transitions instead of an imitation of an entire page.</w:t>
      </w:r>
    </w:p>
    <w:p>
      <w:pPr>
        <w:pStyle w:val="Heading2"/>
        <w:keepNext/>
      </w:pPr>
      <w:r>
        <w:t>3.6 Dependencies are constructed at the boundary</w:t>
      </w:r>
    </w:p>
    <w:p>
      <w:r>
        <w:t>Configuration and infrastructure creation are composition concerns. Environment variables should be parsed once into AppConfig. A shared reqwest::Client should be constructed once. SQLite, Helix, and OpenAI adapters should be created once and passed to services. Application services should declare their collaborators in constructors. AppState should be a lean, cheaply clonable collection of handler-facing services, not an object that discovers the application from the environment.</w:t>
      </w:r>
    </w:p>
    <w:p>
      <w:pPr>
        <w:pStyle w:val="Heading2"/>
        <w:keepNext/>
      </w:pPr>
      <w:r>
        <w:t>3.7 Prefer incremental compatibility over big-bang purity</w:t>
      </w:r>
    </w:p>
    <w:p>
      <w:r>
        <w:t>The migration should temporarily tolerate two APIs when that makes each change reviewable. For example, the current PdfViewer prop API can become a compatibility wrapper that renders the new compound parts. The current QuarryApi interface can remain unchanged while its implementations are replaced by createQuarryApi(transport). Old sidebar variants can delegate to new parts before the mode wrapper is removed. Compatibility layers should have an owner and a removal milestone; they are scaffolding, not a permanent second architecture.</w:t>
      </w:r>
    </w:p>
    <w:p>
      <w:pPr>
        <w:pStyle w:val="Heading1"/>
        <w:keepNext/>
      </w:pPr>
      <w:r>
        <w:t>4. Target frontend architecture</w:t>
      </w:r>
    </w:p>
    <w:p>
      <w:pPr>
        <w:spacing w:after="0"/>
        <w:jc w:val="center"/>
      </w:pPr>
      <w:r>
        <w:drawing>
          <wp:inline xmlns:a="http://schemas.openxmlformats.org/drawingml/2006/main" xmlns:pic="http://schemas.openxmlformats.org/drawingml/2006/picture">
            <wp:extent cx="5943600" cy="3603308"/>
            <wp:docPr id="1" name="Picture 1" title="Figure 1. Proposed frontend composition layers" descr="Diagram showing the app composition root above feature modules and shared compound UI, with a single Quarry API factory above interchangeable HTTP and Tauri transports."/>
            <wp:cNvGraphicFramePr>
              <a:graphicFrameLocks noChangeAspect="1"/>
            </wp:cNvGraphicFramePr>
            <a:graphic>
              <a:graphicData uri="http://schemas.openxmlformats.org/drawingml/2006/picture">
                <pic:pic>
                  <pic:nvPicPr>
                    <pic:cNvPr id="0" name="frontend-composition.png"/>
                    <pic:cNvPicPr/>
                  </pic:nvPicPr>
                  <pic:blipFill>
                    <a:blip r:embed="rId13"/>
                    <a:stretch>
                      <a:fillRect/>
                    </a:stretch>
                  </pic:blipFill>
                  <pic:spPr>
                    <a:xfrm>
                      <a:off x="0" y="0"/>
                      <a:ext cx="5943600" cy="3603308"/>
                    </a:xfrm>
                    <a:prstGeom prst="rect"/>
                  </pic:spPr>
                </pic:pic>
              </a:graphicData>
            </a:graphic>
          </wp:inline>
        </w:drawing>
      </w:r>
    </w:p>
    <w:p>
      <w:pPr>
        <w:pStyle w:val="FigureCaption"/>
        <w:keepNext w:val="0"/>
      </w:pPr>
      <w:r>
        <w:t>Figure 1. Proposed frontend composition layers</w:t>
      </w:r>
    </w:p>
    <w:p>
      <w:pPr>
        <w:pStyle w:val="Heading2"/>
        <w:keepNext/>
      </w:pPr>
      <w:r>
        <w:t>4.1 Organize by feature, with narrow public entry points</w:t>
      </w:r>
    </w:p>
    <w:p>
      <w:r>
        <w:t>The current codebase can evolve toward vertical feature modules without moving every file immediately. Each migrated feature owns its model, application state, UI parts, route boundary, and public exports. Shared UI remains product-agnostic. API adapters and runtime selection remain outside features. The public index is important: other features import the stable contract, not internal reducer actions or implementation files.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frontend/src/</w:t>
        <w:br/>
        <w:t xml:space="preserve">  app/</w:t>
        <w:br/>
        <w:t xml:space="preserve">    App.tsx</w:t>
        <w:br/>
        <w:t xml:space="preserve">    routes.tsx</w:t>
        <w:br/>
        <w:t xml:space="preserve">    providers.tsx</w:t>
        <w:br/>
        <w:t xml:space="preserve">  features/</w:t>
        <w:br/>
        <w:t xml:space="preserve">    workspace/{model, application, ui, routes, index.ts}</w:t>
        <w:br/>
        <w:t xml:space="preserve">    data-room/{model, application, ui, index.ts}</w:t>
        <w:br/>
        <w:t xml:space="preserve">    summarize/{model, application, ui, index.ts}</w:t>
        <w:br/>
        <w:t xml:space="preserve">    deal-timeline/{model, application, ui, index.ts}</w:t>
        <w:br/>
        <w:t xml:space="preserve">  api/</w:t>
        <w:br/>
        <w:t xml:space="preserve">    endpoints.ts</w:t>
        <w:br/>
        <w:t xml:space="preserve">    createQuarryApi.ts</w:t>
        <w:br/>
        <w:t xml:space="preserve">    transports/{http.ts, tauri.ts}</w:t>
        <w:br/>
        <w:t xml:space="preserve">  components/</w:t>
        <w:br/>
        <w:t xml:space="preserve">    sidebar/{provider, parts, variants, index.ts}</w:t>
        <w:br/>
        <w:t xml:space="preserve">    pdf-viewer/{provider, parts, variants, index.ts}</w:t>
      </w:r>
    </w:p>
    <w:p>
      <w:pPr>
        <w:keepLines/>
        <w:spacing w:before="80" w:after="200"/>
        <w:ind w:left="173" w:right="173"/>
        <w:shd w:fill="EAF2F8"/>
        <w:pBdr>
          <w:left w:val="single" w:sz="18" w:space="8" w:color="2E74B5"/>
        </w:pBdr>
      </w:pPr>
      <w:r>
        <w:rPr>
          <w:b/>
          <w:color w:val="2E74B5"/>
          <w:sz w:val="18"/>
        </w:rPr>
        <w:t>BOUNDARY RULE</w:t>
        <w:br/>
      </w:r>
      <w:r>
        <w:rPr>
          <w:color w:val="202A33"/>
          <w:sz w:val="21"/>
        </w:rPr>
        <w:t>Feature UI may import its own application contract, shared UI, and other features’ public index. It should not import @quarry/runtime, Tauri primitives, transport files, or another feature’s internal reducer/repository modules.</w:t>
      </w:r>
    </w:p>
    <w:p>
      <w:pPr>
        <w:pStyle w:val="Heading2"/>
        <w:keepNext/>
      </w:pPr>
      <w:r>
        <w:t>4.2 Make the route tree the workspace composition boundary</w:t>
      </w:r>
    </w:p>
    <w:p>
      <w:r>
        <w:t>App.tsx currently expresses a flat list of routes and repeats Suspense wrappers. Replace the /hub branch with a nested route whose layout mounts workspace state once and renders an Outlet. The route tree then communicates provider lifetime: workspace data survives navigation between hub pages, while deal-specific providers can be nested under the deal route. This also gives one location for authentication, error boundaries, and loading behavior.</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const routes = createBrowserRouter([</w:t>
        <w:br/>
        <w:t xml:space="preserve">  {</w:t>
        <w:br/>
        <w:t xml:space="preserve">    path: '/hub',</w:t>
        <w:br/>
        <w:t xml:space="preserve">    element: &lt;WorkspaceRouteLayout /&gt;,</w:t>
        <w:br/>
        <w:t xml:space="preserve">    children: [</w:t>
        <w:br/>
        <w:t xml:space="preserve">      { index: true, element: &lt;HubPage /&gt; },</w:t>
        <w:br/>
        <w:t xml:space="preserve">      { path: 'vault', element: &lt;VaultPage /&gt; },</w:t>
        <w:br/>
        <w:t xml:space="preserve">      {</w:t>
        <w:br/>
        <w:t xml:space="preserve">        path: 'deals/:dealId',</w:t>
        <w:br/>
        <w:t xml:space="preserve">        element: &lt;DealRouteLayout /&gt;,</w:t>
        <w:br/>
        <w:t xml:space="preserve">        children: [</w:t>
        <w:br/>
        <w:t xml:space="preserve">          { index: true, element: &lt;DealRoomPage /&gt; },</w:t>
        <w:br/>
        <w:t xml:space="preserve">          { path: 'data-room', element: &lt;DataRoomPage /&gt; },</w:t>
        <w:br/>
        <w:t xml:space="preserve">          { path: 'summarize', element: &lt;SummarizePage /&gt; },</w:t>
        <w:br/>
        <w:t xml:space="preserve">        ],</w:t>
        <w:br/>
        <w:t xml:space="preserve">      },</w:t>
        <w:br/>
        <w:t xml:space="preserve">    ],</w:t>
        <w:br/>
        <w:t xml:space="preserve">  },</w:t>
        <w:br/>
        <w:t>]);</w:t>
        <w:br/>
        <w:br/>
        <w:t>function WorkspaceRouteLayout() {</w:t>
        <w:br/>
        <w:t xml:space="preserve">  return &lt;WorkspaceProvider&gt;&lt;WorkspaceShell&gt;&lt;Outlet /&gt;&lt;/WorkspaceShell&gt;&lt;/WorkspaceProvider&gt;;</w:t>
        <w:br/>
        <w:t>}</w:t>
      </w:r>
    </w:p>
    <w:p>
      <w:r>
        <w:t>WorkspaceProvider should own useWorkspaceDeals and session-derived workspace state. Its public actions should represent product intents such as refreshDeals, selectDeal, createDeal, or signOut rather than leaking setters. WorkspaceShell consumes the contract to compose the home or deal layout. Avoid a context default of an empty deal list; a missing provider is a programming error, not an empty workspace.</w:t>
      </w:r>
    </w:p>
    <w:p>
      <w:pPr>
        <w:pStyle w:val="Heading2"/>
        <w:keepNext/>
      </w:pPr>
      <w:r>
        <w:t>4.3 Centralize API mapping and vary only the transport</w:t>
      </w:r>
    </w:p>
    <w:p>
      <w:r>
        <w:t>This is the highest-leverage low-risk frontend change. QuarryApi is already the correct domain-facing interface, but httpQuarryApi.ts and tauriQuarryApi.ts separately encode endpoint paths, payloads, and response transformations. Move those mappings into createQuarryApi. HTTP and Tauri adapters implement a small byte/JSON/multipart transport. Adding or changing an endpoint then changes one mapping, and both runtimes can run the same contract tests.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export interface QuarryTransport {</w:t>
        <w:br/>
        <w:t xml:space="preserve">  getJson&lt;T&gt;(request: RequestSpec): Promise&lt;T&gt;;</w:t>
        <w:br/>
        <w:t xml:space="preserve">  postJson&lt;TBody, TResult&gt;(request: RequestSpec, body: TBody): Promise&lt;TResult&gt;;</w:t>
        <w:br/>
        <w:t xml:space="preserve">  postMultipart&lt;TResult&gt;(request: RequestSpec, body: FormData): Promise&lt;TResult&gt;;</w:t>
        <w:br/>
        <w:t xml:space="preserve">  getBytes(request: RequestSpec): Promise&lt;Uint8Array&gt;;</w:t>
        <w:br/>
        <w:t xml:space="preserve">  subscribe?&lt;T&gt;(topic: string, onEvent: (event: T) =&gt; void): Unsubscribe;</w:t>
        <w:br/>
        <w:t>}</w:t>
        <w:br/>
        <w:br/>
        <w:t>export function createQuarryApi(transport: QuarryTransport): QuarryApi {</w:t>
        <w:br/>
        <w:t xml:space="preserve">  return {</w:t>
        <w:br/>
        <w:t xml:space="preserve">    listDeals: () =&gt; transport.getJson(endpoints.deals.list()),</w:t>
        <w:br/>
        <w:t xml:space="preserve">    getDeal: (id) =&gt; transport.getJson(endpoints.deals.get(id)),</w:t>
        <w:br/>
        <w:t xml:space="preserve">    createDeal: (input) =&gt; transport.postJson(endpoints.deals.create(), input),</w:t>
        <w:br/>
        <w:t xml:space="preserve">    // One domain mapping; two transport implementations.</w:t>
        <w:br/>
        <w:t xml:space="preserve">  };</w:t>
        <w:br/>
        <w:t>}</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450"/>
        <w:gridCol w:w="2300"/>
        <w:gridCol w:w="2300"/>
        <w:gridCol w:w="2310"/>
      </w:tblGrid>
      <w:tr>
        <w:trPr>
          <w:tblHeader w:val="true"/>
          <w:cantSplit/>
        </w:trPr>
        <w:tc>
          <w:tcPr>
            <w:tcW w:type="dxa" w:w="2450"/>
            <w:shd w:fill="F2F4F7"/>
            <w:tcMar>
              <w:top w:w="80" w:type="dxa"/>
              <w:start w:w="120" w:type="dxa"/>
              <w:bottom w:w="80" w:type="dxa"/>
              <w:end w:w="120" w:type="dxa"/>
            </w:tcMar>
            <w:vAlign w:val="center"/>
          </w:tcPr>
          <w:p>
            <w:pPr>
              <w:spacing w:after="0"/>
            </w:pPr>
            <w:r>
              <w:rPr>
                <w:b/>
                <w:color w:val="1F4D78"/>
                <w:sz w:val="18"/>
              </w:rPr>
              <w:t>Responsibility</w:t>
            </w:r>
          </w:p>
        </w:tc>
        <w:tc>
          <w:tcPr>
            <w:tcW w:type="dxa" w:w="2300"/>
            <w:shd w:fill="F2F4F7"/>
            <w:tcMar>
              <w:top w:w="80" w:type="dxa"/>
              <w:start w:w="120" w:type="dxa"/>
              <w:bottom w:w="80" w:type="dxa"/>
              <w:end w:w="120" w:type="dxa"/>
            </w:tcMar>
            <w:vAlign w:val="center"/>
          </w:tcPr>
          <w:p>
            <w:pPr>
              <w:spacing w:after="0"/>
            </w:pPr>
            <w:r>
              <w:rPr>
                <w:b/>
                <w:color w:val="1F4D78"/>
                <w:sz w:val="18"/>
              </w:rPr>
              <w:t>API factory</w:t>
            </w:r>
          </w:p>
        </w:tc>
        <w:tc>
          <w:tcPr>
            <w:tcW w:type="dxa" w:w="2300"/>
            <w:shd w:fill="F2F4F7"/>
            <w:tcMar>
              <w:top w:w="80" w:type="dxa"/>
              <w:start w:w="120" w:type="dxa"/>
              <w:bottom w:w="80" w:type="dxa"/>
              <w:end w:w="120" w:type="dxa"/>
            </w:tcMar>
            <w:vAlign w:val="center"/>
          </w:tcPr>
          <w:p>
            <w:pPr>
              <w:spacing w:after="0"/>
            </w:pPr>
            <w:r>
              <w:rPr>
                <w:b/>
                <w:color w:val="1F4D78"/>
                <w:sz w:val="18"/>
              </w:rPr>
              <w:t>HTTP transport</w:t>
            </w:r>
          </w:p>
        </w:tc>
        <w:tc>
          <w:tcPr>
            <w:tcW w:type="dxa" w:w="2310"/>
            <w:shd w:fill="F2F4F7"/>
            <w:tcMar>
              <w:top w:w="80" w:type="dxa"/>
              <w:start w:w="120" w:type="dxa"/>
              <w:bottom w:w="80" w:type="dxa"/>
              <w:end w:w="120" w:type="dxa"/>
            </w:tcMar>
            <w:vAlign w:val="center"/>
          </w:tcPr>
          <w:p>
            <w:pPr>
              <w:spacing w:after="0"/>
            </w:pPr>
            <w:r>
              <w:rPr>
                <w:b/>
                <w:color w:val="1F4D78"/>
                <w:sz w:val="18"/>
              </w:rPr>
              <w:t>Tauri transport</w:t>
            </w:r>
          </w:p>
        </w:tc>
      </w:tr>
      <w:tr>
        <w:trPr>
          <w:cantSplit/>
        </w:trPr>
        <w:tc>
          <w:tcPr>
            <w:tcW w:type="dxa" w:w="2450"/>
            <w:shd w:fill="F4F8FB"/>
            <w:tcMar>
              <w:top w:w="80" w:type="dxa"/>
              <w:start w:w="120" w:type="dxa"/>
              <w:bottom w:w="80" w:type="dxa"/>
              <w:end w:w="120" w:type="dxa"/>
            </w:tcMar>
            <w:vAlign w:val="center"/>
          </w:tcPr>
          <w:p>
            <w:pPr>
              <w:spacing w:after="40" w:line="252" w:lineRule="auto"/>
            </w:pPr>
            <w:r>
              <w:rPr>
                <w:b/>
                <w:color w:val="1F4D78"/>
                <w:sz w:val="18"/>
              </w:rPr>
              <w:t>Endpoint paths</w:t>
            </w:r>
          </w:p>
        </w:tc>
        <w:tc>
          <w:tcPr>
            <w:tcW w:type="dxa" w:w="2300"/>
            <w:tcMar>
              <w:top w:w="80" w:type="dxa"/>
              <w:start w:w="120" w:type="dxa"/>
              <w:bottom w:w="80" w:type="dxa"/>
              <w:end w:w="120" w:type="dxa"/>
            </w:tcMar>
            <w:vAlign w:val="center"/>
          </w:tcPr>
          <w:p>
            <w:pPr>
              <w:spacing w:after="40" w:line="252" w:lineRule="auto"/>
            </w:pPr>
            <w:r>
              <w:rPr>
                <w:sz w:val="18"/>
              </w:rPr>
              <w:t>Owns</w:t>
            </w:r>
          </w:p>
        </w:tc>
        <w:tc>
          <w:tcPr>
            <w:tcW w:type="dxa" w:w="2300"/>
            <w:tcMar>
              <w:top w:w="80" w:type="dxa"/>
              <w:start w:w="120" w:type="dxa"/>
              <w:bottom w:w="80" w:type="dxa"/>
              <w:end w:w="120" w:type="dxa"/>
            </w:tcMar>
            <w:vAlign w:val="center"/>
          </w:tcPr>
          <w:p>
            <w:pPr>
              <w:spacing w:after="40" w:line="252" w:lineRule="auto"/>
            </w:pPr>
            <w:r>
              <w:rPr>
                <w:sz w:val="18"/>
              </w:rPr>
              <w:t>Does not own</w:t>
            </w:r>
          </w:p>
        </w:tc>
        <w:tc>
          <w:tcPr>
            <w:tcW w:type="dxa" w:w="2310"/>
            <w:tcMar>
              <w:top w:w="80" w:type="dxa"/>
              <w:start w:w="120" w:type="dxa"/>
              <w:bottom w:w="80" w:type="dxa"/>
              <w:end w:w="120" w:type="dxa"/>
            </w:tcMar>
            <w:vAlign w:val="center"/>
          </w:tcPr>
          <w:p>
            <w:pPr>
              <w:spacing w:after="40" w:line="252" w:lineRule="auto"/>
            </w:pPr>
            <w:r>
              <w:rPr>
                <w:sz w:val="18"/>
              </w:rPr>
              <w:t>Does not own</w:t>
            </w:r>
          </w:p>
        </w:tc>
      </w:tr>
      <w:tr>
        <w:trPr>
          <w:cantSplit/>
        </w:trPr>
        <w:tc>
          <w:tcPr>
            <w:tcW w:type="dxa" w:w="2450"/>
            <w:shd w:fill="F4F8FB"/>
            <w:tcMar>
              <w:top w:w="80" w:type="dxa"/>
              <w:start w:w="120" w:type="dxa"/>
              <w:bottom w:w="80" w:type="dxa"/>
              <w:end w:w="120" w:type="dxa"/>
            </w:tcMar>
            <w:vAlign w:val="center"/>
          </w:tcPr>
          <w:p>
            <w:pPr>
              <w:spacing w:after="40" w:line="252" w:lineRule="auto"/>
            </w:pPr>
            <w:r>
              <w:rPr>
                <w:b/>
                <w:color w:val="1F4D78"/>
                <w:sz w:val="18"/>
              </w:rPr>
              <w:t>Domain request/response mapping</w:t>
            </w:r>
          </w:p>
        </w:tc>
        <w:tc>
          <w:tcPr>
            <w:tcW w:type="dxa" w:w="2300"/>
            <w:tcMar>
              <w:top w:w="80" w:type="dxa"/>
              <w:start w:w="120" w:type="dxa"/>
              <w:bottom w:w="80" w:type="dxa"/>
              <w:end w:w="120" w:type="dxa"/>
            </w:tcMar>
            <w:vAlign w:val="center"/>
          </w:tcPr>
          <w:p>
            <w:pPr>
              <w:spacing w:after="40" w:line="252" w:lineRule="auto"/>
            </w:pPr>
            <w:r>
              <w:rPr>
                <w:sz w:val="18"/>
              </w:rPr>
              <w:t>Owns</w:t>
            </w:r>
          </w:p>
        </w:tc>
        <w:tc>
          <w:tcPr>
            <w:tcW w:type="dxa" w:w="2300"/>
            <w:tcMar>
              <w:top w:w="80" w:type="dxa"/>
              <w:start w:w="120" w:type="dxa"/>
              <w:bottom w:w="80" w:type="dxa"/>
              <w:end w:w="120" w:type="dxa"/>
            </w:tcMar>
            <w:vAlign w:val="center"/>
          </w:tcPr>
          <w:p>
            <w:pPr>
              <w:spacing w:after="40" w:line="252" w:lineRule="auto"/>
            </w:pPr>
            <w:r>
              <w:rPr>
                <w:sz w:val="18"/>
              </w:rPr>
              <w:t>Does not own</w:t>
            </w:r>
          </w:p>
        </w:tc>
        <w:tc>
          <w:tcPr>
            <w:tcW w:type="dxa" w:w="2310"/>
            <w:tcMar>
              <w:top w:w="80" w:type="dxa"/>
              <w:start w:w="120" w:type="dxa"/>
              <w:bottom w:w="80" w:type="dxa"/>
              <w:end w:w="120" w:type="dxa"/>
            </w:tcMar>
            <w:vAlign w:val="center"/>
          </w:tcPr>
          <w:p>
            <w:pPr>
              <w:spacing w:after="40" w:line="252" w:lineRule="auto"/>
            </w:pPr>
            <w:r>
              <w:rPr>
                <w:sz w:val="18"/>
              </w:rPr>
              <w:t>Does not own</w:t>
            </w:r>
          </w:p>
        </w:tc>
      </w:tr>
      <w:tr>
        <w:trPr>
          <w:cantSplit/>
        </w:trPr>
        <w:tc>
          <w:tcPr>
            <w:tcW w:type="dxa" w:w="2450"/>
            <w:shd w:fill="F4F8FB"/>
            <w:tcMar>
              <w:top w:w="80" w:type="dxa"/>
              <w:start w:w="120" w:type="dxa"/>
              <w:bottom w:w="80" w:type="dxa"/>
              <w:end w:w="120" w:type="dxa"/>
            </w:tcMar>
            <w:vAlign w:val="center"/>
          </w:tcPr>
          <w:p>
            <w:pPr>
              <w:spacing w:after="40" w:line="252" w:lineRule="auto"/>
            </w:pPr>
            <w:r>
              <w:rPr>
                <w:b/>
                <w:color w:val="1F4D78"/>
                <w:sz w:val="18"/>
              </w:rPr>
              <w:t>Headers, cookies, HTTP status</w:t>
            </w:r>
          </w:p>
        </w:tc>
        <w:tc>
          <w:tcPr>
            <w:tcW w:type="dxa" w:w="2300"/>
            <w:tcMar>
              <w:top w:w="80" w:type="dxa"/>
              <w:start w:w="120" w:type="dxa"/>
              <w:bottom w:w="80" w:type="dxa"/>
              <w:end w:w="120" w:type="dxa"/>
            </w:tcMar>
            <w:vAlign w:val="center"/>
          </w:tcPr>
          <w:p>
            <w:pPr>
              <w:spacing w:after="40" w:line="252" w:lineRule="auto"/>
            </w:pPr>
            <w:r>
              <w:rPr>
                <w:sz w:val="18"/>
              </w:rPr>
              <w:t>Does not own</w:t>
            </w:r>
          </w:p>
        </w:tc>
        <w:tc>
          <w:tcPr>
            <w:tcW w:type="dxa" w:w="2300"/>
            <w:tcMar>
              <w:top w:w="80" w:type="dxa"/>
              <w:start w:w="120" w:type="dxa"/>
              <w:bottom w:w="80" w:type="dxa"/>
              <w:end w:w="120" w:type="dxa"/>
            </w:tcMar>
            <w:vAlign w:val="center"/>
          </w:tcPr>
          <w:p>
            <w:pPr>
              <w:spacing w:after="40" w:line="252" w:lineRule="auto"/>
            </w:pPr>
            <w:r>
              <w:rPr>
                <w:sz w:val="18"/>
              </w:rPr>
              <w:t>Owns</w:t>
            </w:r>
          </w:p>
        </w:tc>
        <w:tc>
          <w:tcPr>
            <w:tcW w:type="dxa" w:w="2310"/>
            <w:tcMar>
              <w:top w:w="80" w:type="dxa"/>
              <w:start w:w="120" w:type="dxa"/>
              <w:bottom w:w="80" w:type="dxa"/>
              <w:end w:w="120" w:type="dxa"/>
            </w:tcMar>
            <w:vAlign w:val="center"/>
          </w:tcPr>
          <w:p>
            <w:pPr>
              <w:spacing w:after="40" w:line="252" w:lineRule="auto"/>
            </w:pPr>
            <w:r>
              <w:rPr>
                <w:sz w:val="18"/>
              </w:rPr>
              <w:t>Does not own</w:t>
            </w:r>
          </w:p>
        </w:tc>
      </w:tr>
      <w:tr>
        <w:trPr>
          <w:cantSplit/>
        </w:trPr>
        <w:tc>
          <w:tcPr>
            <w:tcW w:type="dxa" w:w="2450"/>
            <w:shd w:fill="F4F8FB"/>
            <w:tcMar>
              <w:top w:w="80" w:type="dxa"/>
              <w:start w:w="120" w:type="dxa"/>
              <w:bottom w:w="80" w:type="dxa"/>
              <w:end w:w="120" w:type="dxa"/>
            </w:tcMar>
            <w:vAlign w:val="center"/>
          </w:tcPr>
          <w:p>
            <w:pPr>
              <w:spacing w:after="40" w:line="252" w:lineRule="auto"/>
            </w:pPr>
            <w:r>
              <w:rPr>
                <w:b/>
                <w:color w:val="1F4D78"/>
                <w:sz w:val="18"/>
              </w:rPr>
              <w:t>Tauri invoke/events</w:t>
            </w:r>
          </w:p>
        </w:tc>
        <w:tc>
          <w:tcPr>
            <w:tcW w:type="dxa" w:w="2300"/>
            <w:tcMar>
              <w:top w:w="80" w:type="dxa"/>
              <w:start w:w="120" w:type="dxa"/>
              <w:bottom w:w="80" w:type="dxa"/>
              <w:end w:w="120" w:type="dxa"/>
            </w:tcMar>
            <w:vAlign w:val="center"/>
          </w:tcPr>
          <w:p>
            <w:pPr>
              <w:spacing w:after="40" w:line="252" w:lineRule="auto"/>
            </w:pPr>
            <w:r>
              <w:rPr>
                <w:sz w:val="18"/>
              </w:rPr>
              <w:t>Does not own</w:t>
            </w:r>
          </w:p>
        </w:tc>
        <w:tc>
          <w:tcPr>
            <w:tcW w:type="dxa" w:w="2300"/>
            <w:tcMar>
              <w:top w:w="80" w:type="dxa"/>
              <w:start w:w="120" w:type="dxa"/>
              <w:bottom w:w="80" w:type="dxa"/>
              <w:end w:w="120" w:type="dxa"/>
            </w:tcMar>
            <w:vAlign w:val="center"/>
          </w:tcPr>
          <w:p>
            <w:pPr>
              <w:spacing w:after="40" w:line="252" w:lineRule="auto"/>
            </w:pPr>
            <w:r>
              <w:rPr>
                <w:sz w:val="18"/>
              </w:rPr>
              <w:t>Does not own</w:t>
            </w:r>
          </w:p>
        </w:tc>
        <w:tc>
          <w:tcPr>
            <w:tcW w:type="dxa" w:w="2310"/>
            <w:tcMar>
              <w:top w:w="80" w:type="dxa"/>
              <w:start w:w="120" w:type="dxa"/>
              <w:bottom w:w="80" w:type="dxa"/>
              <w:end w:w="120" w:type="dxa"/>
            </w:tcMar>
            <w:vAlign w:val="center"/>
          </w:tcPr>
          <w:p>
            <w:pPr>
              <w:spacing w:after="40" w:line="252" w:lineRule="auto"/>
            </w:pPr>
            <w:r>
              <w:rPr>
                <w:sz w:val="18"/>
              </w:rPr>
              <w:t>Owns</w:t>
            </w:r>
          </w:p>
        </w:tc>
      </w:tr>
      <w:tr>
        <w:trPr>
          <w:cantSplit/>
        </w:trPr>
        <w:tc>
          <w:tcPr>
            <w:tcW w:type="dxa" w:w="2450"/>
            <w:shd w:fill="F4F8FB"/>
            <w:tcMar>
              <w:top w:w="80" w:type="dxa"/>
              <w:start w:w="120" w:type="dxa"/>
              <w:bottom w:w="80" w:type="dxa"/>
              <w:end w:w="120" w:type="dxa"/>
            </w:tcMar>
            <w:vAlign w:val="center"/>
          </w:tcPr>
          <w:p>
            <w:pPr>
              <w:spacing w:after="40" w:line="252" w:lineRule="auto"/>
            </w:pPr>
            <w:r>
              <w:rPr>
                <w:b/>
                <w:color w:val="1F4D78"/>
                <w:sz w:val="18"/>
              </w:rPr>
              <w:t>Domain contract tests</w:t>
            </w:r>
          </w:p>
        </w:tc>
        <w:tc>
          <w:tcPr>
            <w:tcW w:type="dxa" w:w="2300"/>
            <w:tcMar>
              <w:top w:w="80" w:type="dxa"/>
              <w:start w:w="120" w:type="dxa"/>
              <w:bottom w:w="80" w:type="dxa"/>
              <w:end w:w="120" w:type="dxa"/>
            </w:tcMar>
            <w:vAlign w:val="center"/>
          </w:tcPr>
          <w:p>
            <w:pPr>
              <w:spacing w:after="40" w:line="252" w:lineRule="auto"/>
            </w:pPr>
            <w:r>
              <w:rPr>
                <w:sz w:val="18"/>
              </w:rPr>
              <w:t>Runs once per transport fixture</w:t>
            </w:r>
          </w:p>
        </w:tc>
        <w:tc>
          <w:tcPr>
            <w:tcW w:type="dxa" w:w="2300"/>
            <w:tcMar>
              <w:top w:w="80" w:type="dxa"/>
              <w:start w:w="120" w:type="dxa"/>
              <w:bottom w:w="80" w:type="dxa"/>
              <w:end w:w="120" w:type="dxa"/>
            </w:tcMar>
            <w:vAlign w:val="center"/>
          </w:tcPr>
          <w:p>
            <w:pPr>
              <w:spacing w:after="40" w:line="252" w:lineRule="auto"/>
            </w:pPr>
            <w:r>
              <w:rPr>
                <w:sz w:val="18"/>
              </w:rPr>
              <w:t>Fixture implementation</w:t>
            </w:r>
          </w:p>
        </w:tc>
        <w:tc>
          <w:tcPr>
            <w:tcW w:type="dxa" w:w="2310"/>
            <w:tcMar>
              <w:top w:w="80" w:type="dxa"/>
              <w:start w:w="120" w:type="dxa"/>
              <w:bottom w:w="80" w:type="dxa"/>
              <w:end w:w="120" w:type="dxa"/>
            </w:tcMar>
            <w:vAlign w:val="center"/>
          </w:tcPr>
          <w:p>
            <w:pPr>
              <w:spacing w:after="40" w:line="252" w:lineRule="auto"/>
            </w:pPr>
            <w:r>
              <w:rPr>
                <w:sz w:val="18"/>
              </w:rPr>
              <w:t>Fixture implementation</w:t>
            </w:r>
          </w:p>
        </w:tc>
      </w:tr>
    </w:tbl>
    <w:p>
      <w:pPr>
        <w:spacing w:after="20"/>
      </w:pPr>
    </w:p>
    <w:p>
      <w:pPr>
        <w:pStyle w:val="Heading2"/>
        <w:keepNext/>
      </w:pPr>
      <w:r>
        <w:t>4.4 Keep platform decisions at the environment edge</w:t>
      </w:r>
    </w:p>
    <w:p>
      <w:r>
        <w:t>runtime.target is useful for diagnostics and the composition root, but feature components should rarely branch on it. AddDealModal currently chooses file/directory behavior and copy based on the target. Instead, the root can inject a DealSourceStrategy or compose explicit source fields. The feature then asks whether a capability exists and invokes an intent; it does not know whether the implementation uses a browser file input, a Tauri dialog, or another future host.</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type DealSourceCapability =</w:t>
        <w:br/>
        <w:t xml:space="preserve">  | { kind: 'browser-files'; selectFiles(): Promise&lt;File[]&gt; }</w:t>
        <w:br/>
        <w:t xml:space="preserve">  | { kind: 'desktop-paths'; selectPaths(): Promise&lt;string[]&gt;; selectDirectory(): Promise&lt;string&gt; };</w:t>
        <w:br/>
        <w:br/>
        <w:t>// Selected once at the platform boundary</w:t>
        <w:br/>
        <w:t>&lt;AddDealProvider sourceCapability={runtime.capabilities.dealSources}&gt;</w:t>
        <w:br/>
        <w:t xml:space="preserve">  {runtime.target === 'desktop' ? &lt;DesktopDealSourceFields /&gt; : &lt;WebDealSourceFields /&gt;}</w:t>
        <w:br/>
        <w:t>&lt;/AddDealProvider&gt;</w:t>
      </w:r>
    </w:p>
    <w:p>
      <w:r>
        <w:t>The discriminated capability prevents calls that the platform cannot support. Explicit fields make platform-specific copy and interaction visible at the composition site. If the visual structure later converges, both variants can share parts without reintroducing target checks into the workflow.</w:t>
      </w:r>
    </w:p>
    <w:p>
      <w:pPr>
        <w:pStyle w:val="Heading2"/>
        <w:keepNext/>
      </w:pPr>
      <w:r>
        <w:t>4.5 Sidebar: compound primitives plus product variants</w:t>
      </w:r>
    </w:p>
    <w:p>
      <w:r>
        <w:t>SidebarFrame is conceptually a compound component already, but its structure is controlled by alignedHeader, centeredLogo, showHeaderBackButton, a mode wrapper, and a function child. Refactor in two levels. The primitive level provides layout and state parts. The product level exports HomeSidebar and DealRoomSidebar, which assemble those parts with the correct navigation and behavior. Consumers that need a new supported product surface add a named variant; they do not invent a new flag combination.</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&lt;Sidebar.Provider collapsed={collapsed} onCollapsedChange={setCollapsed}&gt;</w:t>
        <w:br/>
        <w:t xml:space="preserve">  &lt;Sidebar.Root&gt;</w:t>
        <w:br/>
        <w:t xml:space="preserve">    &lt;Sidebar.Header&gt;</w:t>
        <w:br/>
        <w:t xml:space="preserve">      &lt;Sidebar.Back /&gt;</w:t>
        <w:br/>
        <w:t xml:space="preserve">      &lt;Sidebar.Brand /&gt;</w:t>
        <w:br/>
        <w:t xml:space="preserve">      &lt;Sidebar.CollapseToggle /&gt;</w:t>
        <w:br/>
        <w:t xml:space="preserve">    &lt;/Sidebar.Header&gt;</w:t>
        <w:br/>
        <w:t xml:space="preserve">    &lt;Sidebar.Navigation&gt;</w:t>
        <w:br/>
        <w:t xml:space="preserve">      &lt;Sidebar.Section label='Deal room'&gt;</w:t>
        <w:br/>
        <w:t xml:space="preserve">        &lt;Sidebar.NavItem to='data-room'&gt;Data room&lt;/Sidebar.NavItem&gt;</w:t>
        <w:br/>
        <w:t xml:space="preserve">        &lt;Sidebar.ActionItem onSelect={openUpload}&gt;Upload documents&lt;/Sidebar.ActionItem&gt;</w:t>
        <w:br/>
        <w:t xml:space="preserve">      &lt;/Sidebar.Section&gt;</w:t>
        <w:br/>
        <w:t xml:space="preserve">    &lt;/Sidebar.Navigation&gt;</w:t>
        <w:br/>
        <w:t xml:space="preserve">    &lt;Sidebar.Profile /&gt;</w:t>
        <w:br/>
        <w:t xml:space="preserve">  &lt;/Sidebar.Root&gt;</w:t>
        <w:br/>
        <w:t>&lt;/Sidebar.Provider&gt;</w:t>
      </w:r>
    </w:p>
    <w:p>
      <w:r>
        <w:t>Split SidebarLink into NavItem and ActionItem. The current optional href changes an element’s fundamental semantics, and a label-string check for “Global Vault” embeds product behavior in a generic leaf. Separate components make routing, keyboard semantics, analytics, and testing explicit. HomeWorkspaceSidebar and DealRoomWorkspaceSidebar can be retained as the first two named variants; the WorkspaceSidebar mode wrapper can be deprecated once call sites import those variants directly.</w:t>
      </w:r>
    </w:p>
    <w:p>
      <w:pPr>
        <w:pStyle w:val="Heading2"/>
        <w:keepNext/>
      </w:pPr>
      <w:r>
        <w:t>4.6 PDF viewer: expose parts, then preserve presets</w:t>
      </w:r>
    </w:p>
    <w:p>
      <w:r>
        <w:t>The PDF viewer already maintains a rich context value, which is the hardest part of a compound design. The next step is to separate its 669-line controller from its view parts and replace six structural feature flags plus several render props with the presence or absence of components. The provider owns loading, pagination, zoom, selection, password state, and actions. Parts consume the provider. Product presets compose a supported experience.</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&lt;PdfViewer.Provider source={source}&gt;</w:t>
        <w:br/>
        <w:t xml:space="preserve">  &lt;PdfViewer.Root&gt;</w:t>
        <w:br/>
        <w:t xml:space="preserve">    &lt;PdfViewer.Toolbar&gt;</w:t>
        <w:br/>
        <w:t xml:space="preserve">      &lt;PdfViewer.PageControls /&gt;</w:t>
        <w:br/>
        <w:t xml:space="preserve">      &lt;PdfViewer.ZoomControls /&gt;</w:t>
        <w:br/>
        <w:t xml:space="preserve">      &lt;PdfViewer.DownloadAction /&gt;</w:t>
        <w:br/>
        <w:t xml:space="preserve">    &lt;/PdfViewer.Toolbar&gt;</w:t>
        <w:br/>
        <w:t xml:space="preserve">    &lt;PdfViewer.Viewport&gt;</w:t>
        <w:br/>
        <w:t xml:space="preserve">      &lt;PdfViewer.Pages /&gt;</w:t>
        <w:br/>
        <w:t xml:space="preserve">      &lt;PdfViewer.Loading /&gt;</w:t>
        <w:br/>
        <w:t xml:space="preserve">      &lt;PdfViewer.Empty /&gt;</w:t>
        <w:br/>
        <w:t xml:space="preserve">      &lt;PdfViewer.Error /&gt;</w:t>
        <w:br/>
        <w:t xml:space="preserve">      &lt;PdfViewer.PasswordPrompt /&gt;</w:t>
        <w:br/>
        <w:t xml:space="preserve">    &lt;/PdfViewer.Viewport&gt;</w:t>
        <w:br/>
        <w:t xml:space="preserve">  &lt;/PdfViewer.Root&gt;</w:t>
        <w:br/>
        <w:t>&lt;/PdfViewer.Provider&gt;</w:t>
      </w:r>
    </w:p>
    <w:p>
      <w:r>
        <w:t>Export DocumentPdfViewer and DropzonePdfViewer presets for common use. The current prop API should initially remain as a compatibility component that selects parts internally. This lets call sites migrate one at a time. Because Quarry uses React 19, new components can accept ref as a regular prop instead of introducing new forwardRef wrappers; existing forwardRef usage can be removed opportunistically rather than as a prerequisite.</w:t>
      </w:r>
    </w:p>
    <w:p>
      <w:pPr>
        <w:pStyle w:val="Heading2"/>
        <w:keepNext/>
      </w:pPr>
      <w:r>
        <w:t>4.7 Data Room: separate orchestration from view composition</w:t>
      </w:r>
    </w:p>
    <w:p>
      <w:r>
        <w:t>DataRoomPage currently owns stored/local document loading, selection, preview and raw-text loading, edge panel state, upload/connect overlays, and state-dependent layout. Fourteen state/ref hooks are a symptom of related workflow data being represented independently. Move orchestration to a DataRoomProvider and reducer. Keep branching in the view where it represents legitimate product state, but make the state itself impossible to contradict.</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type Loadable&lt;T&gt; =</w:t>
        <w:br/>
        <w:t xml:space="preserve">  | { status: 'idle' }</w:t>
        <w:br/>
        <w:t xml:space="preserve">  | { status: 'loading'; requestId: string }</w:t>
        <w:br/>
        <w:t xml:space="preserve">  | { status: 'ready'; value: T }</w:t>
        <w:br/>
        <w:t xml:space="preserve">  | { status: 'error'; message: string };</w:t>
        <w:br/>
        <w:br/>
        <w:t>type DataRoomSelection =</w:t>
        <w:br/>
        <w:t xml:space="preserve">  | { kind: 'none' }</w:t>
        <w:br/>
        <w:t xml:space="preserve">  | {</w:t>
        <w:br/>
        <w:t xml:space="preserve">      kind: 'preview';</w:t>
        <w:br/>
        <w:t xml:space="preserve">      document: DataRoomDocument;</w:t>
        <w:br/>
        <w:t xml:space="preserve">      preview: Loadable&lt;DocumentPreview&gt;;</w:t>
        <w:br/>
        <w:t xml:space="preserve">      rawText: Loadable&lt;string&gt;;</w:t>
        <w:br/>
        <w:t xml:space="preserve">    };</w:t>
        <w:br/>
        <w:br/>
        <w:t>type DataRoomState = {</w:t>
        <w:br/>
        <w:t xml:space="preserve">  sources: { stored: Loadable&lt;StoredDocument[]&gt;; local: Loadable&lt;LocalDocument[]&gt; };</w:t>
        <w:br/>
        <w:t xml:space="preserve">  selection: DataRoomSelection;</w:t>
        <w:br/>
        <w:t xml:space="preserve">  edgePanel: 'closed' | 'search';</w:t>
        <w:br/>
        <w:t xml:space="preserve">  overlay: null | { kind: 'upload' } | { kind: 'connect-sharepoint' };</w:t>
        <w:br/>
        <w:t>};</w:t>
      </w:r>
    </w:p>
    <w:p>
      <w:r>
        <w:t>The provider should assign request IDs or AbortControllers so a late preview response cannot overwrite a newer selection. It exposes actions such as selectDocument, clearSelection, refreshSources, openUpload, and closeOverlay. DataRoomPage becomes a composition of SourceList, PreviewPanel, SearchPanel, and OverlayHost. Individual parts can then be tested with a provider fixture containing precise states.</w:t>
      </w:r>
    </w:p>
    <w:p>
      <w:pPr>
        <w:pStyle w:val="Heading2"/>
        <w:keepNext/>
      </w:pPr>
      <w:r>
        <w:t>4.8 Summarize: one source model, one dispatch point</w:t>
      </w:r>
    </w:p>
    <w:p>
      <w:r>
        <w:t>SummarizePage currently coordinates browser files, desktop file paths, directory selection, tree state, summary progress, and a four-way API dispatch. Normalize source selection into one discriminated union. A summarize application service or provider performs the dispatch once; the view only composes source-specific fields and renders progress/result state. Move directory-tree transformation to a pure utility with unit tests.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type SummarySource =</w:t>
        <w:br/>
        <w:t xml:space="preserve">  | { kind: 'upload'; files: File[] }</w:t>
        <w:br/>
        <w:t xml:space="preserve">  | { kind: 'paths'; paths: string[] }</w:t>
        <w:br/>
        <w:t xml:space="preserve">  | { kind: 'directory'; path: string };</w:t>
        <w:br/>
        <w:br/>
        <w:t>type SummaryWorkflow =</w:t>
        <w:br/>
        <w:t xml:space="preserve">  | { status: 'editing'; source: SummarySource | null }</w:t>
        <w:br/>
        <w:t xml:space="preserve">  | { status: 'submitting'; source: SummarySource }</w:t>
        <w:br/>
        <w:t xml:space="preserve">  | { status: 'complete'; source: SummarySource; result: SummaryResult }</w:t>
        <w:br/>
        <w:t xml:space="preserve">  | { status: 'error'; source: SummarySource; message: string };</w:t>
      </w:r>
    </w:p>
    <w:p>
      <w:pPr>
        <w:pStyle w:val="Heading2"/>
        <w:keepNext/>
      </w:pPr>
      <w:r>
        <w:t>4.9 Add Deal: model the two-step transaction</w:t>
      </w:r>
    </w:p>
    <w:p>
      <w:r>
        <w:t>AddDealModal is a multi-step workflow: capture core details, persist the deal, capture sources, persist source configuration, then complete or recover from error. Represent those stages explicitly. A reducer makes it impossible to display source configuration before a deal ID exists and gives retry behavior a well-defined target. The modal becomes a composition of DetailsStep, SourcesStep, Progress, and FooterActions; web/desktop source fields are injected as described earlier.</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type AddDealState =</w:t>
        <w:br/>
        <w:t xml:space="preserve">  | { step: 'details'; draft: DealDraft; error?: string }</w:t>
        <w:br/>
        <w:t xml:space="preserve">  | { step: 'saving-core'; draft: DealDraft }</w:t>
        <w:br/>
        <w:t xml:space="preserve">  | { step: 'sources'; deal: Deal; sources: DealSourcesDraft; error?: string }</w:t>
        <w:br/>
        <w:t xml:space="preserve">  | { step: 'saving-sources'; deal: Deal; sources: DealSourcesDraft }</w:t>
        <w:br/>
        <w:t xml:space="preserve">  | { step: 'done'; deal: Deal };</w:t>
      </w:r>
    </w:p>
    <w:p>
      <w:pPr>
        <w:pStyle w:val="Heading2"/>
        <w:keepNext/>
      </w:pPr>
      <w:r>
        <w:t>4.10 Deal timeline and shared workspace data</w:t>
      </w:r>
    </w:p>
    <w:p>
      <w:r>
        <w:t>DealTimelineView combines calendar activity, editing, reminders, and layout. Split it by workflow boundary: a timeline provider for activities and selection, an activity editor with its own draft state, and a reminder board if reminders evolve independently. Do not create a context for every row; contexts are for a feature scope with meaningful shared state. Leaf display components should remain ordinary props-based components.</w:t>
      </w:r>
    </w:p>
    <w:p>
      <w:r>
        <w:t>The current workspace.ts mixes domain types, path helpers, static seed data, navigation configuration, and UI color classes. Divide it into domain model, fixtures, navigation definitions, and presentation tokens. This is a small but important dependency-direction improvement: domain data should not know Tailwind classes, and production navigation should not import seed fixtures.</w:t>
      </w:r>
    </w:p>
    <w:p>
      <w:pPr>
        <w:pStyle w:val="Heading1"/>
        <w:keepNext/>
      </w:pPr>
      <w:r>
        <w:t>5. Target Axum backend architecture</w:t>
      </w:r>
    </w:p>
    <w:p>
      <w:pPr>
        <w:spacing w:after="0"/>
        <w:jc w:val="center"/>
      </w:pPr>
      <w:r>
        <w:drawing>
          <wp:inline xmlns:a="http://schemas.openxmlformats.org/drawingml/2006/main" xmlns:pic="http://schemas.openxmlformats.org/drawingml/2006/picture">
            <wp:extent cx="5943600" cy="3677602"/>
            <wp:docPr id="2" name="Picture 2" title="Figure 2. Proposed backend dependency flow" descr="Diagram showing bootstrap constructing the application, Axum delivery calling application services, services depending on narrow ports, and infrastructure adapters implementing those ports."/>
            <wp:cNvGraphicFramePr>
              <a:graphicFrameLocks noChangeAspect="1"/>
            </wp:cNvGraphicFramePr>
            <a:graphic>
              <a:graphicData uri="http://schemas.openxmlformats.org/drawingml/2006/picture">
                <pic:pic>
                  <pic:nvPicPr>
                    <pic:cNvPr id="0" name="backend-composition.png"/>
                    <pic:cNvPicPr/>
                  </pic:nvPicPr>
                  <pic:blipFill>
                    <a:blip r:embed="rId14"/>
                    <a:stretch>
                      <a:fillRect/>
                    </a:stretch>
                  </pic:blipFill>
                  <pic:spPr>
                    <a:xfrm>
                      <a:off x="0" y="0"/>
                      <a:ext cx="5943600" cy="3677602"/>
                    </a:xfrm>
                    <a:prstGeom prst="rect"/>
                  </pic:spPr>
                </pic:pic>
              </a:graphicData>
            </a:graphic>
          </wp:inline>
        </w:drawing>
      </w:r>
    </w:p>
    <w:p>
      <w:pPr>
        <w:pStyle w:val="FigureCaption"/>
        <w:keepNext w:val="0"/>
      </w:pPr>
      <w:r>
        <w:t>Figure 2. Proposed backend dependency flow</w:t>
      </w:r>
    </w:p>
    <w:p>
      <w:pPr>
        <w:pStyle w:val="Heading2"/>
        <w:keepNext/>
      </w:pPr>
      <w:r>
        <w:t>5.1 Retain Axum as a thin delivery layer</w:t>
      </w:r>
    </w:p>
    <w:p>
      <w:r>
        <w:t>The current router composition is sound. Continue merging or nesting feature routers, centralize Tower middleware, use typed extractors, and return structured errors. Do not move domain behavior into custom Axum abstractions. A handler should translate HTTP input into a use-case request, invoke one application service, and translate its result. Multipart parsing and basic validation belong near the delivery boundary; job lifecycle, deduplication, extraction, and persistence orchestration do not.</w:t>
      </w:r>
    </w:p>
    <w:p>
      <w:pPr>
        <w:pStyle w:val="Heading2"/>
        <w:keepNext/>
      </w:pPr>
      <w:r>
        <w:t>5.2 Add a true bootstrap composition root</w:t>
      </w:r>
    </w:p>
    <w:p>
      <w:r>
        <w:t>main.rs currently calls AppState::new(), and AppState construction indirectly discovers several dependencies from the environment. Replace this with bootstrap.rs. AppConfig parses and validates every environment-dependent setting once: network and CORS, database path, Helix URL/key, OpenAI key, model names, limits, and job retention. bootstrap builds reusable infrastructure, constructs services explicitly, and returns the router or AppState. Startup failures become early, actionable errors instead of request-time surprises.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pub async fn build_app(config: AppConfig) -&gt; Result&lt;Router, StartupError&gt; {</w:t>
        <w:br/>
        <w:t xml:space="preserve">    let http = reqwest::Client::builder()</w:t>
        <w:br/>
        <w:t xml:space="preserve">        .timeout(config.outbound_timeout)</w:t>
        <w:br/>
        <w:t xml:space="preserve">        .build()?;</w:t>
        <w:br/>
        <w:t xml:space="preserve">    let sqlite = Arc::new(SqliteClient::connect(&amp;config.database_path)?);</w:t>
        <w:br/>
        <w:t xml:space="preserve">    run_migrations(&amp;sqlite)?;</w:t>
        <w:br/>
        <w:t xml:space="preserve">    let helix = Arc::new(HelixSearchIndex::new(config.helix.clone(), http.clone()));</w:t>
        <w:br/>
        <w:t xml:space="preserve">    let ai = Arc::new(OpenAiGateway::new(config.openai.clone(), http));</w:t>
        <w:br/>
        <w:br/>
        <w:t xml:space="preserve">    let deals = Arc::new(DealService::new(</w:t>
        <w:br/>
        <w:t xml:space="preserve">        Arc::new(SqliteDealStore::new(sqlite.clone())),</w:t>
        <w:br/>
        <w:t xml:space="preserve">        ai.clone(),</w:t>
        <w:br/>
        <w:t xml:space="preserve">    ));</w:t>
        <w:br/>
        <w:t xml:space="preserve">    let documents = Arc::new(DocumentIngestionService::new(/* explicit ports */));</w:t>
        <w:br/>
        <w:t xml:space="preserve">    let jobs = Arc::new(JobService::new(/* job store, clock, retention */));</w:t>
        <w:br/>
        <w:br/>
        <w:t xml:space="preserve">    Ok(routes::router(AppState::new(deals, documents, jobs)))</w:t>
        <w:br/>
        <w:t>}</w:t>
      </w:r>
    </w:p>
    <w:p>
      <w:r>
        <w:t>OpenAiClient currently creates a new reqwest client in multiple call paths. Inject one configured client instead. Connection pooling, proxy configuration, timeouts, telemetry, and test substitution then become consistent. This is both a composability and an operational reliability improvement.</w:t>
      </w:r>
    </w:p>
    <w:p>
      <w:pPr>
        <w:pStyle w:val="Heading2"/>
        <w:keepNext/>
      </w:pPr>
      <w:r>
        <w:t>5.3 Make AppState a capability container, not a service locator</w:t>
      </w:r>
    </w:p>
    <w:p>
      <w:r>
        <w:t>AppState should remain Clone and cheap because Axum clones it. It should contain Arc references to handler-facing application services and truly shared runtime capabilities. It should not expose raw database/search clients to every handler, perform migrations, read configuration, or contain business-specific helper methods. The smaller state becomes, the easier it is to see what the HTTP layer can reach.</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#[derive(Clone)]</w:t>
        <w:br/>
        <w:t>pub struct AppState {</w:t>
        <w:br/>
        <w:t xml:space="preserve">    pub deals: Arc&lt;DealService&gt;,</w:t>
        <w:br/>
        <w:t xml:space="preserve">    pub documents: Arc&lt;DocumentService&gt;,</w:t>
        <w:br/>
        <w:t xml:space="preserve">    pub jobs: Arc&lt;JobService&gt;,</w:t>
        <w:br/>
        <w:t>}</w:t>
        <w:br/>
        <w:br/>
        <w:t>impl AppState {</w:t>
        <w:br/>
        <w:t xml:space="preserve">    pub fn new(</w:t>
        <w:br/>
        <w:t xml:space="preserve">        deals: Arc&lt;DealService&gt;,</w:t>
        <w:br/>
        <w:t xml:space="preserve">        documents: Arc&lt;DocumentService&gt;,</w:t>
        <w:br/>
        <w:t xml:space="preserve">        jobs: Arc&lt;JobService&gt;,</w:t>
        <w:br/>
        <w:t xml:space="preserve">    ) -&gt; Self { Self { deals, documents, jobs } }</w:t>
        <w:br/>
        <w:t>}</w:t>
      </w:r>
    </w:p>
    <w:p>
      <w:pPr>
        <w:pStyle w:val="Heading2"/>
        <w:keepNext/>
      </w:pPr>
      <w:r>
        <w:t>5.4 Define ports at application boundaries</w:t>
      </w:r>
    </w:p>
    <w:p>
      <w:r>
        <w:t>deal_service.rs currently accepts &amp;AppState and calls repository functions that also accept all of AppState, even when they only need SQLite. Document ingestion similarly coordinates concrete SQLite, Helix, parsers, embeddings, job state, and environment-derived clients. Introduce narrow ports where an application use case crosses an infrastructure boundary. Keep them coarse enough to represent domain operations; a trait per SQL statement would add ceremony without improving design.</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1900"/>
        <w:gridCol w:w="3820"/>
        <w:gridCol w:w="3640"/>
      </w:tblGrid>
      <w:tr>
        <w:trPr>
          <w:tblHeader w:val="true"/>
          <w:cantSplit/>
        </w:trPr>
        <w:tc>
          <w:tcPr>
            <w:tcW w:type="dxa" w:w="1900"/>
            <w:shd w:fill="F2F4F7"/>
            <w:tcMar>
              <w:top w:w="80" w:type="dxa"/>
              <w:start w:w="120" w:type="dxa"/>
              <w:bottom w:w="80" w:type="dxa"/>
              <w:end w:w="120" w:type="dxa"/>
            </w:tcMar>
            <w:vAlign w:val="center"/>
          </w:tcPr>
          <w:p>
            <w:pPr>
              <w:spacing w:after="0"/>
            </w:pPr>
            <w:r>
              <w:rPr>
                <w:b/>
                <w:color w:val="1F4D78"/>
                <w:sz w:val="18"/>
              </w:rPr>
              <w:t>Port</w:t>
            </w:r>
          </w:p>
        </w:tc>
        <w:tc>
          <w:tcPr>
            <w:tcW w:type="dxa" w:w="3820"/>
            <w:shd w:fill="F2F4F7"/>
            <w:tcMar>
              <w:top w:w="80" w:type="dxa"/>
              <w:start w:w="120" w:type="dxa"/>
              <w:bottom w:w="80" w:type="dxa"/>
              <w:end w:w="120" w:type="dxa"/>
            </w:tcMar>
            <w:vAlign w:val="center"/>
          </w:tcPr>
          <w:p>
            <w:pPr>
              <w:spacing w:after="0"/>
            </w:pPr>
            <w:r>
              <w:rPr>
                <w:b/>
                <w:color w:val="1F4D78"/>
                <w:sz w:val="18"/>
              </w:rPr>
              <w:t>Application need</w:t>
            </w:r>
          </w:p>
        </w:tc>
        <w:tc>
          <w:tcPr>
            <w:tcW w:type="dxa" w:w="3640"/>
            <w:shd w:fill="F2F4F7"/>
            <w:tcMar>
              <w:top w:w="80" w:type="dxa"/>
              <w:start w:w="120" w:type="dxa"/>
              <w:bottom w:w="80" w:type="dxa"/>
              <w:end w:w="120" w:type="dxa"/>
            </w:tcMar>
            <w:vAlign w:val="center"/>
          </w:tcPr>
          <w:p>
            <w:pPr>
              <w:spacing w:after="0"/>
            </w:pPr>
            <w:r>
              <w:rPr>
                <w:b/>
                <w:color w:val="1F4D78"/>
                <w:sz w:val="18"/>
              </w:rPr>
              <w:t>Likely production adapter</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DealStore</w:t>
            </w:r>
          </w:p>
        </w:tc>
        <w:tc>
          <w:tcPr>
            <w:tcW w:type="dxa" w:w="3820"/>
            <w:tcMar>
              <w:top w:w="80" w:type="dxa"/>
              <w:start w:w="120" w:type="dxa"/>
              <w:bottom w:w="80" w:type="dxa"/>
              <w:end w:w="120" w:type="dxa"/>
            </w:tcMar>
            <w:vAlign w:val="center"/>
          </w:tcPr>
          <w:p>
            <w:pPr>
              <w:spacing w:after="40" w:line="252" w:lineRule="auto"/>
            </w:pPr>
            <w:r>
              <w:rPr>
                <w:sz w:val="18"/>
              </w:rPr>
              <w:t>Create/update/read deals and their persisted extraction state.</w:t>
            </w:r>
          </w:p>
        </w:tc>
        <w:tc>
          <w:tcPr>
            <w:tcW w:type="dxa" w:w="3640"/>
            <w:tcMar>
              <w:top w:w="80" w:type="dxa"/>
              <w:start w:w="120" w:type="dxa"/>
              <w:bottom w:w="80" w:type="dxa"/>
              <w:end w:w="120" w:type="dxa"/>
            </w:tcMar>
            <w:vAlign w:val="center"/>
          </w:tcPr>
          <w:p>
            <w:pPr>
              <w:spacing w:after="40" w:line="252" w:lineRule="auto"/>
            </w:pPr>
            <w:r>
              <w:rPr>
                <w:sz w:val="18"/>
              </w:rPr>
              <w:t>SQLite deal repository</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AiGateway</w:t>
            </w:r>
          </w:p>
        </w:tc>
        <w:tc>
          <w:tcPr>
            <w:tcW w:type="dxa" w:w="3820"/>
            <w:tcMar>
              <w:top w:w="80" w:type="dxa"/>
              <w:start w:w="120" w:type="dxa"/>
              <w:bottom w:w="80" w:type="dxa"/>
              <w:end w:w="120" w:type="dxa"/>
            </w:tcMar>
            <w:vAlign w:val="center"/>
          </w:tcPr>
          <w:p>
            <w:pPr>
              <w:spacing w:after="40" w:line="252" w:lineRule="auto"/>
            </w:pPr>
            <w:r>
              <w:rPr>
                <w:sz w:val="18"/>
              </w:rPr>
              <w:t>Extract deal fields, summarize material, or generate structured responses.</w:t>
            </w:r>
          </w:p>
        </w:tc>
        <w:tc>
          <w:tcPr>
            <w:tcW w:type="dxa" w:w="3640"/>
            <w:tcMar>
              <w:top w:w="80" w:type="dxa"/>
              <w:start w:w="120" w:type="dxa"/>
              <w:bottom w:w="80" w:type="dxa"/>
              <w:end w:w="120" w:type="dxa"/>
            </w:tcMar>
            <w:vAlign w:val="center"/>
          </w:tcPr>
          <w:p>
            <w:pPr>
              <w:spacing w:after="40" w:line="252" w:lineRule="auto"/>
            </w:pPr>
            <w:r>
              <w:rPr>
                <w:sz w:val="18"/>
              </w:rPr>
              <w:t>OpenAI adapter using one shared HTTP client</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DocumentStore</w:t>
            </w:r>
          </w:p>
        </w:tc>
        <w:tc>
          <w:tcPr>
            <w:tcW w:type="dxa" w:w="3820"/>
            <w:tcMar>
              <w:top w:w="80" w:type="dxa"/>
              <w:start w:w="120" w:type="dxa"/>
              <w:bottom w:w="80" w:type="dxa"/>
              <w:end w:w="120" w:type="dxa"/>
            </w:tcMar>
            <w:vAlign w:val="center"/>
          </w:tcPr>
          <w:p>
            <w:pPr>
              <w:spacing w:after="40" w:line="252" w:lineRule="auto"/>
            </w:pPr>
            <w:r>
              <w:rPr>
                <w:sz w:val="18"/>
              </w:rPr>
              <w:t>Persist and retrieve document/file aggregates and metadata.</w:t>
            </w:r>
          </w:p>
        </w:tc>
        <w:tc>
          <w:tcPr>
            <w:tcW w:type="dxa" w:w="3640"/>
            <w:tcMar>
              <w:top w:w="80" w:type="dxa"/>
              <w:start w:w="120" w:type="dxa"/>
              <w:bottom w:w="80" w:type="dxa"/>
              <w:end w:w="120" w:type="dxa"/>
            </w:tcMar>
            <w:vAlign w:val="center"/>
          </w:tcPr>
          <w:p>
            <w:pPr>
              <w:spacing w:after="40" w:line="252" w:lineRule="auto"/>
            </w:pPr>
            <w:r>
              <w:rPr>
                <w:sz w:val="18"/>
              </w:rPr>
              <w:t>SQLite document repository</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SearchIndex</w:t>
            </w:r>
          </w:p>
        </w:tc>
        <w:tc>
          <w:tcPr>
            <w:tcW w:type="dxa" w:w="3820"/>
            <w:tcMar>
              <w:top w:w="80" w:type="dxa"/>
              <w:start w:w="120" w:type="dxa"/>
              <w:bottom w:w="80" w:type="dxa"/>
              <w:end w:w="120" w:type="dxa"/>
            </w:tcMar>
            <w:vAlign w:val="center"/>
          </w:tcPr>
          <w:p>
            <w:pPr>
              <w:spacing w:after="40" w:line="252" w:lineRule="auto"/>
            </w:pPr>
            <w:r>
              <w:rPr>
                <w:sz w:val="18"/>
              </w:rPr>
              <w:t>Index, remove, and query document chunks or graph/search records.</w:t>
            </w:r>
          </w:p>
        </w:tc>
        <w:tc>
          <w:tcPr>
            <w:tcW w:type="dxa" w:w="3640"/>
            <w:tcMar>
              <w:top w:w="80" w:type="dxa"/>
              <w:start w:w="120" w:type="dxa"/>
              <w:bottom w:w="80" w:type="dxa"/>
              <w:end w:w="120" w:type="dxa"/>
            </w:tcMar>
            <w:vAlign w:val="center"/>
          </w:tcPr>
          <w:p>
            <w:pPr>
              <w:spacing w:after="40" w:line="252" w:lineRule="auto"/>
            </w:pPr>
            <w:r>
              <w:rPr>
                <w:sz w:val="18"/>
              </w:rPr>
              <w:t>Helix adapter</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DocumentParser</w:t>
            </w:r>
          </w:p>
        </w:tc>
        <w:tc>
          <w:tcPr>
            <w:tcW w:type="dxa" w:w="3820"/>
            <w:tcMar>
              <w:top w:w="80" w:type="dxa"/>
              <w:start w:w="120" w:type="dxa"/>
              <w:bottom w:w="80" w:type="dxa"/>
              <w:end w:w="120" w:type="dxa"/>
            </w:tcMar>
            <w:vAlign w:val="center"/>
          </w:tcPr>
          <w:p>
            <w:pPr>
              <w:spacing w:after="40" w:line="252" w:lineRule="auto"/>
            </w:pPr>
            <w:r>
              <w:rPr>
                <w:sz w:val="18"/>
              </w:rPr>
              <w:t>Convert a supported source into normalized parsed content.</w:t>
            </w:r>
          </w:p>
        </w:tc>
        <w:tc>
          <w:tcPr>
            <w:tcW w:type="dxa" w:w="3640"/>
            <w:tcMar>
              <w:top w:w="80" w:type="dxa"/>
              <w:start w:w="120" w:type="dxa"/>
              <w:bottom w:w="80" w:type="dxa"/>
              <w:end w:w="120" w:type="dxa"/>
            </w:tcMar>
            <w:vAlign w:val="center"/>
          </w:tcPr>
          <w:p>
            <w:pPr>
              <w:spacing w:after="40" w:line="252" w:lineRule="auto"/>
            </w:pPr>
            <w:r>
              <w:rPr>
                <w:sz w:val="18"/>
              </w:rPr>
              <w:t>Existing parser dispatch and format parsers</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EmbeddingGateway</w:t>
            </w:r>
          </w:p>
        </w:tc>
        <w:tc>
          <w:tcPr>
            <w:tcW w:type="dxa" w:w="3820"/>
            <w:tcMar>
              <w:top w:w="80" w:type="dxa"/>
              <w:start w:w="120" w:type="dxa"/>
              <w:bottom w:w="80" w:type="dxa"/>
              <w:end w:w="120" w:type="dxa"/>
            </w:tcMar>
            <w:vAlign w:val="center"/>
          </w:tcPr>
          <w:p>
            <w:pPr>
              <w:spacing w:after="40" w:line="252" w:lineRule="auto"/>
            </w:pPr>
            <w:r>
              <w:rPr>
                <w:sz w:val="18"/>
              </w:rPr>
              <w:t>Create embeddings for normalized chunks.</w:t>
            </w:r>
          </w:p>
        </w:tc>
        <w:tc>
          <w:tcPr>
            <w:tcW w:type="dxa" w:w="3640"/>
            <w:tcMar>
              <w:top w:w="80" w:type="dxa"/>
              <w:start w:w="120" w:type="dxa"/>
              <w:bottom w:w="80" w:type="dxa"/>
              <w:end w:w="120" w:type="dxa"/>
            </w:tcMar>
            <w:vAlign w:val="center"/>
          </w:tcPr>
          <w:p>
            <w:pPr>
              <w:spacing w:after="40" w:line="252" w:lineRule="auto"/>
            </w:pPr>
            <w:r>
              <w:rPr>
                <w:sz w:val="18"/>
              </w:rPr>
              <w:t>OpenAI embedding adapter</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JobStore</w:t>
            </w:r>
          </w:p>
        </w:tc>
        <w:tc>
          <w:tcPr>
            <w:tcW w:type="dxa" w:w="3820"/>
            <w:tcMar>
              <w:top w:w="80" w:type="dxa"/>
              <w:start w:w="120" w:type="dxa"/>
              <w:bottom w:w="80" w:type="dxa"/>
              <w:end w:w="120" w:type="dxa"/>
            </w:tcMar>
            <w:vAlign w:val="center"/>
          </w:tcPr>
          <w:p>
            <w:pPr>
              <w:spacing w:after="40" w:line="252" w:lineRule="auto"/>
            </w:pPr>
            <w:r>
              <w:rPr>
                <w:sz w:val="18"/>
              </w:rPr>
              <w:t>Track job state, progress, results, and retention.</w:t>
            </w:r>
          </w:p>
        </w:tc>
        <w:tc>
          <w:tcPr>
            <w:tcW w:type="dxa" w:w="3640"/>
            <w:tcMar>
              <w:top w:w="80" w:type="dxa"/>
              <w:start w:w="120" w:type="dxa"/>
              <w:bottom w:w="80" w:type="dxa"/>
              <w:end w:w="120" w:type="dxa"/>
            </w:tcMar>
            <w:vAlign w:val="center"/>
          </w:tcPr>
          <w:p>
            <w:pPr>
              <w:spacing w:after="40" w:line="252" w:lineRule="auto"/>
            </w:pPr>
            <w:r>
              <w:rPr>
                <w:sz w:val="18"/>
              </w:rPr>
              <w:t>Current in-memory/concurrent job store, later persistent if needed</w:t>
            </w:r>
          </w:p>
        </w:tc>
      </w:tr>
    </w:tbl>
    <w:p>
      <w:pPr>
        <w:spacing w:after="20"/>
      </w:pP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#[async_trait]</w:t>
        <w:br/>
        <w:t>pub trait DealStore: Send + Sync {</w:t>
        <w:br/>
        <w:t xml:space="preserve">    async fn create(&amp;self, draft: NewDeal) -&gt; Result&lt;Deal, DealStoreError&gt;;</w:t>
        <w:br/>
        <w:t xml:space="preserve">    async fn find(&amp;self, id: DealId) -&gt; Result&lt;Option&lt;Deal&gt;, DealStoreError&gt;;</w:t>
        <w:br/>
        <w:t xml:space="preserve">    async fn save_extraction(&amp;self, id: DealId, data: ExtractedDeal)</w:t>
        <w:br/>
        <w:t xml:space="preserve">        -&gt; Result&lt;(), DealStoreError&gt;;</w:t>
        <w:br/>
        <w:t>}</w:t>
        <w:br/>
        <w:br/>
        <w:t>pub struct DealService {</w:t>
        <w:br/>
        <w:t xml:space="preserve">    store: Arc&lt;dyn DealStore&gt;,</w:t>
        <w:br/>
        <w:t xml:space="preserve">    ai: Arc&lt;dyn AiGateway&gt;,</w:t>
        <w:br/>
        <w:t>}</w:t>
        <w:br/>
        <w:br/>
        <w:t>impl DealService {</w:t>
        <w:br/>
        <w:t xml:space="preserve">    pub async fn extract(&amp;self, request: ExtractDealRequest)</w:t>
        <w:br/>
        <w:t xml:space="preserve">        -&gt; Result&lt;ExtractedDeal, DealServiceError&gt; { /* orchestration */ }</w:t>
        <w:br/>
        <w:t>}</w:t>
      </w:r>
    </w:p>
    <w:p>
      <w:r>
        <w:t>Rust implementation choice can be pragmatic. Arc&lt;dyn Port&gt; is convenient for a small number of application services and test fakes. Generic services can remove dynamic dispatch but may make AppState types cumbersome. BoxFuture-based traits or async-trait are acceptable depending on the project’s dependency policy. The important property is explicit dependency direction, not a particular trait macro.</w:t>
      </w:r>
    </w:p>
    <w:p>
      <w:pPr>
        <w:pStyle w:val="Heading2"/>
        <w:keepNext/>
      </w:pPr>
      <w:r>
        <w:t>5.5 Split document persistence from search/index behavior</w:t>
      </w:r>
    </w:p>
    <w:p>
      <w:r>
        <w:t>document_repository.rs is the clearest backend decomposition candidate. It combines SQLite file-aggregate behavior, graph mapping, Helix search/index operations, and validation in one large module. Split by infrastructure responsibility: a SQLiteDocumentStore, a HelixSearchIndex, and pure mapping/validation helpers. DocumentService or DocumentIngestionService composes them through ports. This makes a SQLite schema change independent from a Helix API change and allows search failure policies to be tested explicitly.</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backend/src/</w:t>
        <w:br/>
        <w:t xml:space="preserve">  bootstrap.rs</w:t>
        <w:br/>
        <w:t xml:space="preserve">  app_state.rs</w:t>
        <w:br/>
        <w:t xml:space="preserve">  features/</w:t>
        <w:br/>
        <w:t xml:space="preserve">    deals/{domain.rs, ports.rs, service.rs, http.rs, adapters/sqlite.rs}</w:t>
        <w:br/>
        <w:t xml:space="preserve">    documents/{domain.rs, ports.rs, service.rs, ingestion.rs, http.rs, adapters/}</w:t>
        <w:br/>
        <w:t xml:space="preserve">  infra/{sqlite.rs, helix.rs, openai.rs}</w:t>
        <w:br/>
        <w:t xml:space="preserve">  routes/mod.rs</w:t>
      </w:r>
    </w:p>
    <w:p>
      <w:r>
        <w:t>This folder tree is a destination, not a prerequisite. A hybrid structure is appropriate during migration: add ports and constructors in existing modules first, move files only when their responsibilities have actually separated. Large rename-only pull requests make review harder and merge conflicts more likely.</w:t>
      </w:r>
    </w:p>
    <w:p>
      <w:pPr>
        <w:pStyle w:val="Heading2"/>
        <w:keepNext/>
      </w:pPr>
      <w:r>
        <w:t>5.6 Make ingestion a visible pipeline</w:t>
      </w:r>
    </w:p>
    <w:p>
      <w:r>
        <w:t>Document ingestion currently performs concurrent orchestration, deduplication, parsing, embedding, persistence, and indexing. Express that sequence as an application pipeline with named steps and explicit failure policy. Some steps may remain private methods on one service; the goal is not a microservice inside the process. The service should make clear whether indexing is transactional, retryable, or best-effort after persistence, and it should update the job through a JobService rather than exposing job-store mechanics to HTTP handlers.</w:t>
      </w:r>
    </w:p>
    <w:p>
      <w:pPr>
        <w:spacing w:after="160" w:line="280" w:lineRule="auto"/>
        <w:numPr>
          <w:ilvl w:val="0"/>
          <w:numId w:val="10"/>
        </w:numPr>
      </w:pPr>
      <w:r>
        <w:t>Normalize the source and validate supported file types and limits.</w:t>
      </w:r>
    </w:p>
    <w:p>
      <w:pPr>
        <w:spacing w:after="160" w:line="280" w:lineRule="auto"/>
        <w:numPr>
          <w:ilvl w:val="0"/>
          <w:numId w:val="10"/>
        </w:numPr>
      </w:pPr>
      <w:r>
        <w:t>Calculate identity/deduplication information and acquire the appropriate ingestion lock.</w:t>
      </w:r>
    </w:p>
    <w:p>
      <w:pPr>
        <w:spacing w:after="160" w:line="280" w:lineRule="auto"/>
        <w:numPr>
          <w:ilvl w:val="0"/>
          <w:numId w:val="10"/>
        </w:numPr>
      </w:pPr>
      <w:r>
        <w:t>Parse the document into a normalized content model.</w:t>
      </w:r>
    </w:p>
    <w:p>
      <w:pPr>
        <w:spacing w:after="160" w:line="280" w:lineRule="auto"/>
        <w:numPr>
          <w:ilvl w:val="0"/>
          <w:numId w:val="10"/>
        </w:numPr>
      </w:pPr>
      <w:r>
        <w:t>Chunk and embed content through the embedding port.</w:t>
      </w:r>
    </w:p>
    <w:p>
      <w:pPr>
        <w:spacing w:after="160" w:line="280" w:lineRule="auto"/>
        <w:numPr>
          <w:ilvl w:val="0"/>
          <w:numId w:val="10"/>
        </w:numPr>
      </w:pPr>
      <w:r>
        <w:t>Persist the file aggregate and normalized chunks through DocumentStore.</w:t>
      </w:r>
    </w:p>
    <w:p>
      <w:pPr>
        <w:spacing w:after="160" w:line="280" w:lineRule="auto"/>
        <w:numPr>
          <w:ilvl w:val="0"/>
          <w:numId w:val="10"/>
        </w:numPr>
      </w:pPr>
      <w:r>
        <w:t>Index search/graph records through SearchIndex according to an explicit retry/compensation policy.</w:t>
      </w:r>
    </w:p>
    <w:p>
      <w:pPr>
        <w:spacing w:after="160" w:line="280" w:lineRule="auto"/>
        <w:numPr>
          <w:ilvl w:val="0"/>
          <w:numId w:val="10"/>
        </w:numPr>
      </w:pPr>
      <w:r>
        <w:t>Publish progress and the final result through JobService, then release locks deterministically.</w:t>
      </w:r>
    </w:p>
    <w:p>
      <w:pPr>
        <w:pStyle w:val="Heading2"/>
        <w:keepNext/>
      </w:pPr>
      <w:r>
        <w:t>5.7 Move background-job lifecycle out of handlers</w:t>
      </w:r>
    </w:p>
    <w:p>
      <w:r>
        <w:t>The document processing handler currently creates job state, spawns work, manages lifecycle, and configures retention. Keep multipart extraction and request validation near the handler, then invoke JobService::start_document_ingestion. JobService owns job IDs, task spawning, progress publication, cancellation, terminal state, and retention. This reduces handler branching and makes job policy testable without constructing an HTTP request.</w:t>
      </w:r>
    </w:p>
    <w:p>
      <w:pPr>
        <w:pStyle w:val="Heading2"/>
        <w:keepNext/>
      </w:pPr>
      <w:r>
        <w:t>5.8 Use typed errors within layers; map once at HTTP</w:t>
      </w:r>
    </w:p>
    <w:p>
      <w:r>
        <w:t>AppError’s sanitization is a strength and should remain. Internally, use typed errors for store, gateway, and service failures. A DealServiceError can distinguish validation, missing deal, source unavailable, upstream rejection, and persistence failure without relying on error strings. The HTTP module maps service errors to AppError and appropriate status codes. Log structured internal detail at the boundary while returning stable, non-sensitive messages to clients.</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#[derive(thiserror::Error, Debug)]</w:t>
        <w:br/>
        <w:t>pub enum DealServiceError {</w:t>
        <w:br/>
        <w:t xml:space="preserve">    #[error('invalid deal input: {0}')]</w:t>
        <w:br/>
        <w:t xml:space="preserve">    Invalid(ValidationError),</w:t>
        <w:br/>
        <w:t xml:space="preserve">    #[error('deal not found')]</w:t>
        <w:br/>
        <w:t xml:space="preserve">    NotFound,</w:t>
        <w:br/>
        <w:t xml:space="preserve">    #[error('AI extraction failed')]</w:t>
        <w:br/>
        <w:t xml:space="preserve">    Extraction(#[from] AiGatewayError),</w:t>
        <w:br/>
        <w:t xml:space="preserve">    #[error('deal persistence failed')]</w:t>
        <w:br/>
        <w:t xml:space="preserve">    Store(#[from] DealStoreError),</w:t>
        <w:br/>
        <w:t>}</w:t>
        <w:br/>
        <w:br/>
        <w:t>impl From&lt;DealServiceError&gt; for AppError {</w:t>
        <w:br/>
        <w:t xml:space="preserve">    fn from(error: DealServiceError) -&gt; Self { /* one boundary mapping */ }</w:t>
        <w:br/>
        <w:t>}</w:t>
      </w:r>
    </w:p>
    <w:p>
      <w:pPr>
        <w:pStyle w:val="Heading2"/>
        <w:keepNext/>
      </w:pPr>
      <w:r>
        <w:t>5.9 What should remain concrete</w:t>
      </w:r>
    </w:p>
    <w:p>
      <w:r>
        <w:t>Do not introduce traits around every function. Keep pure parsers, small SQL builders, deterministic mapping functions, and one-implementation leaf utilities concrete. Introduce a port when it crosses an external boundary, needs a fake for application testing, has multiple runtime implementations, or represents a cohesive capability. This keeps the backend understandable and avoids “clean architecture” ceremony that merely relocates coupling.</w:t>
      </w:r>
    </w:p>
    <w:p>
      <w:pPr>
        <w:pStyle w:val="Heading1"/>
        <w:keepNext/>
      </w:pPr>
      <w:r>
        <w:t>6. Phased migration plan</w:t>
      </w:r>
    </w:p>
    <w:p>
      <w:r>
        <w:t>The sequence below is designed to reduce future refactoring cost early, keep pull requests reviewable, and preserve the current green baseline. Each phase produces a usable architecture improvement even if the next phase is delayed. The order deliberately avoids beginning with broad folder moves or the largest component rewrite.</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1500"/>
        <w:gridCol w:w="4680"/>
        <w:gridCol w:w="3180"/>
      </w:tblGrid>
      <w:tr>
        <w:trPr>
          <w:tblHeader w:val="true"/>
          <w:cantSplit/>
        </w:trPr>
        <w:tc>
          <w:tcPr>
            <w:tcW w:type="dxa" w:w="1500"/>
            <w:shd w:fill="F2F4F7"/>
            <w:tcMar>
              <w:top w:w="80" w:type="dxa"/>
              <w:start w:w="120" w:type="dxa"/>
              <w:bottom w:w="80" w:type="dxa"/>
              <w:end w:w="120" w:type="dxa"/>
            </w:tcMar>
            <w:vAlign w:val="center"/>
          </w:tcPr>
          <w:p>
            <w:pPr>
              <w:spacing w:after="0"/>
            </w:pPr>
            <w:r>
              <w:rPr>
                <w:b/>
                <w:color w:val="1F4D78"/>
                <w:sz w:val="18"/>
              </w:rPr>
              <w:t>Phase</w:t>
            </w:r>
          </w:p>
        </w:tc>
        <w:tc>
          <w:tcPr>
            <w:tcW w:type="dxa" w:w="4680"/>
            <w:shd w:fill="F2F4F7"/>
            <w:tcMar>
              <w:top w:w="80" w:type="dxa"/>
              <w:start w:w="120" w:type="dxa"/>
              <w:bottom w:w="80" w:type="dxa"/>
              <w:end w:w="120" w:type="dxa"/>
            </w:tcMar>
            <w:vAlign w:val="center"/>
          </w:tcPr>
          <w:p>
            <w:pPr>
              <w:spacing w:after="0"/>
            </w:pPr>
            <w:r>
              <w:rPr>
                <w:b/>
                <w:color w:val="1F4D78"/>
                <w:sz w:val="18"/>
              </w:rPr>
              <w:t>Primary work</w:t>
            </w:r>
          </w:p>
        </w:tc>
        <w:tc>
          <w:tcPr>
            <w:tcW w:type="dxa" w:w="3180"/>
            <w:shd w:fill="F2F4F7"/>
            <w:tcMar>
              <w:top w:w="80" w:type="dxa"/>
              <w:start w:w="120" w:type="dxa"/>
              <w:bottom w:w="80" w:type="dxa"/>
              <w:end w:w="120" w:type="dxa"/>
            </w:tcMar>
            <w:vAlign w:val="center"/>
          </w:tcPr>
          <w:p>
            <w:pPr>
              <w:spacing w:after="0"/>
            </w:pPr>
            <w:r>
              <w:rPr>
                <w:b/>
                <w:color w:val="1F4D78"/>
                <w:sz w:val="18"/>
              </w:rPr>
              <w:t>Exit condition</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0 — Guardrails</w:t>
            </w:r>
          </w:p>
        </w:tc>
        <w:tc>
          <w:tcPr>
            <w:tcW w:type="dxa" w:w="4680"/>
            <w:tcMar>
              <w:top w:w="80" w:type="dxa"/>
              <w:start w:w="120" w:type="dxa"/>
              <w:bottom w:w="80" w:type="dxa"/>
              <w:end w:w="120" w:type="dxa"/>
            </w:tcMar>
            <w:vAlign w:val="center"/>
          </w:tcPr>
          <w:p>
            <w:pPr>
              <w:spacing w:after="40" w:line="252" w:lineRule="auto"/>
            </w:pPr>
            <w:r>
              <w:rPr>
                <w:sz w:val="18"/>
              </w:rPr>
              <w:t>Record the target in an ADR; preserve baseline commands; define import-boundary rules and ownership.</w:t>
            </w:r>
          </w:p>
        </w:tc>
        <w:tc>
          <w:tcPr>
            <w:tcW w:type="dxa" w:w="3180"/>
            <w:tcMar>
              <w:top w:w="80" w:type="dxa"/>
              <w:start w:w="120" w:type="dxa"/>
              <w:bottom w:w="80" w:type="dxa"/>
              <w:end w:w="120" w:type="dxa"/>
            </w:tcMar>
            <w:vAlign w:val="center"/>
          </w:tcPr>
          <w:p>
            <w:pPr>
              <w:spacing w:after="40" w:line="252" w:lineRule="auto"/>
            </w:pPr>
            <w:r>
              <w:rPr>
                <w:sz w:val="18"/>
              </w:rPr>
              <w:t>Architecture intent and automated baselines are agreed and reproducible.</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1 — Transport seam</w:t>
            </w:r>
          </w:p>
        </w:tc>
        <w:tc>
          <w:tcPr>
            <w:tcW w:type="dxa" w:w="4680"/>
            <w:tcMar>
              <w:top w:w="80" w:type="dxa"/>
              <w:start w:w="120" w:type="dxa"/>
              <w:bottom w:w="80" w:type="dxa"/>
              <w:end w:w="120" w:type="dxa"/>
            </w:tcMar>
            <w:vAlign w:val="center"/>
          </w:tcPr>
          <w:p>
            <w:pPr>
              <w:spacing w:after="40" w:line="252" w:lineRule="auto"/>
            </w:pPr>
            <w:r>
              <w:rPr>
                <w:sz w:val="18"/>
              </w:rPr>
              <w:t>Introduce QuarryTransport, endpoint definitions, createQuarryApi, HTTP/Tauri adapters, and shared contract tests.</w:t>
            </w:r>
          </w:p>
        </w:tc>
        <w:tc>
          <w:tcPr>
            <w:tcW w:type="dxa" w:w="3180"/>
            <w:tcMar>
              <w:top w:w="80" w:type="dxa"/>
              <w:start w:w="120" w:type="dxa"/>
              <w:bottom w:w="80" w:type="dxa"/>
              <w:end w:w="120" w:type="dxa"/>
            </w:tcMar>
            <w:vAlign w:val="center"/>
          </w:tcPr>
          <w:p>
            <w:pPr>
              <w:spacing w:after="40" w:line="252" w:lineRule="auto"/>
            </w:pPr>
            <w:r>
              <w:rPr>
                <w:sz w:val="18"/>
              </w:rPr>
              <w:t>Endpoint mapping is single-source; existing QuarryApi consumers are unchanged.</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2 — Workspace boundary</w:t>
            </w:r>
          </w:p>
        </w:tc>
        <w:tc>
          <w:tcPr>
            <w:tcW w:type="dxa" w:w="4680"/>
            <w:tcMar>
              <w:top w:w="80" w:type="dxa"/>
              <w:start w:w="120" w:type="dxa"/>
              <w:bottom w:w="80" w:type="dxa"/>
              <w:end w:w="120" w:type="dxa"/>
            </w:tcMar>
            <w:vAlign w:val="center"/>
          </w:tcPr>
          <w:p>
            <w:pPr>
              <w:spacing w:after="40" w:line="252" w:lineRule="auto"/>
            </w:pPr>
            <w:r>
              <w:rPr>
                <w:sz w:val="18"/>
              </w:rPr>
              <w:t>Create nested /hub routes, WorkspaceProvider, fail-fast hook, root Suspense/error boundaries, and explicit provider lifetime.</w:t>
            </w:r>
          </w:p>
        </w:tc>
        <w:tc>
          <w:tcPr>
            <w:tcW w:type="dxa" w:w="3180"/>
            <w:tcMar>
              <w:top w:w="80" w:type="dxa"/>
              <w:start w:w="120" w:type="dxa"/>
              <w:bottom w:w="80" w:type="dxa"/>
              <w:end w:w="120" w:type="dxa"/>
            </w:tcMar>
            <w:vAlign w:val="center"/>
          </w:tcPr>
          <w:p>
            <w:pPr>
              <w:spacing w:after="40" w:line="252" w:lineRule="auto"/>
            </w:pPr>
            <w:r>
              <w:rPr>
                <w:sz w:val="18"/>
              </w:rPr>
              <w:t>Hub/deal navigation uses one scoped workspace contract without page-level runtime access.</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3 — Structural UI</w:t>
            </w:r>
          </w:p>
        </w:tc>
        <w:tc>
          <w:tcPr>
            <w:tcW w:type="dxa" w:w="4680"/>
            <w:tcMar>
              <w:top w:w="80" w:type="dxa"/>
              <w:start w:w="120" w:type="dxa"/>
              <w:bottom w:w="80" w:type="dxa"/>
              <w:end w:w="120" w:type="dxa"/>
            </w:tcMar>
            <w:vAlign w:val="center"/>
          </w:tcPr>
          <w:p>
            <w:pPr>
              <w:spacing w:after="40" w:line="252" w:lineRule="auto"/>
            </w:pPr>
            <w:r>
              <w:rPr>
                <w:sz w:val="18"/>
              </w:rPr>
              <w:t>Build Sidebar compound parts and explicit variants; split navigation/action semantics; add PDF compound internals with compatibility wrapper.</w:t>
            </w:r>
          </w:p>
        </w:tc>
        <w:tc>
          <w:tcPr>
            <w:tcW w:type="dxa" w:w="3180"/>
            <w:tcMar>
              <w:top w:w="80" w:type="dxa"/>
              <w:start w:w="120" w:type="dxa"/>
              <w:bottom w:w="80" w:type="dxa"/>
              <w:end w:w="120" w:type="dxa"/>
            </w:tcMar>
            <w:vAlign w:val="center"/>
          </w:tcPr>
          <w:p>
            <w:pPr>
              <w:spacing w:after="40" w:line="252" w:lineRule="auto"/>
            </w:pPr>
            <w:r>
              <w:rPr>
                <w:sz w:val="18"/>
              </w:rPr>
              <w:t>New product variants require composition, not new structural flags.</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4 — Feature workflows</w:t>
            </w:r>
          </w:p>
        </w:tc>
        <w:tc>
          <w:tcPr>
            <w:tcW w:type="dxa" w:w="4680"/>
            <w:tcMar>
              <w:top w:w="80" w:type="dxa"/>
              <w:start w:w="120" w:type="dxa"/>
              <w:bottom w:w="80" w:type="dxa"/>
              <w:end w:w="120" w:type="dxa"/>
            </w:tcMar>
            <w:vAlign w:val="center"/>
          </w:tcPr>
          <w:p>
            <w:pPr>
              <w:spacing w:after="40" w:line="252" w:lineRule="auto"/>
            </w:pPr>
            <w:r>
              <w:rPr>
                <w:sz w:val="18"/>
              </w:rPr>
              <w:t>Migrate Data Room first, then Summarize and Add Deal to reducer-backed providers and source strategies.</w:t>
            </w:r>
          </w:p>
        </w:tc>
        <w:tc>
          <w:tcPr>
            <w:tcW w:type="dxa" w:w="3180"/>
            <w:tcMar>
              <w:top w:w="80" w:type="dxa"/>
              <w:start w:w="120" w:type="dxa"/>
              <w:bottom w:w="80" w:type="dxa"/>
              <w:end w:w="120" w:type="dxa"/>
            </w:tcMar>
            <w:vAlign w:val="center"/>
          </w:tcPr>
          <w:p>
            <w:pPr>
              <w:spacing w:after="40" w:line="252" w:lineRule="auto"/>
            </w:pPr>
            <w:r>
              <w:rPr>
                <w:sz w:val="18"/>
              </w:rPr>
              <w:t>Workflow transitions have reducer tests and pages primarily compose view parts.</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5 — Backend root</w:t>
            </w:r>
          </w:p>
        </w:tc>
        <w:tc>
          <w:tcPr>
            <w:tcW w:type="dxa" w:w="4680"/>
            <w:tcMar>
              <w:top w:w="80" w:type="dxa"/>
              <w:start w:w="120" w:type="dxa"/>
              <w:bottom w:w="80" w:type="dxa"/>
              <w:end w:w="120" w:type="dxa"/>
            </w:tcMar>
            <w:vAlign w:val="center"/>
          </w:tcPr>
          <w:p>
            <w:pPr>
              <w:spacing w:after="40" w:line="252" w:lineRule="auto"/>
            </w:pPr>
            <w:r>
              <w:rPr>
                <w:sz w:val="18"/>
              </w:rPr>
              <w:t>Centralize AppConfig, inject shared HTTP client, construct services in bootstrap, slim AppState, and introduce initial DealStore/AiGateway ports.</w:t>
            </w:r>
          </w:p>
        </w:tc>
        <w:tc>
          <w:tcPr>
            <w:tcW w:type="dxa" w:w="3180"/>
            <w:tcMar>
              <w:top w:w="80" w:type="dxa"/>
              <w:start w:w="120" w:type="dxa"/>
              <w:bottom w:w="80" w:type="dxa"/>
              <w:end w:w="120" w:type="dxa"/>
            </w:tcMar>
            <w:vAlign w:val="center"/>
          </w:tcPr>
          <w:p>
            <w:pPr>
              <w:spacing w:after="40" w:line="252" w:lineRule="auto"/>
            </w:pPr>
            <w:r>
              <w:rPr>
                <w:sz w:val="18"/>
              </w:rPr>
              <w:t>No service reads AI/database environment settings; deal use cases run with fakes.</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6 — Ingestion boundaries</w:t>
            </w:r>
          </w:p>
        </w:tc>
        <w:tc>
          <w:tcPr>
            <w:tcW w:type="dxa" w:w="4680"/>
            <w:tcMar>
              <w:top w:w="80" w:type="dxa"/>
              <w:start w:w="120" w:type="dxa"/>
              <w:bottom w:w="80" w:type="dxa"/>
              <w:end w:w="120" w:type="dxa"/>
            </w:tcMar>
            <w:vAlign w:val="center"/>
          </w:tcPr>
          <w:p>
            <w:pPr>
              <w:spacing w:after="40" w:line="252" w:lineRule="auto"/>
            </w:pPr>
            <w:r>
              <w:rPr>
                <w:sz w:val="18"/>
              </w:rPr>
              <w:t>Split document storage/search adapters, create JobService, model ingestion pipeline, and add typed service errors.</w:t>
            </w:r>
          </w:p>
        </w:tc>
        <w:tc>
          <w:tcPr>
            <w:tcW w:type="dxa" w:w="3180"/>
            <w:tcMar>
              <w:top w:w="80" w:type="dxa"/>
              <w:start w:w="120" w:type="dxa"/>
              <w:bottom w:w="80" w:type="dxa"/>
              <w:end w:w="120" w:type="dxa"/>
            </w:tcMar>
            <w:vAlign w:val="center"/>
          </w:tcPr>
          <w:p>
            <w:pPr>
              <w:spacing w:after="40" w:line="252" w:lineRule="auto"/>
            </w:pPr>
            <w:r>
              <w:rPr>
                <w:sz w:val="18"/>
              </w:rPr>
              <w:t>HTTP handlers are thin; document use cases can be tested without live infrastructure.</w:t>
            </w:r>
          </w:p>
        </w:tc>
      </w:tr>
      <w:tr>
        <w:trPr>
          <w:cantSplit/>
        </w:trPr>
        <w:tc>
          <w:tcPr>
            <w:tcW w:type="dxa" w:w="1500"/>
            <w:shd w:fill="F4F8FB"/>
            <w:tcMar>
              <w:top w:w="80" w:type="dxa"/>
              <w:start w:w="120" w:type="dxa"/>
              <w:bottom w:w="80" w:type="dxa"/>
              <w:end w:w="120" w:type="dxa"/>
            </w:tcMar>
            <w:vAlign w:val="center"/>
          </w:tcPr>
          <w:p>
            <w:pPr>
              <w:spacing w:after="40" w:line="252" w:lineRule="auto"/>
            </w:pPr>
            <w:r>
              <w:rPr>
                <w:b/>
                <w:color w:val="1F4D78"/>
                <w:sz w:val="18"/>
              </w:rPr>
              <w:t>7 — Consolidation</w:t>
            </w:r>
          </w:p>
        </w:tc>
        <w:tc>
          <w:tcPr>
            <w:tcW w:type="dxa" w:w="4680"/>
            <w:tcMar>
              <w:top w:w="80" w:type="dxa"/>
              <w:start w:w="120" w:type="dxa"/>
              <w:bottom w:w="80" w:type="dxa"/>
              <w:end w:w="120" w:type="dxa"/>
            </w:tcMar>
            <w:vAlign w:val="center"/>
          </w:tcPr>
          <w:p>
            <w:pPr>
              <w:spacing w:after="40" w:line="252" w:lineRule="auto"/>
            </w:pPr>
            <w:r>
              <w:rPr>
                <w:sz w:val="18"/>
              </w:rPr>
              <w:t>Remove compatibility props/wrappers, finish feature public APIs, extend boundary checks, update documentation.</w:t>
            </w:r>
          </w:p>
        </w:tc>
        <w:tc>
          <w:tcPr>
            <w:tcW w:type="dxa" w:w="3180"/>
            <w:tcMar>
              <w:top w:w="80" w:type="dxa"/>
              <w:start w:w="120" w:type="dxa"/>
              <w:bottom w:w="80" w:type="dxa"/>
              <w:end w:w="120" w:type="dxa"/>
            </w:tcMar>
            <w:vAlign w:val="center"/>
          </w:tcPr>
          <w:p>
            <w:pPr>
              <w:spacing w:after="40" w:line="252" w:lineRule="auto"/>
            </w:pPr>
            <w:r>
              <w:rPr>
                <w:sz w:val="18"/>
              </w:rPr>
              <w:t>Legacy imports and duplicate mappings are gone; CI enforces the target boundaries.</w:t>
            </w:r>
          </w:p>
        </w:tc>
      </w:tr>
    </w:tbl>
    <w:p>
      <w:pPr>
        <w:spacing w:after="20"/>
      </w:pPr>
    </w:p>
    <w:p>
      <w:pPr>
        <w:pStyle w:val="Heading2"/>
        <w:keepNext/>
      </w:pPr>
      <w:r>
        <w:t>6.1 Recommended first five pull requests</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850"/>
        <w:gridCol w:w="4530"/>
        <w:gridCol w:w="3980"/>
      </w:tblGrid>
      <w:tr>
        <w:trPr>
          <w:tblHeader w:val="true"/>
          <w:cantSplit/>
        </w:trPr>
        <w:tc>
          <w:tcPr>
            <w:tcW w:type="dxa" w:w="850"/>
            <w:shd w:fill="F2F4F7"/>
            <w:tcMar>
              <w:top w:w="80" w:type="dxa"/>
              <w:start w:w="120" w:type="dxa"/>
              <w:bottom w:w="80" w:type="dxa"/>
              <w:end w:w="120" w:type="dxa"/>
            </w:tcMar>
            <w:vAlign w:val="center"/>
          </w:tcPr>
          <w:p>
            <w:pPr>
              <w:spacing w:after="0"/>
            </w:pPr>
            <w:r>
              <w:rPr>
                <w:b/>
                <w:color w:val="1F4D78"/>
                <w:sz w:val="18"/>
              </w:rPr>
              <w:t>PR</w:t>
            </w:r>
          </w:p>
        </w:tc>
        <w:tc>
          <w:tcPr>
            <w:tcW w:type="dxa" w:w="4530"/>
            <w:shd w:fill="F2F4F7"/>
            <w:tcMar>
              <w:top w:w="80" w:type="dxa"/>
              <w:start w:w="120" w:type="dxa"/>
              <w:bottom w:w="80" w:type="dxa"/>
              <w:end w:w="120" w:type="dxa"/>
            </w:tcMar>
            <w:vAlign w:val="center"/>
          </w:tcPr>
          <w:p>
            <w:pPr>
              <w:spacing w:after="0"/>
            </w:pPr>
            <w:r>
              <w:rPr>
                <w:b/>
                <w:color w:val="1F4D78"/>
                <w:sz w:val="18"/>
              </w:rPr>
              <w:t>Scope</w:t>
            </w:r>
          </w:p>
        </w:tc>
        <w:tc>
          <w:tcPr>
            <w:tcW w:type="dxa" w:w="3980"/>
            <w:shd w:fill="F2F4F7"/>
            <w:tcMar>
              <w:top w:w="80" w:type="dxa"/>
              <w:start w:w="120" w:type="dxa"/>
              <w:bottom w:w="80" w:type="dxa"/>
              <w:end w:w="120" w:type="dxa"/>
            </w:tcMar>
            <w:vAlign w:val="center"/>
          </w:tcPr>
          <w:p>
            <w:pPr>
              <w:spacing w:after="0"/>
            </w:pPr>
            <w:r>
              <w:rPr>
                <w:b/>
                <w:color w:val="1F4D78"/>
                <w:sz w:val="18"/>
              </w:rPr>
              <w:t>Review strategy and tests</w:t>
            </w:r>
          </w:p>
        </w:tc>
      </w:tr>
      <w:tr>
        <w:trPr>
          <w:cantSplit/>
        </w:trPr>
        <w:tc>
          <w:tcPr>
            <w:tcW w:type="dxa" w:w="850"/>
            <w:shd w:fill="F4F8FB"/>
            <w:tcMar>
              <w:top w:w="80" w:type="dxa"/>
              <w:start w:w="120" w:type="dxa"/>
              <w:bottom w:w="80" w:type="dxa"/>
              <w:end w:w="120" w:type="dxa"/>
            </w:tcMar>
            <w:vAlign w:val="center"/>
          </w:tcPr>
          <w:p>
            <w:pPr>
              <w:spacing w:after="40" w:line="252" w:lineRule="auto"/>
            </w:pPr>
            <w:r>
              <w:rPr>
                <w:b/>
                <w:color w:val="1F4D78"/>
                <w:sz w:val="18"/>
              </w:rPr>
              <w:t>PR 1</w:t>
            </w:r>
          </w:p>
        </w:tc>
        <w:tc>
          <w:tcPr>
            <w:tcW w:type="dxa" w:w="4530"/>
            <w:tcMar>
              <w:top w:w="80" w:type="dxa"/>
              <w:start w:w="120" w:type="dxa"/>
              <w:bottom w:w="80" w:type="dxa"/>
              <w:end w:w="120" w:type="dxa"/>
            </w:tcMar>
            <w:vAlign w:val="center"/>
          </w:tcPr>
          <w:p>
            <w:pPr>
              <w:spacing w:after="40" w:line="252" w:lineRule="auto"/>
            </w:pPr>
            <w:r>
              <w:rPr>
                <w:sz w:val="18"/>
              </w:rPr>
              <w:t>Add QuarryTransport and createQuarryApi; adapt both runtimes behind the unchanged QuarryApi interface.</w:t>
            </w:r>
          </w:p>
        </w:tc>
        <w:tc>
          <w:tcPr>
            <w:tcW w:type="dxa" w:w="3980"/>
            <w:tcMar>
              <w:top w:w="80" w:type="dxa"/>
              <w:start w:w="120" w:type="dxa"/>
              <w:bottom w:w="80" w:type="dxa"/>
              <w:end w:w="120" w:type="dxa"/>
            </w:tcMar>
            <w:vAlign w:val="center"/>
          </w:tcPr>
          <w:p>
            <w:pPr>
              <w:spacing w:after="40" w:line="252" w:lineRule="auto"/>
            </w:pPr>
            <w:r>
              <w:rPr>
                <w:sz w:val="18"/>
              </w:rPr>
              <w:t>Golden/fixture contract suite for endpoint specs and response decoding; run both type checks and boundary check.</w:t>
            </w:r>
          </w:p>
        </w:tc>
      </w:tr>
      <w:tr>
        <w:trPr>
          <w:cantSplit/>
        </w:trPr>
        <w:tc>
          <w:tcPr>
            <w:tcW w:type="dxa" w:w="850"/>
            <w:shd w:fill="F4F8FB"/>
            <w:tcMar>
              <w:top w:w="80" w:type="dxa"/>
              <w:start w:w="120" w:type="dxa"/>
              <w:bottom w:w="80" w:type="dxa"/>
              <w:end w:w="120" w:type="dxa"/>
            </w:tcMar>
            <w:vAlign w:val="center"/>
          </w:tcPr>
          <w:p>
            <w:pPr>
              <w:spacing w:after="40" w:line="252" w:lineRule="auto"/>
            </w:pPr>
            <w:r>
              <w:rPr>
                <w:b/>
                <w:color w:val="1F4D78"/>
                <w:sz w:val="18"/>
              </w:rPr>
              <w:t>PR 2</w:t>
            </w:r>
          </w:p>
        </w:tc>
        <w:tc>
          <w:tcPr>
            <w:tcW w:type="dxa" w:w="4530"/>
            <w:tcMar>
              <w:top w:w="80" w:type="dxa"/>
              <w:start w:w="120" w:type="dxa"/>
              <w:bottom w:w="80" w:type="dxa"/>
              <w:end w:w="120" w:type="dxa"/>
            </w:tcMar>
            <w:vAlign w:val="center"/>
          </w:tcPr>
          <w:p>
            <w:pPr>
              <w:spacing w:after="40" w:line="252" w:lineRule="auto"/>
            </w:pPr>
            <w:r>
              <w:rPr>
                <w:sz w:val="18"/>
              </w:rPr>
              <w:t>Introduce WorkspaceProvider and nested workspace routes; keep page markup unchanged where possible.</w:t>
            </w:r>
          </w:p>
        </w:tc>
        <w:tc>
          <w:tcPr>
            <w:tcW w:type="dxa" w:w="3980"/>
            <w:tcMar>
              <w:top w:w="80" w:type="dxa"/>
              <w:start w:w="120" w:type="dxa"/>
              <w:bottom w:w="80" w:type="dxa"/>
              <w:end w:w="120" w:type="dxa"/>
            </w:tcMar>
            <w:vAlign w:val="center"/>
          </w:tcPr>
          <w:p>
            <w:pPr>
              <w:spacing w:after="40" w:line="252" w:lineRule="auto"/>
            </w:pPr>
            <w:r>
              <w:rPr>
                <w:sz w:val="18"/>
              </w:rPr>
              <w:t>Provider lifecycle/navigation tests; prove missing provider fails clearly; all frontend tests.</w:t>
            </w:r>
          </w:p>
        </w:tc>
      </w:tr>
      <w:tr>
        <w:trPr>
          <w:cantSplit/>
        </w:trPr>
        <w:tc>
          <w:tcPr>
            <w:tcW w:type="dxa" w:w="850"/>
            <w:shd w:fill="F4F8FB"/>
            <w:tcMar>
              <w:top w:w="80" w:type="dxa"/>
              <w:start w:w="120" w:type="dxa"/>
              <w:bottom w:w="80" w:type="dxa"/>
              <w:end w:w="120" w:type="dxa"/>
            </w:tcMar>
            <w:vAlign w:val="center"/>
          </w:tcPr>
          <w:p>
            <w:pPr>
              <w:spacing w:after="40" w:line="252" w:lineRule="auto"/>
            </w:pPr>
            <w:r>
              <w:rPr>
                <w:b/>
                <w:color w:val="1F4D78"/>
                <w:sz w:val="18"/>
              </w:rPr>
              <w:t>PR 3</w:t>
            </w:r>
          </w:p>
        </w:tc>
        <w:tc>
          <w:tcPr>
            <w:tcW w:type="dxa" w:w="4530"/>
            <w:tcMar>
              <w:top w:w="80" w:type="dxa"/>
              <w:start w:w="120" w:type="dxa"/>
              <w:bottom w:w="80" w:type="dxa"/>
              <w:end w:w="120" w:type="dxa"/>
            </w:tcMar>
            <w:vAlign w:val="center"/>
          </w:tcPr>
          <w:p>
            <w:pPr>
              <w:spacing w:after="40" w:line="252" w:lineRule="auto"/>
            </w:pPr>
            <w:r>
              <w:rPr>
                <w:sz w:val="18"/>
              </w:rPr>
              <w:t>Add Sidebar parts, HomeSidebar, and DealRoomSidebar; migrate call sites; retain wrapper temporarily if necessary.</w:t>
            </w:r>
          </w:p>
        </w:tc>
        <w:tc>
          <w:tcPr>
            <w:tcW w:type="dxa" w:w="3980"/>
            <w:tcMar>
              <w:top w:w="80" w:type="dxa"/>
              <w:start w:w="120" w:type="dxa"/>
              <w:bottom w:w="80" w:type="dxa"/>
              <w:end w:w="120" w:type="dxa"/>
            </w:tcMar>
            <w:vAlign w:val="center"/>
          </w:tcPr>
          <w:p>
            <w:pPr>
              <w:spacing w:after="40" w:line="252" w:lineRule="auto"/>
            </w:pPr>
            <w:r>
              <w:rPr>
                <w:sz w:val="18"/>
              </w:rPr>
              <w:t>Keyboard/route semantics for NavItem versus ActionItem; visual snapshots or focused component tests.</w:t>
            </w:r>
          </w:p>
        </w:tc>
      </w:tr>
      <w:tr>
        <w:trPr>
          <w:cantSplit/>
        </w:trPr>
        <w:tc>
          <w:tcPr>
            <w:tcW w:type="dxa" w:w="850"/>
            <w:shd w:fill="F4F8FB"/>
            <w:tcMar>
              <w:top w:w="80" w:type="dxa"/>
              <w:start w:w="120" w:type="dxa"/>
              <w:bottom w:w="80" w:type="dxa"/>
              <w:end w:w="120" w:type="dxa"/>
            </w:tcMar>
            <w:vAlign w:val="center"/>
          </w:tcPr>
          <w:p>
            <w:pPr>
              <w:spacing w:after="40" w:line="252" w:lineRule="auto"/>
            </w:pPr>
            <w:r>
              <w:rPr>
                <w:b/>
                <w:color w:val="1F4D78"/>
                <w:sz w:val="18"/>
              </w:rPr>
              <w:t>PR 4</w:t>
            </w:r>
          </w:p>
        </w:tc>
        <w:tc>
          <w:tcPr>
            <w:tcW w:type="dxa" w:w="4530"/>
            <w:tcMar>
              <w:top w:w="80" w:type="dxa"/>
              <w:start w:w="120" w:type="dxa"/>
              <w:bottom w:w="80" w:type="dxa"/>
              <w:end w:w="120" w:type="dxa"/>
            </w:tcMar>
            <w:vAlign w:val="center"/>
          </w:tcPr>
          <w:p>
            <w:pPr>
              <w:spacing w:after="40" w:line="252" w:lineRule="auto"/>
            </w:pPr>
            <w:r>
              <w:rPr>
                <w:sz w:val="18"/>
              </w:rPr>
              <w:t>Extract Data Room reducer/provider and request cancellation; split source, preview, panel, and overlay views.</w:t>
            </w:r>
          </w:p>
        </w:tc>
        <w:tc>
          <w:tcPr>
            <w:tcW w:type="dxa" w:w="3980"/>
            <w:tcMar>
              <w:top w:w="80" w:type="dxa"/>
              <w:start w:w="120" w:type="dxa"/>
              <w:bottom w:w="80" w:type="dxa"/>
              <w:end w:w="120" w:type="dxa"/>
            </w:tcMar>
            <w:vAlign w:val="center"/>
          </w:tcPr>
          <w:p>
            <w:pPr>
              <w:spacing w:after="40" w:line="252" w:lineRule="auto"/>
            </w:pPr>
            <w:r>
              <w:rPr>
                <w:sz w:val="18"/>
              </w:rPr>
              <w:t>Transition table tests, stale-request test, and component states for empty/loading/error/ready.</w:t>
            </w:r>
          </w:p>
        </w:tc>
      </w:tr>
      <w:tr>
        <w:trPr>
          <w:cantSplit/>
        </w:trPr>
        <w:tc>
          <w:tcPr>
            <w:tcW w:type="dxa" w:w="850"/>
            <w:shd w:fill="F4F8FB"/>
            <w:tcMar>
              <w:top w:w="80" w:type="dxa"/>
              <w:start w:w="120" w:type="dxa"/>
              <w:bottom w:w="80" w:type="dxa"/>
              <w:end w:w="120" w:type="dxa"/>
            </w:tcMar>
            <w:vAlign w:val="center"/>
          </w:tcPr>
          <w:p>
            <w:pPr>
              <w:spacing w:after="40" w:line="252" w:lineRule="auto"/>
            </w:pPr>
            <w:r>
              <w:rPr>
                <w:b/>
                <w:color w:val="1F4D78"/>
                <w:sz w:val="18"/>
              </w:rPr>
              <w:t>PR 5</w:t>
            </w:r>
          </w:p>
        </w:tc>
        <w:tc>
          <w:tcPr>
            <w:tcW w:type="dxa" w:w="4530"/>
            <w:tcMar>
              <w:top w:w="80" w:type="dxa"/>
              <w:start w:w="120" w:type="dxa"/>
              <w:bottom w:w="80" w:type="dxa"/>
              <w:end w:w="120" w:type="dxa"/>
            </w:tcMar>
            <w:vAlign w:val="center"/>
          </w:tcPr>
          <w:p>
            <w:pPr>
              <w:spacing w:after="40" w:line="252" w:lineRule="auto"/>
            </w:pPr>
            <w:r>
              <w:rPr>
                <w:sz w:val="18"/>
              </w:rPr>
              <w:t>Create AppConfig/bootstrap, inject one reqwest client, slim AppState, and port DealService first.</w:t>
            </w:r>
          </w:p>
        </w:tc>
        <w:tc>
          <w:tcPr>
            <w:tcW w:type="dxa" w:w="3980"/>
            <w:tcMar>
              <w:top w:w="80" w:type="dxa"/>
              <w:start w:w="120" w:type="dxa"/>
              <w:bottom w:w="80" w:type="dxa"/>
              <w:end w:w="120" w:type="dxa"/>
            </w:tcMar>
            <w:vAlign w:val="center"/>
          </w:tcPr>
          <w:p>
            <w:pPr>
              <w:spacing w:after="40" w:line="252" w:lineRule="auto"/>
            </w:pPr>
            <w:r>
              <w:rPr>
                <w:sz w:val="18"/>
              </w:rPr>
              <w:t>Fake DealStore/AiGateway service tests; Axum handler test; all 145+ backend tests.</w:t>
            </w:r>
          </w:p>
        </w:tc>
      </w:tr>
    </w:tbl>
    <w:p>
      <w:pPr>
        <w:spacing w:after="20"/>
      </w:pPr>
    </w:p>
    <w:p>
      <w:pPr>
        <w:pStyle w:val="Heading2"/>
        <w:keepNext/>
      </w:pPr>
      <w:r>
        <w:t>6.2 Detailed phase guidance</w:t>
      </w:r>
    </w:p>
    <w:p>
      <w:pPr>
        <w:pStyle w:val="Heading3"/>
        <w:keepNext/>
      </w:pPr>
      <w:r>
        <w:t>Phase 0: write the rules before moving code</w:t>
      </w:r>
    </w:p>
    <w:p>
      <w:r>
        <w:t>Add an ADR that defines the four composition axes and explicitly records non-goals: no framework rewrite, no mandatory global state library, no trait per function, and no simultaneous migration of every feature. Capture the exact verification commands that currently pass. Extend the existing runtime boundary check rather than introducing a separate linter if it can express the new rules.</w:t>
      </w:r>
    </w:p>
    <w:p>
      <w:pPr>
        <w:pStyle w:val="Heading3"/>
        <w:keepNext/>
      </w:pPr>
      <w:r>
        <w:t>Phase 1: eliminate endpoint duplication without touching product UI</w:t>
      </w:r>
    </w:p>
    <w:p>
      <w:r>
        <w:t>Build endpoint specs and transport adapters behind the existing QuarryApi exports. Convert one endpoint family at a time. The compatibility surface is the existing interface, so feature code should see little or no diff. Contract fixtures should record method, path, headers/body shape, and decoded result. Special cases such as multipart upload, binary preview, or event subscription should be explicit transport capabilities rather than escape-hatch target checks.</w:t>
      </w:r>
    </w:p>
    <w:p>
      <w:pPr>
        <w:pStyle w:val="Heading3"/>
        <w:keepNext/>
      </w:pPr>
      <w:r>
        <w:t>Phase 2: establish provider lifetime through routes</w:t>
      </w:r>
    </w:p>
    <w:p>
      <w:r>
        <w:t>Introduce the nested route without simultaneously redesigning every page. Move workspace loading/session orchestration from WorkspaceHomeShell into WorkspaceProvider. Add a provider test with a fake QuarryApi. Once the route boundary is stable, child features can rely on workspace state without prop threading or repeated loading.</w:t>
      </w:r>
    </w:p>
    <w:p>
      <w:pPr>
        <w:pStyle w:val="Heading3"/>
        <w:keepNext/>
      </w:pPr>
      <w:r>
        <w:t>Phase 3: prove the UI composition pattern on Sidebar</w:t>
      </w:r>
    </w:p>
    <w:p>
      <w:r>
        <w:t>Sidebar is a smaller, product-visible proof of the compound/variant pattern before PDF Viewer. Preserve CSS and DOM semantics where possible. Split NavItem and ActionItem first, then introduce Provider/Root/Header/Navigation/Profile parts, then reimplement the existing named variants. Measure success by removal of structural props and label-based behavior, not by the number of new component files.</w:t>
      </w:r>
    </w:p>
    <w:p>
      <w:pPr>
        <w:pStyle w:val="Heading3"/>
        <w:keepNext/>
      </w:pPr>
      <w:r>
        <w:t>Phase 4: migrate feature workflows one at a time</w:t>
      </w:r>
    </w:p>
    <w:p>
      <w:r>
        <w:t>Data Room should come first because its related asynchronous state and stale-response risk are clear. Summarize follows because the source union removes a four-way dispatch. Add Deal follows with a reducer for the two-step persistence flow. Avoid a generic workflow framework; reuse only small primitives such as Loadable&lt;T&gt;, request IDs, and the state/actions/meta contract when they remain semantically aligned.</w:t>
      </w:r>
    </w:p>
    <w:p>
      <w:pPr>
        <w:pStyle w:val="Heading3"/>
        <w:keepNext/>
      </w:pPr>
      <w:r>
        <w:t>Phase 5: make dependency construction explicit</w:t>
      </w:r>
    </w:p>
    <w:p>
      <w:r>
        <w:t>Centralize configuration before defining many ports. Injecting the shared HTTP client and moving environment reads often removes hidden dependencies with little domain redesign. Port DealService first because it has a focused CRUD/extraction boundary. Once the approach is comfortable, apply it to document ingestion, where splitting storage and search will yield the most benefit.</w:t>
      </w:r>
    </w:p>
    <w:p>
      <w:pPr>
        <w:pStyle w:val="Heading2"/>
        <w:keepNext/>
      </w:pPr>
      <w:r>
        <w:t>6.3 Compatibility and removal ledger</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750"/>
        <w:gridCol w:w="3310"/>
        <w:gridCol w:w="3300"/>
      </w:tblGrid>
      <w:tr>
        <w:trPr>
          <w:tblHeader w:val="true"/>
          <w:cantSplit/>
        </w:trPr>
        <w:tc>
          <w:tcPr>
            <w:tcW w:type="dxa" w:w="2750"/>
            <w:shd w:fill="F2F4F7"/>
            <w:tcMar>
              <w:top w:w="80" w:type="dxa"/>
              <w:start w:w="120" w:type="dxa"/>
              <w:bottom w:w="80" w:type="dxa"/>
              <w:end w:w="120" w:type="dxa"/>
            </w:tcMar>
            <w:vAlign w:val="center"/>
          </w:tcPr>
          <w:p>
            <w:pPr>
              <w:spacing w:after="0"/>
            </w:pPr>
            <w:r>
              <w:rPr>
                <w:b/>
                <w:color w:val="1F4D78"/>
                <w:sz w:val="18"/>
              </w:rPr>
              <w:t>Temporary compatibility</w:t>
            </w:r>
          </w:p>
        </w:tc>
        <w:tc>
          <w:tcPr>
            <w:tcW w:type="dxa" w:w="3310"/>
            <w:shd w:fill="F2F4F7"/>
            <w:tcMar>
              <w:top w:w="80" w:type="dxa"/>
              <w:start w:w="120" w:type="dxa"/>
              <w:bottom w:w="80" w:type="dxa"/>
              <w:end w:w="120" w:type="dxa"/>
            </w:tcMar>
            <w:vAlign w:val="center"/>
          </w:tcPr>
          <w:p>
            <w:pPr>
              <w:spacing w:after="0"/>
            </w:pPr>
            <w:r>
              <w:rPr>
                <w:b/>
                <w:color w:val="1F4D78"/>
                <w:sz w:val="18"/>
              </w:rPr>
              <w:t>Purpose</w:t>
            </w:r>
          </w:p>
        </w:tc>
        <w:tc>
          <w:tcPr>
            <w:tcW w:type="dxa" w:w="3300"/>
            <w:shd w:fill="F2F4F7"/>
            <w:tcMar>
              <w:top w:w="80" w:type="dxa"/>
              <w:start w:w="120" w:type="dxa"/>
              <w:bottom w:w="80" w:type="dxa"/>
              <w:end w:w="120" w:type="dxa"/>
            </w:tcMar>
            <w:vAlign w:val="center"/>
          </w:tcPr>
          <w:p>
            <w:pPr>
              <w:spacing w:after="0"/>
            </w:pPr>
            <w:r>
              <w:rPr>
                <w:b/>
                <w:color w:val="1F4D78"/>
                <w:sz w:val="18"/>
              </w:rPr>
              <w:t>Removal trigger</w:t>
            </w:r>
          </w:p>
        </w:tc>
      </w:tr>
      <w:tr>
        <w:trPr>
          <w:cantSplit/>
        </w:trPr>
        <w:tc>
          <w:tcPr>
            <w:tcW w:type="dxa" w:w="2750"/>
            <w:shd w:fill="F4F8FB"/>
            <w:tcMar>
              <w:top w:w="80" w:type="dxa"/>
              <w:start w:w="120" w:type="dxa"/>
              <w:bottom w:w="80" w:type="dxa"/>
              <w:end w:w="120" w:type="dxa"/>
            </w:tcMar>
            <w:vAlign w:val="center"/>
          </w:tcPr>
          <w:p>
            <w:pPr>
              <w:spacing w:after="40" w:line="252" w:lineRule="auto"/>
            </w:pPr>
            <w:r>
              <w:rPr>
                <w:b/>
                <w:color w:val="1F4D78"/>
                <w:sz w:val="18"/>
              </w:rPr>
              <w:t>Current QuarryApi exports</w:t>
            </w:r>
          </w:p>
        </w:tc>
        <w:tc>
          <w:tcPr>
            <w:tcW w:type="dxa" w:w="3310"/>
            <w:tcMar>
              <w:top w:w="80" w:type="dxa"/>
              <w:start w:w="120" w:type="dxa"/>
              <w:bottom w:w="80" w:type="dxa"/>
              <w:end w:w="120" w:type="dxa"/>
            </w:tcMar>
            <w:vAlign w:val="center"/>
          </w:tcPr>
          <w:p>
            <w:pPr>
              <w:spacing w:after="40" w:line="252" w:lineRule="auto"/>
            </w:pPr>
            <w:r>
              <w:rPr>
                <w:sz w:val="18"/>
              </w:rPr>
              <w:t>Keep every feature call site stable while construction changes.</w:t>
            </w:r>
          </w:p>
        </w:tc>
        <w:tc>
          <w:tcPr>
            <w:tcW w:type="dxa" w:w="3300"/>
            <w:tcMar>
              <w:top w:w="80" w:type="dxa"/>
              <w:start w:w="120" w:type="dxa"/>
              <w:bottom w:w="80" w:type="dxa"/>
              <w:end w:w="120" w:type="dxa"/>
            </w:tcMar>
            <w:vAlign w:val="center"/>
          </w:tcPr>
          <w:p>
            <w:pPr>
              <w:spacing w:after="40" w:line="252" w:lineRule="auto"/>
            </w:pPr>
            <w:r>
              <w:rPr>
                <w:sz w:val="18"/>
              </w:rPr>
              <w:t>Both runtimes use createQuarryApi and contract tests cover all methods.</w:t>
            </w:r>
          </w:p>
        </w:tc>
      </w:tr>
      <w:tr>
        <w:trPr>
          <w:cantSplit/>
        </w:trPr>
        <w:tc>
          <w:tcPr>
            <w:tcW w:type="dxa" w:w="2750"/>
            <w:shd w:fill="F4F8FB"/>
            <w:tcMar>
              <w:top w:w="80" w:type="dxa"/>
              <w:start w:w="120" w:type="dxa"/>
              <w:bottom w:w="80" w:type="dxa"/>
              <w:end w:w="120" w:type="dxa"/>
            </w:tcMar>
            <w:vAlign w:val="center"/>
          </w:tcPr>
          <w:p>
            <w:pPr>
              <w:spacing w:after="40" w:line="252" w:lineRule="auto"/>
            </w:pPr>
            <w:r>
              <w:rPr>
                <w:b/>
                <w:color w:val="1F4D78"/>
                <w:sz w:val="18"/>
              </w:rPr>
              <w:t>WorkspaceSidebar mode wrapper</w:t>
            </w:r>
          </w:p>
        </w:tc>
        <w:tc>
          <w:tcPr>
            <w:tcW w:type="dxa" w:w="3310"/>
            <w:tcMar>
              <w:top w:w="80" w:type="dxa"/>
              <w:start w:w="120" w:type="dxa"/>
              <w:bottom w:w="80" w:type="dxa"/>
              <w:end w:w="120" w:type="dxa"/>
            </w:tcMar>
            <w:vAlign w:val="center"/>
          </w:tcPr>
          <w:p>
            <w:pPr>
              <w:spacing w:after="40" w:line="252" w:lineRule="auto"/>
            </w:pPr>
            <w:r>
              <w:rPr>
                <w:sz w:val="18"/>
              </w:rPr>
              <w:t>Allow incremental call-site migration to explicit variants.</w:t>
            </w:r>
          </w:p>
        </w:tc>
        <w:tc>
          <w:tcPr>
            <w:tcW w:type="dxa" w:w="3300"/>
            <w:tcMar>
              <w:top w:w="80" w:type="dxa"/>
              <w:start w:w="120" w:type="dxa"/>
              <w:bottom w:w="80" w:type="dxa"/>
              <w:end w:w="120" w:type="dxa"/>
            </w:tcMar>
            <w:vAlign w:val="center"/>
          </w:tcPr>
          <w:p>
            <w:pPr>
              <w:spacing w:after="40" w:line="252" w:lineRule="auto"/>
            </w:pPr>
            <w:r>
              <w:rPr>
                <w:sz w:val="18"/>
              </w:rPr>
              <w:t>No caller uses mode or optional variant-only props.</w:t>
            </w:r>
          </w:p>
        </w:tc>
      </w:tr>
      <w:tr>
        <w:trPr>
          <w:cantSplit/>
        </w:trPr>
        <w:tc>
          <w:tcPr>
            <w:tcW w:type="dxa" w:w="2750"/>
            <w:shd w:fill="F4F8FB"/>
            <w:tcMar>
              <w:top w:w="80" w:type="dxa"/>
              <w:start w:w="120" w:type="dxa"/>
              <w:bottom w:w="80" w:type="dxa"/>
              <w:end w:w="120" w:type="dxa"/>
            </w:tcMar>
            <w:vAlign w:val="center"/>
          </w:tcPr>
          <w:p>
            <w:pPr>
              <w:spacing w:after="40" w:line="252" w:lineRule="auto"/>
            </w:pPr>
            <w:r>
              <w:rPr>
                <w:b/>
                <w:color w:val="1F4D78"/>
                <w:sz w:val="18"/>
              </w:rPr>
              <w:t>PdfViewer prop facade</w:t>
            </w:r>
          </w:p>
        </w:tc>
        <w:tc>
          <w:tcPr>
            <w:tcW w:type="dxa" w:w="3310"/>
            <w:tcMar>
              <w:top w:w="80" w:type="dxa"/>
              <w:start w:w="120" w:type="dxa"/>
              <w:bottom w:w="80" w:type="dxa"/>
              <w:end w:w="120" w:type="dxa"/>
            </w:tcMar>
            <w:vAlign w:val="center"/>
          </w:tcPr>
          <w:p>
            <w:pPr>
              <w:spacing w:after="40" w:line="252" w:lineRule="auto"/>
            </w:pPr>
            <w:r>
              <w:rPr>
                <w:sz w:val="18"/>
              </w:rPr>
              <w:t>Map toolbar/drag/drop/download/print options into compound parts.</w:t>
            </w:r>
          </w:p>
        </w:tc>
        <w:tc>
          <w:tcPr>
            <w:tcW w:type="dxa" w:w="3300"/>
            <w:tcMar>
              <w:top w:w="80" w:type="dxa"/>
              <w:start w:w="120" w:type="dxa"/>
              <w:bottom w:w="80" w:type="dxa"/>
              <w:end w:w="120" w:type="dxa"/>
            </w:tcMar>
            <w:vAlign w:val="center"/>
          </w:tcPr>
          <w:p>
            <w:pPr>
              <w:spacing w:after="40" w:line="252" w:lineRule="auto"/>
            </w:pPr>
            <w:r>
              <w:rPr>
                <w:sz w:val="18"/>
              </w:rPr>
              <w:t>Every product surface imports a named preset or composes parts directly.</w:t>
            </w:r>
          </w:p>
        </w:tc>
      </w:tr>
      <w:tr>
        <w:trPr>
          <w:cantSplit/>
        </w:trPr>
        <w:tc>
          <w:tcPr>
            <w:tcW w:type="dxa" w:w="2750"/>
            <w:shd w:fill="F4F8FB"/>
            <w:tcMar>
              <w:top w:w="80" w:type="dxa"/>
              <w:start w:w="120" w:type="dxa"/>
              <w:bottom w:w="80" w:type="dxa"/>
              <w:end w:w="120" w:type="dxa"/>
            </w:tcMar>
            <w:vAlign w:val="center"/>
          </w:tcPr>
          <w:p>
            <w:pPr>
              <w:spacing w:after="40" w:line="252" w:lineRule="auto"/>
            </w:pPr>
            <w:r>
              <w:rPr>
                <w:b/>
                <w:color w:val="1F4D78"/>
                <w:sz w:val="18"/>
              </w:rPr>
              <w:t>Repository free functions</w:t>
            </w:r>
          </w:p>
        </w:tc>
        <w:tc>
          <w:tcPr>
            <w:tcW w:type="dxa" w:w="3310"/>
            <w:tcMar>
              <w:top w:w="80" w:type="dxa"/>
              <w:start w:w="120" w:type="dxa"/>
              <w:bottom w:w="80" w:type="dxa"/>
              <w:end w:w="120" w:type="dxa"/>
            </w:tcMar>
            <w:vAlign w:val="center"/>
          </w:tcPr>
          <w:p>
            <w:pPr>
              <w:spacing w:after="40" w:line="252" w:lineRule="auto"/>
            </w:pPr>
            <w:r>
              <w:rPr>
                <w:sz w:val="18"/>
              </w:rPr>
              <w:t>Delegate to new store structs during service migration.</w:t>
            </w:r>
          </w:p>
        </w:tc>
        <w:tc>
          <w:tcPr>
            <w:tcW w:type="dxa" w:w="3300"/>
            <w:tcMar>
              <w:top w:w="80" w:type="dxa"/>
              <w:start w:w="120" w:type="dxa"/>
              <w:bottom w:w="80" w:type="dxa"/>
              <w:end w:w="120" w:type="dxa"/>
            </w:tcMar>
            <w:vAlign w:val="center"/>
          </w:tcPr>
          <w:p>
            <w:pPr>
              <w:spacing w:after="40" w:line="252" w:lineRule="auto"/>
            </w:pPr>
            <w:r>
              <w:rPr>
                <w:sz w:val="18"/>
              </w:rPr>
              <w:t>Handlers and services depend only on the new service/store APIs.</w:t>
            </w:r>
          </w:p>
        </w:tc>
      </w:tr>
    </w:tbl>
    <w:p>
      <w:pPr>
        <w:spacing w:after="20"/>
      </w:pPr>
    </w:p>
    <w:p>
      <w:pPr>
        <w:pStyle w:val="Heading1"/>
        <w:keepNext/>
      </w:pPr>
      <w:r>
        <w:t>7. Testing and architecture enforcement</w:t>
      </w:r>
    </w:p>
    <w:p>
      <w:pPr>
        <w:pStyle w:val="Heading2"/>
        <w:keepNext/>
      </w:pPr>
      <w:r>
        <w:t>7.1 Test the contracts at their natural seams</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1900"/>
        <w:gridCol w:w="2500"/>
        <w:gridCol w:w="4960"/>
      </w:tblGrid>
      <w:tr>
        <w:trPr>
          <w:tblHeader w:val="true"/>
          <w:cantSplit/>
        </w:trPr>
        <w:tc>
          <w:tcPr>
            <w:tcW w:type="dxa" w:w="1900"/>
            <w:shd w:fill="F2F4F7"/>
            <w:tcMar>
              <w:top w:w="80" w:type="dxa"/>
              <w:start w:w="120" w:type="dxa"/>
              <w:bottom w:w="80" w:type="dxa"/>
              <w:end w:w="120" w:type="dxa"/>
            </w:tcMar>
            <w:vAlign w:val="center"/>
          </w:tcPr>
          <w:p>
            <w:pPr>
              <w:spacing w:after="0"/>
            </w:pPr>
            <w:r>
              <w:rPr>
                <w:b/>
                <w:color w:val="1F4D78"/>
                <w:sz w:val="18"/>
              </w:rPr>
              <w:t>Layer</w:t>
            </w:r>
          </w:p>
        </w:tc>
        <w:tc>
          <w:tcPr>
            <w:tcW w:type="dxa" w:w="2500"/>
            <w:shd w:fill="F2F4F7"/>
            <w:tcMar>
              <w:top w:w="80" w:type="dxa"/>
              <w:start w:w="120" w:type="dxa"/>
              <w:bottom w:w="80" w:type="dxa"/>
              <w:end w:w="120" w:type="dxa"/>
            </w:tcMar>
            <w:vAlign w:val="center"/>
          </w:tcPr>
          <w:p>
            <w:pPr>
              <w:spacing w:after="0"/>
            </w:pPr>
            <w:r>
              <w:rPr>
                <w:b/>
                <w:color w:val="1F4D78"/>
                <w:sz w:val="18"/>
              </w:rPr>
              <w:t>Test style</w:t>
            </w:r>
          </w:p>
        </w:tc>
        <w:tc>
          <w:tcPr>
            <w:tcW w:type="dxa" w:w="4960"/>
            <w:shd w:fill="F2F4F7"/>
            <w:tcMar>
              <w:top w:w="80" w:type="dxa"/>
              <w:start w:w="120" w:type="dxa"/>
              <w:bottom w:w="80" w:type="dxa"/>
              <w:end w:w="120" w:type="dxa"/>
            </w:tcMar>
            <w:vAlign w:val="center"/>
          </w:tcPr>
          <w:p>
            <w:pPr>
              <w:spacing w:after="0"/>
            </w:pPr>
            <w:r>
              <w:rPr>
                <w:b/>
                <w:color w:val="1F4D78"/>
                <w:sz w:val="18"/>
              </w:rPr>
              <w:t>Key assertions</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API factory</w:t>
            </w:r>
          </w:p>
        </w:tc>
        <w:tc>
          <w:tcPr>
            <w:tcW w:type="dxa" w:w="2500"/>
            <w:tcMar>
              <w:top w:w="80" w:type="dxa"/>
              <w:start w:w="120" w:type="dxa"/>
              <w:bottom w:w="80" w:type="dxa"/>
              <w:end w:w="120" w:type="dxa"/>
            </w:tcMar>
            <w:vAlign w:val="center"/>
          </w:tcPr>
          <w:p>
            <w:pPr>
              <w:spacing w:after="40" w:line="252" w:lineRule="auto"/>
            </w:pPr>
            <w:r>
              <w:rPr>
                <w:sz w:val="18"/>
              </w:rPr>
              <w:t>Transport fixture / contract test</w:t>
            </w:r>
          </w:p>
        </w:tc>
        <w:tc>
          <w:tcPr>
            <w:tcW w:type="dxa" w:w="4960"/>
            <w:tcMar>
              <w:top w:w="80" w:type="dxa"/>
              <w:start w:w="120" w:type="dxa"/>
              <w:bottom w:w="80" w:type="dxa"/>
              <w:end w:w="120" w:type="dxa"/>
            </w:tcMar>
            <w:vAlign w:val="center"/>
          </w:tcPr>
          <w:p>
            <w:pPr>
              <w:spacing w:after="40" w:line="252" w:lineRule="auto"/>
            </w:pPr>
            <w:r>
              <w:rPr>
                <w:sz w:val="18"/>
              </w:rPr>
              <w:t>Method, endpoint spec, payload encoding, response mapping, error normalization.</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HTTP/Tauri transports</w:t>
            </w:r>
          </w:p>
        </w:tc>
        <w:tc>
          <w:tcPr>
            <w:tcW w:type="dxa" w:w="2500"/>
            <w:tcMar>
              <w:top w:w="80" w:type="dxa"/>
              <w:start w:w="120" w:type="dxa"/>
              <w:bottom w:w="80" w:type="dxa"/>
              <w:end w:w="120" w:type="dxa"/>
            </w:tcMar>
            <w:vAlign w:val="center"/>
          </w:tcPr>
          <w:p>
            <w:pPr>
              <w:spacing w:after="40" w:line="252" w:lineRule="auto"/>
            </w:pPr>
            <w:r>
              <w:rPr>
                <w:sz w:val="18"/>
              </w:rPr>
              <w:t>Adapter tests</w:t>
            </w:r>
          </w:p>
        </w:tc>
        <w:tc>
          <w:tcPr>
            <w:tcW w:type="dxa" w:w="4960"/>
            <w:tcMar>
              <w:top w:w="80" w:type="dxa"/>
              <w:start w:w="120" w:type="dxa"/>
              <w:bottom w:w="80" w:type="dxa"/>
              <w:end w:w="120" w:type="dxa"/>
            </w:tcMar>
            <w:vAlign w:val="center"/>
          </w:tcPr>
          <w:p>
            <w:pPr>
              <w:spacing w:after="40" w:line="252" w:lineRule="auto"/>
            </w:pPr>
            <w:r>
              <w:rPr>
                <w:sz w:val="18"/>
              </w:rPr>
              <w:t>Headers/auth/status handling for HTTP; command/event behavior for Tauri; binary and multipart cases.</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Feature reducer</w:t>
            </w:r>
          </w:p>
        </w:tc>
        <w:tc>
          <w:tcPr>
            <w:tcW w:type="dxa" w:w="2500"/>
            <w:tcMar>
              <w:top w:w="80" w:type="dxa"/>
              <w:start w:w="120" w:type="dxa"/>
              <w:bottom w:w="80" w:type="dxa"/>
              <w:end w:w="120" w:type="dxa"/>
            </w:tcMar>
            <w:vAlign w:val="center"/>
          </w:tcPr>
          <w:p>
            <w:pPr>
              <w:spacing w:after="40" w:line="252" w:lineRule="auto"/>
            </w:pPr>
            <w:r>
              <w:rPr>
                <w:sz w:val="18"/>
              </w:rPr>
              <w:t>Pure transition table</w:t>
            </w:r>
          </w:p>
        </w:tc>
        <w:tc>
          <w:tcPr>
            <w:tcW w:type="dxa" w:w="4960"/>
            <w:tcMar>
              <w:top w:w="80" w:type="dxa"/>
              <w:start w:w="120" w:type="dxa"/>
              <w:bottom w:w="80" w:type="dxa"/>
              <w:end w:w="120" w:type="dxa"/>
            </w:tcMar>
            <w:vAlign w:val="center"/>
          </w:tcPr>
          <w:p>
            <w:pPr>
              <w:spacing w:after="40" w:line="252" w:lineRule="auto"/>
            </w:pPr>
            <w:r>
              <w:rPr>
                <w:sz w:val="18"/>
              </w:rPr>
              <w:t>Every action from every meaningful state; invalid transitions; retry and cancellation behavior.</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Feature provider</w:t>
            </w:r>
          </w:p>
        </w:tc>
        <w:tc>
          <w:tcPr>
            <w:tcW w:type="dxa" w:w="2500"/>
            <w:tcMar>
              <w:top w:w="80" w:type="dxa"/>
              <w:start w:w="120" w:type="dxa"/>
              <w:bottom w:w="80" w:type="dxa"/>
              <w:end w:w="120" w:type="dxa"/>
            </w:tcMar>
            <w:vAlign w:val="center"/>
          </w:tcPr>
          <w:p>
            <w:pPr>
              <w:spacing w:after="40" w:line="252" w:lineRule="auto"/>
            </w:pPr>
            <w:r>
              <w:rPr>
                <w:sz w:val="18"/>
              </w:rPr>
              <w:t>Provider with fake QuarryApi/capability</w:t>
            </w:r>
          </w:p>
        </w:tc>
        <w:tc>
          <w:tcPr>
            <w:tcW w:type="dxa" w:w="4960"/>
            <w:tcMar>
              <w:top w:w="80" w:type="dxa"/>
              <w:start w:w="120" w:type="dxa"/>
              <w:bottom w:w="80" w:type="dxa"/>
              <w:end w:w="120" w:type="dxa"/>
            </w:tcMar>
            <w:vAlign w:val="center"/>
          </w:tcPr>
          <w:p>
            <w:pPr>
              <w:spacing w:after="40" w:line="252" w:lineRule="auto"/>
            </w:pPr>
            <w:r>
              <w:rPr>
                <w:sz w:val="18"/>
              </w:rPr>
              <w:t>Asynchronous orchestration, stale-request protection, action semantics, derived meta.</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Compound components</w:t>
            </w:r>
          </w:p>
        </w:tc>
        <w:tc>
          <w:tcPr>
            <w:tcW w:type="dxa" w:w="2500"/>
            <w:tcMar>
              <w:top w:w="80" w:type="dxa"/>
              <w:start w:w="120" w:type="dxa"/>
              <w:bottom w:w="80" w:type="dxa"/>
              <w:end w:w="120" w:type="dxa"/>
            </w:tcMar>
            <w:vAlign w:val="center"/>
          </w:tcPr>
          <w:p>
            <w:pPr>
              <w:spacing w:after="40" w:line="252" w:lineRule="auto"/>
            </w:pPr>
            <w:r>
              <w:rPr>
                <w:sz w:val="18"/>
              </w:rPr>
              <w:t>Focused component/accessibility tests</w:t>
            </w:r>
          </w:p>
        </w:tc>
        <w:tc>
          <w:tcPr>
            <w:tcW w:type="dxa" w:w="4960"/>
            <w:tcMar>
              <w:top w:w="80" w:type="dxa"/>
              <w:start w:w="120" w:type="dxa"/>
              <w:bottom w:w="80" w:type="dxa"/>
              <w:end w:w="120" w:type="dxa"/>
            </w:tcMar>
            <w:vAlign w:val="center"/>
          </w:tcPr>
          <w:p>
            <w:pPr>
              <w:spacing w:after="40" w:line="252" w:lineRule="auto"/>
            </w:pPr>
            <w:r>
              <w:rPr>
                <w:sz w:val="18"/>
              </w:rPr>
              <w:t>Parts fail outside provider, keyboard semantics, named variants include the expected capabilities.</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Application service</w:t>
            </w:r>
          </w:p>
        </w:tc>
        <w:tc>
          <w:tcPr>
            <w:tcW w:type="dxa" w:w="2500"/>
            <w:tcMar>
              <w:top w:w="80" w:type="dxa"/>
              <w:start w:w="120" w:type="dxa"/>
              <w:bottom w:w="80" w:type="dxa"/>
              <w:end w:w="120" w:type="dxa"/>
            </w:tcMar>
            <w:vAlign w:val="center"/>
          </w:tcPr>
          <w:p>
            <w:pPr>
              <w:spacing w:after="40" w:line="252" w:lineRule="auto"/>
            </w:pPr>
            <w:r>
              <w:rPr>
                <w:sz w:val="18"/>
              </w:rPr>
              <w:t>Unit test with fake ports</w:t>
            </w:r>
          </w:p>
        </w:tc>
        <w:tc>
          <w:tcPr>
            <w:tcW w:type="dxa" w:w="4960"/>
            <w:tcMar>
              <w:top w:w="80" w:type="dxa"/>
              <w:start w:w="120" w:type="dxa"/>
              <w:bottom w:w="80" w:type="dxa"/>
              <w:end w:w="120" w:type="dxa"/>
            </w:tcMar>
            <w:vAlign w:val="center"/>
          </w:tcPr>
          <w:p>
            <w:pPr>
              <w:spacing w:after="40" w:line="252" w:lineRule="auto"/>
            </w:pPr>
            <w:r>
              <w:rPr>
                <w:sz w:val="18"/>
              </w:rPr>
              <w:t>Use-case rules, collaborator calls, error policy, compensation/retry decisions.</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Axum HTTP module</w:t>
            </w:r>
          </w:p>
        </w:tc>
        <w:tc>
          <w:tcPr>
            <w:tcW w:type="dxa" w:w="2500"/>
            <w:tcMar>
              <w:top w:w="80" w:type="dxa"/>
              <w:start w:w="120" w:type="dxa"/>
              <w:bottom w:w="80" w:type="dxa"/>
              <w:end w:w="120" w:type="dxa"/>
            </w:tcMar>
            <w:vAlign w:val="center"/>
          </w:tcPr>
          <w:p>
            <w:pPr>
              <w:spacing w:after="40" w:line="252" w:lineRule="auto"/>
            </w:pPr>
            <w:r>
              <w:rPr>
                <w:sz w:val="18"/>
              </w:rPr>
              <w:t>Router/handler test with fake service</w:t>
            </w:r>
          </w:p>
        </w:tc>
        <w:tc>
          <w:tcPr>
            <w:tcW w:type="dxa" w:w="4960"/>
            <w:tcMar>
              <w:top w:w="80" w:type="dxa"/>
              <w:start w:w="120" w:type="dxa"/>
              <w:bottom w:w="80" w:type="dxa"/>
              <w:end w:w="120" w:type="dxa"/>
            </w:tcMar>
            <w:vAlign w:val="center"/>
          </w:tcPr>
          <w:p>
            <w:pPr>
              <w:spacing w:after="40" w:line="252" w:lineRule="auto"/>
            </w:pPr>
            <w:r>
              <w:rPr>
                <w:sz w:val="18"/>
              </w:rPr>
              <w:t>Extractor validation, status and response shape, service-error mapping, no internal error leakage.</w:t>
            </w:r>
          </w:p>
        </w:tc>
      </w:tr>
      <w:tr>
        <w:trPr>
          <w:cantSplit/>
        </w:trPr>
        <w:tc>
          <w:tcPr>
            <w:tcW w:type="dxa" w:w="1900"/>
            <w:shd w:fill="F4F8FB"/>
            <w:tcMar>
              <w:top w:w="80" w:type="dxa"/>
              <w:start w:w="120" w:type="dxa"/>
              <w:bottom w:w="80" w:type="dxa"/>
              <w:end w:w="120" w:type="dxa"/>
            </w:tcMar>
            <w:vAlign w:val="center"/>
          </w:tcPr>
          <w:p>
            <w:pPr>
              <w:spacing w:after="40" w:line="252" w:lineRule="auto"/>
            </w:pPr>
            <w:r>
              <w:rPr>
                <w:b/>
                <w:color w:val="1F4D78"/>
                <w:sz w:val="18"/>
              </w:rPr>
              <w:t>Infrastructure adapter</w:t>
            </w:r>
          </w:p>
        </w:tc>
        <w:tc>
          <w:tcPr>
            <w:tcW w:type="dxa" w:w="2500"/>
            <w:tcMar>
              <w:top w:w="80" w:type="dxa"/>
              <w:start w:w="120" w:type="dxa"/>
              <w:bottom w:w="80" w:type="dxa"/>
              <w:end w:w="120" w:type="dxa"/>
            </w:tcMar>
            <w:vAlign w:val="center"/>
          </w:tcPr>
          <w:p>
            <w:pPr>
              <w:spacing w:after="40" w:line="252" w:lineRule="auto"/>
            </w:pPr>
            <w:r>
              <w:rPr>
                <w:sz w:val="18"/>
              </w:rPr>
              <w:t>Integration test</w:t>
            </w:r>
          </w:p>
        </w:tc>
        <w:tc>
          <w:tcPr>
            <w:tcW w:type="dxa" w:w="4960"/>
            <w:tcMar>
              <w:top w:w="80" w:type="dxa"/>
              <w:start w:w="120" w:type="dxa"/>
              <w:bottom w:w="80" w:type="dxa"/>
              <w:end w:w="120" w:type="dxa"/>
            </w:tcMar>
            <w:vAlign w:val="center"/>
          </w:tcPr>
          <w:p>
            <w:pPr>
              <w:spacing w:after="40" w:line="252" w:lineRule="auto"/>
            </w:pPr>
            <w:r>
              <w:rPr>
                <w:sz w:val="18"/>
              </w:rPr>
              <w:t>Real SQLite queries/migrations; Helix/OpenAI request mapping through controlled test endpoints when practical.</w:t>
            </w:r>
          </w:p>
        </w:tc>
      </w:tr>
    </w:tbl>
    <w:p>
      <w:pPr>
        <w:spacing w:after="20"/>
      </w:pPr>
    </w:p>
    <w:p>
      <w:pPr>
        <w:pStyle w:val="Heading2"/>
        <w:keepNext/>
      </w:pPr>
      <w:r>
        <w:t>7.2 State-transition example</w:t>
      </w:r>
    </w:p>
    <w:p>
      <w:r>
        <w:t>For Add Deal, table-driven tests should describe transitions without rendering the modal. This style is more valuable than snapshots of every intermediate screen because it verifies the invariant that a persisted deal exists before source configuration can be saved.</w:t>
      </w:r>
    </w:p>
    <w:p>
      <w:pPr>
        <w:pStyle w:val="CodeBlock"/>
        <w:keepLines/>
        <w:shd w:fill="F2F4F7"/>
        <w:pBdr>
          <w:top w:val="single" w:sz="4" w:space="4" w:color="D7DEE5"/>
          <w:left w:val="single" w:sz="4" w:space="4" w:color="D7DEE5"/>
          <w:bottom w:val="single" w:sz="4" w:space="4" w:color="D7DEE5"/>
          <w:right w:val="single" w:sz="4" w:space="4" w:color="D7DEE5"/>
        </w:pBdr>
      </w:pPr>
      <w:r>
        <w:rPr>
          <w:rFonts w:ascii="Menlo" w:hAnsi="Menlo"/>
          <w:sz w:val="17"/>
        </w:rPr>
        <w:t>#[test] // TypeScript equivalent can use describe.each</w:t>
        <w:br/>
        <w:t>details + submit         -&gt; saving-core</w:t>
        <w:br/>
        <w:t>saving-core + created    -&gt; sources(deal)</w:t>
        <w:br/>
        <w:t>saving-core + failed     -&gt; details(error)</w:t>
        <w:br/>
        <w:t>sources + submit         -&gt; saving-sources</w:t>
        <w:br/>
        <w:t>saving-sources + saved   -&gt; done(deal)</w:t>
        <w:br/>
        <w:t>saving-sources + failed  -&gt; sources(error)</w:t>
      </w:r>
    </w:p>
    <w:p>
      <w:pPr>
        <w:pStyle w:val="Heading2"/>
        <w:keepNext/>
      </w:pPr>
      <w:r>
        <w:t>7.3 Enforce dependency direction in CI</w:t>
      </w:r>
    </w:p>
    <w:p>
      <w:r>
        <w:t>The existing runtime boundary check proves that lightweight architecture checks fit this repository. Extend it with import rules that express product intent. Keep the rules few, understandable, and tied to the target architecture; a long blacklist becomes difficult to maintain.</w:t>
      </w:r>
    </w:p>
    <w:p>
      <w:pPr>
        <w:pStyle w:val="ListBullet"/>
      </w:pPr>
      <w:r>
        <w:t>Only app/runtime/api adapter files may import Tauri packages or platform-specific router/runtime implementations.</w:t>
      </w:r>
    </w:p>
    <w:p>
      <w:pPr>
        <w:pStyle w:val="ListBullet"/>
      </w:pPr>
      <w:r>
        <w:t>Feature UI may not import @quarry/runtime directly; it receives feature actions, QuarryApi-backed services, or injected capabilities.</w:t>
      </w:r>
    </w:p>
    <w:p>
      <w:pPr>
        <w:pStyle w:val="ListBullet"/>
      </w:pPr>
      <w:r>
        <w:t>A feature may import another feature only through that feature’s public index.</w:t>
      </w:r>
    </w:p>
    <w:p>
      <w:pPr>
        <w:pStyle w:val="ListBullet"/>
      </w:pPr>
      <w:r>
        <w:t>Only config/bootstrap code may read process environment variables for database, AI, model, or search configuration.</w:t>
      </w:r>
    </w:p>
    <w:p>
      <w:pPr>
        <w:pStyle w:val="ListBullet"/>
      </w:pPr>
      <w:r>
        <w:t>Backend repositories may not import AppState; they receive the minimum client or own configured adapter state.</w:t>
      </w:r>
    </w:p>
    <w:p>
      <w:pPr>
        <w:pStyle w:val="ListBullet"/>
      </w:pPr>
      <w:r>
        <w:t>HTTP handlers may call application services but may not call repositories directly.</w:t>
      </w:r>
    </w:p>
    <w:p>
      <w:pPr>
        <w:pStyle w:val="ListBullet"/>
      </w:pPr>
      <w:r>
        <w:t>New structural boolean props on shared layout components require an explicit review exception; atomic state booleans remain allowed.</w:t>
      </w:r>
    </w:p>
    <w:p>
      <w:pPr>
        <w:pStyle w:val="Heading2"/>
        <w:keepNext/>
      </w:pPr>
      <w:r>
        <w:t>7.4 Definition of done for a migrated feature</w:t>
      </w:r>
    </w:p>
    <w:p>
      <w:pPr>
        <w:spacing w:after="160" w:line="280" w:lineRule="auto"/>
        <w:numPr>
          <w:ilvl w:val="0"/>
          <w:numId w:val="11"/>
        </w:numPr>
      </w:pPr>
      <w:r>
        <w:t>The feature has a documented public entry point and no external consumer imports its internals.</w:t>
      </w:r>
    </w:p>
    <w:p>
      <w:pPr>
        <w:spacing w:after="160" w:line="280" w:lineRule="auto"/>
        <w:numPr>
          <w:ilvl w:val="0"/>
          <w:numId w:val="11"/>
        </w:numPr>
      </w:pPr>
      <w:r>
        <w:t>Related workflow state is represented by a reducer or discriminated state model with transition tests.</w:t>
      </w:r>
    </w:p>
    <w:p>
      <w:pPr>
        <w:spacing w:after="160" w:line="280" w:lineRule="auto"/>
        <w:numPr>
          <w:ilvl w:val="0"/>
          <w:numId w:val="11"/>
        </w:numPr>
      </w:pPr>
      <w:r>
        <w:t>The provider exposes intent-level actions and a fail-fast state/actions/meta contract.</w:t>
      </w:r>
    </w:p>
    <w:p>
      <w:pPr>
        <w:spacing w:after="160" w:line="280" w:lineRule="auto"/>
        <w:numPr>
          <w:ilvl w:val="0"/>
          <w:numId w:val="11"/>
        </w:numPr>
      </w:pPr>
      <w:r>
        <w:t>UI files do not branch on runtime.target or import transport-specific code.</w:t>
      </w:r>
    </w:p>
    <w:p>
      <w:pPr>
        <w:spacing w:after="160" w:line="280" w:lineRule="auto"/>
        <w:numPr>
          <w:ilvl w:val="0"/>
          <w:numId w:val="11"/>
        </w:numPr>
      </w:pPr>
      <w:r>
        <w:t>Loading, empty, ready, error, retry, and cancellation/stale-response paths are tested where applicable.</w:t>
      </w:r>
    </w:p>
    <w:p>
      <w:pPr>
        <w:spacing w:after="160" w:line="280" w:lineRule="auto"/>
        <w:numPr>
          <w:ilvl w:val="0"/>
          <w:numId w:val="11"/>
        </w:numPr>
      </w:pPr>
      <w:r>
        <w:t>Existing web and desktop type checks, the boundary check, frontend tests, and backend tests remain green.</w:t>
      </w:r>
    </w:p>
    <w:p>
      <w:pPr>
        <w:spacing w:after="160" w:line="280" w:lineRule="auto"/>
        <w:numPr>
          <w:ilvl w:val="0"/>
          <w:numId w:val="11"/>
        </w:numPr>
      </w:pPr>
      <w:r>
        <w:t>Any compatibility API introduced by the change has a recorded removal trigger.</w:t>
      </w:r>
    </w:p>
    <w:p>
      <w:pPr>
        <w:pStyle w:val="Heading1"/>
        <w:keepNext/>
      </w:pPr>
      <w:r>
        <w:t>8. Tradeoffs, risks, and non-goals</w:t>
      </w:r>
    </w:p>
    <w:p>
      <w:pPr>
        <w:pStyle w:val="Heading2"/>
        <w:keepNext/>
      </w:pPr>
      <w:r>
        <w:t>8.1 Key tradeoffs</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100"/>
        <w:gridCol w:w="3510"/>
        <w:gridCol w:w="3750"/>
      </w:tblGrid>
      <w:tr>
        <w:trPr>
          <w:tblHeader w:val="true"/>
          <w:cantSplit/>
        </w:trPr>
        <w:tc>
          <w:tcPr>
            <w:tcW w:type="dxa" w:w="2100"/>
            <w:shd w:fill="F2F4F7"/>
            <w:tcMar>
              <w:top w:w="80" w:type="dxa"/>
              <w:start w:w="120" w:type="dxa"/>
              <w:bottom w:w="80" w:type="dxa"/>
              <w:end w:w="120" w:type="dxa"/>
            </w:tcMar>
            <w:vAlign w:val="center"/>
          </w:tcPr>
          <w:p>
            <w:pPr>
              <w:spacing w:after="0"/>
            </w:pPr>
            <w:r>
              <w:rPr>
                <w:b/>
                <w:color w:val="1F4D78"/>
                <w:sz w:val="18"/>
              </w:rPr>
              <w:t>Decision</w:t>
            </w:r>
          </w:p>
        </w:tc>
        <w:tc>
          <w:tcPr>
            <w:tcW w:type="dxa" w:w="3510"/>
            <w:shd w:fill="F2F4F7"/>
            <w:tcMar>
              <w:top w:w="80" w:type="dxa"/>
              <w:start w:w="120" w:type="dxa"/>
              <w:bottom w:w="80" w:type="dxa"/>
              <w:end w:w="120" w:type="dxa"/>
            </w:tcMar>
            <w:vAlign w:val="center"/>
          </w:tcPr>
          <w:p>
            <w:pPr>
              <w:spacing w:after="0"/>
            </w:pPr>
            <w:r>
              <w:rPr>
                <w:b/>
                <w:color w:val="1F4D78"/>
                <w:sz w:val="18"/>
              </w:rPr>
              <w:t>Benefit</w:t>
            </w:r>
          </w:p>
        </w:tc>
        <w:tc>
          <w:tcPr>
            <w:tcW w:type="dxa" w:w="3750"/>
            <w:shd w:fill="F2F4F7"/>
            <w:tcMar>
              <w:top w:w="80" w:type="dxa"/>
              <w:start w:w="120" w:type="dxa"/>
              <w:bottom w:w="80" w:type="dxa"/>
              <w:end w:w="120" w:type="dxa"/>
            </w:tcMar>
            <w:vAlign w:val="center"/>
          </w:tcPr>
          <w:p>
            <w:pPr>
              <w:spacing w:after="0"/>
            </w:pPr>
            <w:r>
              <w:rPr>
                <w:b/>
                <w:color w:val="1F4D78"/>
                <w:sz w:val="18"/>
              </w:rPr>
              <w:t>Cost / mitigation</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Feature providers</w:t>
            </w:r>
          </w:p>
        </w:tc>
        <w:tc>
          <w:tcPr>
            <w:tcW w:type="dxa" w:w="3510"/>
            <w:tcMar>
              <w:top w:w="80" w:type="dxa"/>
              <w:start w:w="120" w:type="dxa"/>
              <w:bottom w:w="80" w:type="dxa"/>
              <w:end w:w="120" w:type="dxa"/>
            </w:tcMar>
            <w:vAlign w:val="center"/>
          </w:tcPr>
          <w:p>
            <w:pPr>
              <w:spacing w:after="40" w:line="252" w:lineRule="auto"/>
            </w:pPr>
            <w:r>
              <w:rPr>
                <w:sz w:val="18"/>
              </w:rPr>
              <w:t>Clear lifetime, intent-level actions, inexpensive state fixtures.</w:t>
            </w:r>
          </w:p>
        </w:tc>
        <w:tc>
          <w:tcPr>
            <w:tcW w:type="dxa" w:w="3750"/>
            <w:tcMar>
              <w:top w:w="80" w:type="dxa"/>
              <w:start w:w="120" w:type="dxa"/>
              <w:bottom w:w="80" w:type="dxa"/>
              <w:end w:w="120" w:type="dxa"/>
            </w:tcMar>
            <w:vAlign w:val="center"/>
          </w:tcPr>
          <w:p>
            <w:pPr>
              <w:spacing w:after="40" w:line="252" w:lineRule="auto"/>
            </w:pPr>
            <w:r>
              <w:rPr>
                <w:sz w:val="18"/>
              </w:rPr>
              <w:t>More files and indirection; create only for state shared across meaningful feature parts.</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Compound UI</w:t>
            </w:r>
          </w:p>
        </w:tc>
        <w:tc>
          <w:tcPr>
            <w:tcW w:type="dxa" w:w="3510"/>
            <w:tcMar>
              <w:top w:w="80" w:type="dxa"/>
              <w:start w:w="120" w:type="dxa"/>
              <w:bottom w:w="80" w:type="dxa"/>
              <w:end w:w="120" w:type="dxa"/>
            </w:tcMar>
            <w:vAlign w:val="center"/>
          </w:tcPr>
          <w:p>
            <w:pPr>
              <w:spacing w:after="40" w:line="252" w:lineRule="auto"/>
            </w:pPr>
            <w:r>
              <w:rPr>
                <w:sz w:val="18"/>
              </w:rPr>
              <w:t>Flexible structure and explicit supported parts.</w:t>
            </w:r>
          </w:p>
        </w:tc>
        <w:tc>
          <w:tcPr>
            <w:tcW w:type="dxa" w:w="3750"/>
            <w:tcMar>
              <w:top w:w="80" w:type="dxa"/>
              <w:start w:w="120" w:type="dxa"/>
              <w:bottom w:w="80" w:type="dxa"/>
              <w:end w:w="120" w:type="dxa"/>
            </w:tcMar>
            <w:vAlign w:val="center"/>
          </w:tcPr>
          <w:p>
            <w:pPr>
              <w:spacing w:after="40" w:line="252" w:lineRule="auto"/>
            </w:pPr>
            <w:r>
              <w:rPr>
                <w:sz w:val="18"/>
              </w:rPr>
              <w:t>Consumers can assemble invalid visuals; export named presets and keep parts focused.</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Explicit variants</w:t>
            </w:r>
          </w:p>
        </w:tc>
        <w:tc>
          <w:tcPr>
            <w:tcW w:type="dxa" w:w="3510"/>
            <w:tcMar>
              <w:top w:w="80" w:type="dxa"/>
              <w:start w:w="120" w:type="dxa"/>
              <w:bottom w:w="80" w:type="dxa"/>
              <w:end w:w="120" w:type="dxa"/>
            </w:tcMar>
            <w:vAlign w:val="center"/>
          </w:tcPr>
          <w:p>
            <w:pPr>
              <w:spacing w:after="40" w:line="252" w:lineRule="auto"/>
            </w:pPr>
            <w:r>
              <w:rPr>
                <w:sz w:val="18"/>
              </w:rPr>
              <w:t>Product semantics are visible and supported combinations are finite.</w:t>
            </w:r>
          </w:p>
        </w:tc>
        <w:tc>
          <w:tcPr>
            <w:tcW w:type="dxa" w:w="3750"/>
            <w:tcMar>
              <w:top w:w="80" w:type="dxa"/>
              <w:start w:w="120" w:type="dxa"/>
              <w:bottom w:w="80" w:type="dxa"/>
              <w:end w:w="120" w:type="dxa"/>
            </w:tcMar>
            <w:vAlign w:val="center"/>
          </w:tcPr>
          <w:p>
            <w:pPr>
              <w:spacing w:after="40" w:line="252" w:lineRule="auto"/>
            </w:pPr>
            <w:r>
              <w:rPr>
                <w:sz w:val="18"/>
              </w:rPr>
              <w:t>Some markup duplication; share primitives and accept small duplication when it improves clarity.</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Transport factory</w:t>
            </w:r>
          </w:p>
        </w:tc>
        <w:tc>
          <w:tcPr>
            <w:tcW w:type="dxa" w:w="3510"/>
            <w:tcMar>
              <w:top w:w="80" w:type="dxa"/>
              <w:start w:w="120" w:type="dxa"/>
              <w:bottom w:w="80" w:type="dxa"/>
              <w:end w:w="120" w:type="dxa"/>
            </w:tcMar>
            <w:vAlign w:val="center"/>
          </w:tcPr>
          <w:p>
            <w:pPr>
              <w:spacing w:after="40" w:line="252" w:lineRule="auto"/>
            </w:pPr>
            <w:r>
              <w:rPr>
                <w:sz w:val="18"/>
              </w:rPr>
              <w:t>Single endpoint mapping and reusable contract suite.</w:t>
            </w:r>
          </w:p>
        </w:tc>
        <w:tc>
          <w:tcPr>
            <w:tcW w:type="dxa" w:w="3750"/>
            <w:tcMar>
              <w:top w:w="80" w:type="dxa"/>
              <w:start w:w="120" w:type="dxa"/>
              <w:bottom w:w="80" w:type="dxa"/>
              <w:end w:w="120" w:type="dxa"/>
            </w:tcMar>
            <w:vAlign w:val="center"/>
          </w:tcPr>
          <w:p>
            <w:pPr>
              <w:spacing w:after="40" w:line="252" w:lineRule="auto"/>
            </w:pPr>
            <w:r>
              <w:rPr>
                <w:sz w:val="18"/>
              </w:rPr>
              <w:t>Transport interface must handle multipart/binary/events; model these explicitly, avoid a generic invoke escape hatch.</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Port-based services</w:t>
            </w:r>
          </w:p>
        </w:tc>
        <w:tc>
          <w:tcPr>
            <w:tcW w:type="dxa" w:w="3510"/>
            <w:tcMar>
              <w:top w:w="80" w:type="dxa"/>
              <w:start w:w="120" w:type="dxa"/>
              <w:bottom w:w="80" w:type="dxa"/>
              <w:end w:w="120" w:type="dxa"/>
            </w:tcMar>
            <w:vAlign w:val="center"/>
          </w:tcPr>
          <w:p>
            <w:pPr>
              <w:spacing w:after="40" w:line="252" w:lineRule="auto"/>
            </w:pPr>
            <w:r>
              <w:rPr>
                <w:sz w:val="18"/>
              </w:rPr>
              <w:t>Fast unit tests and explicit dependency direction.</w:t>
            </w:r>
          </w:p>
        </w:tc>
        <w:tc>
          <w:tcPr>
            <w:tcW w:type="dxa" w:w="3750"/>
            <w:tcMar>
              <w:top w:w="80" w:type="dxa"/>
              <w:start w:w="120" w:type="dxa"/>
              <w:bottom w:w="80" w:type="dxa"/>
              <w:end w:w="120" w:type="dxa"/>
            </w:tcMar>
            <w:vAlign w:val="center"/>
          </w:tcPr>
          <w:p>
            <w:pPr>
              <w:spacing w:after="40" w:line="252" w:lineRule="auto"/>
            </w:pPr>
            <w:r>
              <w:rPr>
                <w:sz w:val="18"/>
              </w:rPr>
              <w:t>Trait ceremony and dynamic dispatch; use ports only at meaningful external boundaries.</w:t>
            </w:r>
          </w:p>
        </w:tc>
      </w:tr>
      <w:tr>
        <w:trPr>
          <w:cantSplit/>
        </w:trPr>
        <w:tc>
          <w:tcPr>
            <w:tcW w:type="dxa" w:w="2100"/>
            <w:shd w:fill="F4F8FB"/>
            <w:tcMar>
              <w:top w:w="80" w:type="dxa"/>
              <w:start w:w="120" w:type="dxa"/>
              <w:bottom w:w="80" w:type="dxa"/>
              <w:end w:w="120" w:type="dxa"/>
            </w:tcMar>
            <w:vAlign w:val="center"/>
          </w:tcPr>
          <w:p>
            <w:pPr>
              <w:spacing w:after="40" w:line="252" w:lineRule="auto"/>
            </w:pPr>
            <w:r>
              <w:rPr>
                <w:b/>
                <w:color w:val="1F4D78"/>
                <w:sz w:val="18"/>
              </w:rPr>
              <w:t>Nested route providers</w:t>
            </w:r>
          </w:p>
        </w:tc>
        <w:tc>
          <w:tcPr>
            <w:tcW w:type="dxa" w:w="3510"/>
            <w:tcMar>
              <w:top w:w="80" w:type="dxa"/>
              <w:start w:w="120" w:type="dxa"/>
              <w:bottom w:w="80" w:type="dxa"/>
              <w:end w:w="120" w:type="dxa"/>
            </w:tcMar>
            <w:vAlign w:val="center"/>
          </w:tcPr>
          <w:p>
            <w:pPr>
              <w:spacing w:after="40" w:line="252" w:lineRule="auto"/>
            </w:pPr>
            <w:r>
              <w:rPr>
                <w:sz w:val="18"/>
              </w:rPr>
              <w:t>Designed state lifetime and shared loading/error boundaries.</w:t>
            </w:r>
          </w:p>
        </w:tc>
        <w:tc>
          <w:tcPr>
            <w:tcW w:type="dxa" w:w="3750"/>
            <w:tcMar>
              <w:top w:w="80" w:type="dxa"/>
              <w:start w:w="120" w:type="dxa"/>
              <w:bottom w:w="80" w:type="dxa"/>
              <w:end w:w="120" w:type="dxa"/>
            </w:tcMar>
            <w:vAlign w:val="center"/>
          </w:tcPr>
          <w:p>
            <w:pPr>
              <w:spacing w:after="40" w:line="252" w:lineRule="auto"/>
            </w:pPr>
            <w:r>
              <w:rPr>
                <w:sz w:val="18"/>
              </w:rPr>
              <w:t>Provider can become too broad; nest deal/feature providers at the narrowest route scope.</w:t>
            </w:r>
          </w:p>
        </w:tc>
      </w:tr>
    </w:tbl>
    <w:p>
      <w:pPr>
        <w:spacing w:after="20"/>
      </w:pPr>
    </w:p>
    <w:p>
      <w:pPr>
        <w:pStyle w:val="Heading2"/>
        <w:keepNext/>
      </w:pPr>
      <w:r>
        <w:t>8.2 Migration risks and controls</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700"/>
        <w:gridCol w:w="2100"/>
        <w:gridCol w:w="4560"/>
      </w:tblGrid>
      <w:tr>
        <w:trPr>
          <w:tblHeader w:val="true"/>
          <w:cantSplit/>
        </w:trPr>
        <w:tc>
          <w:tcPr>
            <w:tcW w:type="dxa" w:w="2700"/>
            <w:shd w:fill="F2F4F7"/>
            <w:tcMar>
              <w:top w:w="80" w:type="dxa"/>
              <w:start w:w="120" w:type="dxa"/>
              <w:bottom w:w="80" w:type="dxa"/>
              <w:end w:w="120" w:type="dxa"/>
            </w:tcMar>
            <w:vAlign w:val="center"/>
          </w:tcPr>
          <w:p>
            <w:pPr>
              <w:spacing w:after="0"/>
            </w:pPr>
            <w:r>
              <w:rPr>
                <w:b/>
                <w:color w:val="1F4D78"/>
                <w:sz w:val="18"/>
              </w:rPr>
              <w:t>Risk</w:t>
            </w:r>
          </w:p>
        </w:tc>
        <w:tc>
          <w:tcPr>
            <w:tcW w:type="dxa" w:w="2100"/>
            <w:shd w:fill="F2F4F7"/>
            <w:tcMar>
              <w:top w:w="80" w:type="dxa"/>
              <w:start w:w="120" w:type="dxa"/>
              <w:bottom w:w="80" w:type="dxa"/>
              <w:end w:w="120" w:type="dxa"/>
            </w:tcMar>
            <w:vAlign w:val="center"/>
          </w:tcPr>
          <w:p>
            <w:pPr>
              <w:spacing w:after="0"/>
            </w:pPr>
            <w:r>
              <w:rPr>
                <w:b/>
                <w:color w:val="1F4D78"/>
                <w:sz w:val="18"/>
              </w:rPr>
              <w:t>Likelihood / impact</w:t>
            </w:r>
          </w:p>
        </w:tc>
        <w:tc>
          <w:tcPr>
            <w:tcW w:type="dxa" w:w="4560"/>
            <w:shd w:fill="F2F4F7"/>
            <w:tcMar>
              <w:top w:w="80" w:type="dxa"/>
              <w:start w:w="120" w:type="dxa"/>
              <w:bottom w:w="80" w:type="dxa"/>
              <w:end w:w="120" w:type="dxa"/>
            </w:tcMar>
            <w:vAlign w:val="center"/>
          </w:tcPr>
          <w:p>
            <w:pPr>
              <w:spacing w:after="0"/>
            </w:pPr>
            <w:r>
              <w:rPr>
                <w:b/>
                <w:color w:val="1F4D78"/>
                <w:sz w:val="18"/>
              </w:rPr>
              <w:t>Control</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Behavior drift during large component extraction</w:t>
            </w:r>
          </w:p>
        </w:tc>
        <w:tc>
          <w:tcPr>
            <w:tcW w:type="dxa" w:w="2100"/>
            <w:tcMar>
              <w:top w:w="80" w:type="dxa"/>
              <w:start w:w="120" w:type="dxa"/>
              <w:bottom w:w="80" w:type="dxa"/>
              <w:end w:w="120" w:type="dxa"/>
            </w:tcMar>
            <w:vAlign w:val="center"/>
          </w:tcPr>
          <w:p>
            <w:pPr>
              <w:spacing w:after="40" w:line="252" w:lineRule="auto"/>
            </w:pPr>
            <w:r>
              <w:rPr>
                <w:sz w:val="18"/>
              </w:rPr>
              <w:t>Medium / high</w:t>
            </w:r>
          </w:p>
        </w:tc>
        <w:tc>
          <w:tcPr>
            <w:tcW w:type="dxa" w:w="4560"/>
            <w:tcMar>
              <w:top w:w="80" w:type="dxa"/>
              <w:start w:w="120" w:type="dxa"/>
              <w:bottom w:w="80" w:type="dxa"/>
              <w:end w:w="120" w:type="dxa"/>
            </w:tcMar>
            <w:vAlign w:val="center"/>
          </w:tcPr>
          <w:p>
            <w:pPr>
              <w:spacing w:after="40" w:line="252" w:lineRule="auto"/>
            </w:pPr>
            <w:r>
              <w:rPr>
                <w:sz w:val="18"/>
              </w:rPr>
              <w:t>Migrate state first or structure first, not both simultaneously; use compatibility wrappers and focused state fixtures.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Concurrent product work conflicts</w:t>
            </w:r>
          </w:p>
        </w:tc>
        <w:tc>
          <w:tcPr>
            <w:tcW w:type="dxa" w:w="2100"/>
            <w:tcMar>
              <w:top w:w="80" w:type="dxa"/>
              <w:start w:w="120" w:type="dxa"/>
              <w:bottom w:w="80" w:type="dxa"/>
              <w:end w:w="120" w:type="dxa"/>
            </w:tcMar>
            <w:vAlign w:val="center"/>
          </w:tcPr>
          <w:p>
            <w:pPr>
              <w:spacing w:after="40" w:line="252" w:lineRule="auto"/>
            </w:pPr>
            <w:r>
              <w:rPr>
                <w:sz w:val="18"/>
              </w:rPr>
              <w:t>High / medium</w:t>
            </w:r>
          </w:p>
        </w:tc>
        <w:tc>
          <w:tcPr>
            <w:tcW w:type="dxa" w:w="4560"/>
            <w:tcMar>
              <w:top w:w="80" w:type="dxa"/>
              <w:start w:w="120" w:type="dxa"/>
              <w:bottom w:w="80" w:type="dxa"/>
              <w:end w:w="120" w:type="dxa"/>
            </w:tcMar>
            <w:vAlign w:val="center"/>
          </w:tcPr>
          <w:p>
            <w:pPr>
              <w:spacing w:after="40" w:line="252" w:lineRule="auto"/>
            </w:pPr>
            <w:r>
              <w:rPr>
                <w:sz w:val="18"/>
              </w:rPr>
              <w:t>Prefer narrow PRs; avoid rename-only folder moves; land shared seams before moving multiple features.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Over-generalized transport</w:t>
            </w:r>
          </w:p>
        </w:tc>
        <w:tc>
          <w:tcPr>
            <w:tcW w:type="dxa" w:w="2100"/>
            <w:tcMar>
              <w:top w:w="80" w:type="dxa"/>
              <w:start w:w="120" w:type="dxa"/>
              <w:bottom w:w="80" w:type="dxa"/>
              <w:end w:w="120" w:type="dxa"/>
            </w:tcMar>
            <w:vAlign w:val="center"/>
          </w:tcPr>
          <w:p>
            <w:pPr>
              <w:spacing w:after="40" w:line="252" w:lineRule="auto"/>
            </w:pPr>
            <w:r>
              <w:rPr>
                <w:sz w:val="18"/>
              </w:rPr>
              <w:t>Medium / medium</w:t>
            </w:r>
          </w:p>
        </w:tc>
        <w:tc>
          <w:tcPr>
            <w:tcW w:type="dxa" w:w="4560"/>
            <w:tcMar>
              <w:top w:w="80" w:type="dxa"/>
              <w:start w:w="120" w:type="dxa"/>
              <w:bottom w:w="80" w:type="dxa"/>
              <w:end w:w="120" w:type="dxa"/>
            </w:tcMar>
            <w:vAlign w:val="center"/>
          </w:tcPr>
          <w:p>
            <w:pPr>
              <w:spacing w:after="40" w:line="252" w:lineRule="auto"/>
            </w:pPr>
            <w:r>
              <w:rPr>
                <w:sz w:val="18"/>
              </w:rPr>
              <w:t>Start from existing QuarryApi operations; add explicit capabilities for multipart, bytes, and events; reject arbitrary invoke from feature code.</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Context proliferation</w:t>
            </w:r>
          </w:p>
        </w:tc>
        <w:tc>
          <w:tcPr>
            <w:tcW w:type="dxa" w:w="2100"/>
            <w:tcMar>
              <w:top w:w="80" w:type="dxa"/>
              <w:start w:w="120" w:type="dxa"/>
              <w:bottom w:w="80" w:type="dxa"/>
              <w:end w:w="120" w:type="dxa"/>
            </w:tcMar>
            <w:vAlign w:val="center"/>
          </w:tcPr>
          <w:p>
            <w:pPr>
              <w:spacing w:after="40" w:line="252" w:lineRule="auto"/>
            </w:pPr>
            <w:r>
              <w:rPr>
                <w:sz w:val="18"/>
              </w:rPr>
              <w:t>Medium / medium</w:t>
            </w:r>
          </w:p>
        </w:tc>
        <w:tc>
          <w:tcPr>
            <w:tcW w:type="dxa" w:w="4560"/>
            <w:tcMar>
              <w:top w:w="80" w:type="dxa"/>
              <w:start w:w="120" w:type="dxa"/>
              <w:bottom w:w="80" w:type="dxa"/>
              <w:end w:w="120" w:type="dxa"/>
            </w:tcMar>
            <w:vAlign w:val="center"/>
          </w:tcPr>
          <w:p>
            <w:pPr>
              <w:spacing w:after="40" w:line="252" w:lineRule="auto"/>
            </w:pPr>
            <w:r>
              <w:rPr>
                <w:sz w:val="18"/>
              </w:rPr>
              <w:t>Require a meaningful shared feature scope; keep leaf state local and provider lifetime route-scoped.</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Backend trait proliferation</w:t>
            </w:r>
          </w:p>
        </w:tc>
        <w:tc>
          <w:tcPr>
            <w:tcW w:type="dxa" w:w="2100"/>
            <w:tcMar>
              <w:top w:w="80" w:type="dxa"/>
              <w:start w:w="120" w:type="dxa"/>
              <w:bottom w:w="80" w:type="dxa"/>
              <w:end w:w="120" w:type="dxa"/>
            </w:tcMar>
            <w:vAlign w:val="center"/>
          </w:tcPr>
          <w:p>
            <w:pPr>
              <w:spacing w:after="40" w:line="252" w:lineRule="auto"/>
            </w:pPr>
            <w:r>
              <w:rPr>
                <w:sz w:val="18"/>
              </w:rPr>
              <w:t>Medium / medium</w:t>
            </w:r>
          </w:p>
        </w:tc>
        <w:tc>
          <w:tcPr>
            <w:tcW w:type="dxa" w:w="4560"/>
            <w:tcMar>
              <w:top w:w="80" w:type="dxa"/>
              <w:start w:w="120" w:type="dxa"/>
              <w:bottom w:w="80" w:type="dxa"/>
              <w:end w:w="120" w:type="dxa"/>
            </w:tcMar>
            <w:vAlign w:val="center"/>
          </w:tcPr>
          <w:p>
            <w:pPr>
              <w:spacing w:after="40" w:line="252" w:lineRule="auto"/>
            </w:pPr>
            <w:r>
              <w:rPr>
                <w:sz w:val="18"/>
              </w:rPr>
              <w:t>Define ports from use-case needs; leave pure and single-purpose internals concrete.</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Compatibility layers become permanent</w:t>
            </w:r>
          </w:p>
        </w:tc>
        <w:tc>
          <w:tcPr>
            <w:tcW w:type="dxa" w:w="2100"/>
            <w:tcMar>
              <w:top w:w="80" w:type="dxa"/>
              <w:start w:w="120" w:type="dxa"/>
              <w:bottom w:w="80" w:type="dxa"/>
              <w:end w:w="120" w:type="dxa"/>
            </w:tcMar>
            <w:vAlign w:val="center"/>
          </w:tcPr>
          <w:p>
            <w:pPr>
              <w:spacing w:after="40" w:line="252" w:lineRule="auto"/>
            </w:pPr>
            <w:r>
              <w:rPr>
                <w:sz w:val="18"/>
              </w:rPr>
              <w:t>Medium / medium</w:t>
            </w:r>
          </w:p>
        </w:tc>
        <w:tc>
          <w:tcPr>
            <w:tcW w:type="dxa" w:w="4560"/>
            <w:tcMar>
              <w:top w:w="80" w:type="dxa"/>
              <w:start w:w="120" w:type="dxa"/>
              <w:bottom w:w="80" w:type="dxa"/>
              <w:end w:w="120" w:type="dxa"/>
            </w:tcMar>
            <w:vAlign w:val="center"/>
          </w:tcPr>
          <w:p>
            <w:pPr>
              <w:spacing w:after="40" w:line="252" w:lineRule="auto"/>
            </w:pPr>
            <w:r>
              <w:rPr>
                <w:sz w:val="18"/>
              </w:rPr>
              <w:t>Track owner, callers, and removal trigger in the migration ledger and CI deprecation checks.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Startup configuration breaks environments</w:t>
            </w:r>
          </w:p>
        </w:tc>
        <w:tc>
          <w:tcPr>
            <w:tcW w:type="dxa" w:w="2100"/>
            <w:tcMar>
              <w:top w:w="80" w:type="dxa"/>
              <w:start w:w="120" w:type="dxa"/>
              <w:bottom w:w="80" w:type="dxa"/>
              <w:end w:w="120" w:type="dxa"/>
            </w:tcMar>
            <w:vAlign w:val="center"/>
          </w:tcPr>
          <w:p>
            <w:pPr>
              <w:spacing w:after="40" w:line="252" w:lineRule="auto"/>
            </w:pPr>
            <w:r>
              <w:rPr>
                <w:sz w:val="18"/>
              </w:rPr>
              <w:t>Low / high</w:t>
            </w:r>
          </w:p>
        </w:tc>
        <w:tc>
          <w:tcPr>
            <w:tcW w:type="dxa" w:w="4560"/>
            <w:tcMar>
              <w:top w:w="80" w:type="dxa"/>
              <w:start w:w="120" w:type="dxa"/>
              <w:bottom w:w="80" w:type="dxa"/>
              <w:end w:w="120" w:type="dxa"/>
            </w:tcMar>
            <w:vAlign w:val="center"/>
          </w:tcPr>
          <w:p>
            <w:pPr>
              <w:spacing w:after="40" w:line="252" w:lineRule="auto"/>
            </w:pPr>
            <w:r>
              <w:rPr>
                <w:sz w:val="18"/>
              </w:rPr>
              <w:t>Parse config with precise errors, provide documented defaults only where safe, and test configuration construction.</w:t>
            </w:r>
          </w:p>
        </w:tc>
      </w:tr>
    </w:tbl>
    <w:p>
      <w:pPr>
        <w:spacing w:after="20"/>
      </w:pPr>
    </w:p>
    <w:p>
      <w:pPr>
        <w:pStyle w:val="Heading2"/>
        <w:keepNext/>
      </w:pPr>
      <w:r>
        <w:t>8.3 Explicit non-goals</w:t>
      </w:r>
    </w:p>
    <w:p>
      <w:pPr>
        <w:pStyle w:val="ListBullet"/>
      </w:pPr>
      <w:r>
        <w:t>Replacing React Router, Axum, Tower, Vite, or Tauri.</w:t>
      </w:r>
    </w:p>
    <w:p>
      <w:pPr>
        <w:pStyle w:val="ListBullet"/>
      </w:pPr>
      <w:r>
        <w:t>Adopting a global state-management library solely to obtain composability.</w:t>
      </w:r>
    </w:p>
    <w:p>
      <w:pPr>
        <w:pStyle w:val="ListBullet"/>
      </w:pPr>
      <w:r>
        <w:t>Turning every UI component into a compound component or every backend function into a trait.</w:t>
      </w:r>
    </w:p>
    <w:p>
      <w:pPr>
        <w:pStyle w:val="ListBullet"/>
      </w:pPr>
      <w:r>
        <w:t>Changing the product’s web/desktop behavior as part of the architectural migration.</w:t>
      </w:r>
    </w:p>
    <w:p>
      <w:pPr>
        <w:pStyle w:val="ListBullet"/>
      </w:pPr>
      <w:r>
        <w:t>Moving all files into a new directory tree before responsibilities are separated.</w:t>
      </w:r>
    </w:p>
    <w:p>
      <w:pPr>
        <w:pStyle w:val="ListBullet"/>
      </w:pPr>
      <w:r>
        <w:t>Building a generic internal framework for workflows, repositories, or HTTP handlers.</w:t>
      </w:r>
    </w:p>
    <w:p>
      <w:pPr>
        <w:keepLines/>
        <w:spacing w:before="80" w:after="200"/>
        <w:ind w:left="173" w:right="173"/>
        <w:shd w:fill="FFF5D6"/>
        <w:pBdr>
          <w:left w:val="single" w:sz="18" w:space="8" w:color="9A6700"/>
        </w:pBdr>
      </w:pPr>
      <w:r>
        <w:rPr>
          <w:b/>
          <w:color w:val="9A6700"/>
          <w:sz w:val="18"/>
        </w:rPr>
        <w:t>DECISION HEURISTIC</w:t>
        <w:br/>
      </w:r>
      <w:r>
        <w:rPr>
          <w:color w:val="202A33"/>
          <w:sz w:val="21"/>
        </w:rPr>
        <w:t>Abstract after identifying a real axis of variation or a testing boundary. Compose product semantics explicitly. Keep deterministic leaf logic direct. If a new layer cannot state which dependency or variation it isolates, it probably should not exist.</w:t>
      </w:r>
    </w:p>
    <w:p>
      <w:pPr>
        <w:pStyle w:val="Heading1"/>
        <w:keepNext/>
      </w:pPr>
      <w:r>
        <w:t>9. End-state blueprint and acceptance criteria</w:t>
      </w:r>
    </w:p>
    <w:p>
      <w:pPr>
        <w:pStyle w:val="Heading2"/>
        <w:keepNext/>
      </w:pPr>
      <w:r>
        <w:t>9.1 How a request should flow</w:t>
      </w:r>
    </w:p>
    <w:p>
      <w:pPr>
        <w:spacing w:after="160" w:line="280" w:lineRule="auto"/>
        <w:numPr>
          <w:ilvl w:val="0"/>
          <w:numId w:val="12"/>
        </w:numPr>
      </w:pPr>
      <w:r>
        <w:t>The route composition root mounts the narrowest required providers and selects web/desktop adapters once.</w:t>
      </w:r>
    </w:p>
    <w:p>
      <w:pPr>
        <w:spacing w:after="160" w:line="280" w:lineRule="auto"/>
        <w:numPr>
          <w:ilvl w:val="0"/>
          <w:numId w:val="12"/>
        </w:numPr>
      </w:pPr>
      <w:r>
        <w:t>A feature view emits an intent-level action such as summarize, selectDocument, or createDeal.</w:t>
      </w:r>
    </w:p>
    <w:p>
      <w:pPr>
        <w:spacing w:after="160" w:line="280" w:lineRule="auto"/>
        <w:numPr>
          <w:ilvl w:val="0"/>
          <w:numId w:val="12"/>
        </w:numPr>
      </w:pPr>
      <w:r>
        <w:t>The feature provider/application service validates the transition and calls QuarryApi through its injected contract.</w:t>
      </w:r>
    </w:p>
    <w:p>
      <w:pPr>
        <w:spacing w:after="160" w:line="280" w:lineRule="auto"/>
        <w:numPr>
          <w:ilvl w:val="0"/>
          <w:numId w:val="12"/>
        </w:numPr>
      </w:pPr>
      <w:r>
        <w:t>createQuarryApi translates the domain operation into one endpoint specification and delegates I/O to the active transport.</w:t>
      </w:r>
    </w:p>
    <w:p>
      <w:pPr>
        <w:spacing w:after="160" w:line="280" w:lineRule="auto"/>
        <w:numPr>
          <w:ilvl w:val="0"/>
          <w:numId w:val="12"/>
        </w:numPr>
      </w:pPr>
      <w:r>
        <w:t>The Axum handler validates delivery-specific input and invokes one application service from AppState.</w:t>
      </w:r>
    </w:p>
    <w:p>
      <w:pPr>
        <w:spacing w:after="160" w:line="280" w:lineRule="auto"/>
        <w:numPr>
          <w:ilvl w:val="0"/>
          <w:numId w:val="12"/>
        </w:numPr>
      </w:pPr>
      <w:r>
        <w:t>The application service enforces use-case rules and calls narrow ports such as DealStore, AiGateway, or SearchIndex.</w:t>
      </w:r>
    </w:p>
    <w:p>
      <w:pPr>
        <w:spacing w:after="160" w:line="280" w:lineRule="auto"/>
        <w:numPr>
          <w:ilvl w:val="0"/>
          <w:numId w:val="12"/>
        </w:numPr>
      </w:pPr>
      <w:r>
        <w:t>Infrastructure adapters perform I/O using dependencies created by bootstrap; typed failures travel inward and are mapped once at the HTTP boundary.</w:t>
      </w:r>
    </w:p>
    <w:p>
      <w:pPr>
        <w:spacing w:after="160" w:line="280" w:lineRule="auto"/>
        <w:numPr>
          <w:ilvl w:val="0"/>
          <w:numId w:val="12"/>
        </w:numPr>
      </w:pPr>
      <w:r>
        <w:t>The result updates a valid feature workflow state, and composed view parts render that state without platform-specific branching.</w:t>
      </w:r>
    </w:p>
    <w:p>
      <w:pPr>
        <w:pStyle w:val="Heading2"/>
        <w:keepNext/>
      </w:pPr>
      <w:r>
        <w:t>9.2 Architecture acceptance checklist</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700"/>
        <w:gridCol w:w="6660"/>
      </w:tblGrid>
      <w:tr>
        <w:trPr>
          <w:tblHeader w:val="true"/>
          <w:cantSplit/>
        </w:trPr>
        <w:tc>
          <w:tcPr>
            <w:tcW w:type="dxa" w:w="2700"/>
            <w:shd w:fill="F2F4F7"/>
            <w:tcMar>
              <w:top w:w="80" w:type="dxa"/>
              <w:start w:w="120" w:type="dxa"/>
              <w:bottom w:w="80" w:type="dxa"/>
              <w:end w:w="120" w:type="dxa"/>
            </w:tcMar>
            <w:vAlign w:val="center"/>
          </w:tcPr>
          <w:p>
            <w:pPr>
              <w:spacing w:after="0"/>
            </w:pPr>
            <w:r>
              <w:rPr>
                <w:b/>
                <w:color w:val="1F4D78"/>
                <w:sz w:val="18"/>
              </w:rPr>
              <w:t>Outcome</w:t>
            </w:r>
          </w:p>
        </w:tc>
        <w:tc>
          <w:tcPr>
            <w:tcW w:type="dxa" w:w="6660"/>
            <w:shd w:fill="F2F4F7"/>
            <w:tcMar>
              <w:top w:w="80" w:type="dxa"/>
              <w:start w:w="120" w:type="dxa"/>
              <w:bottom w:w="80" w:type="dxa"/>
              <w:end w:w="120" w:type="dxa"/>
            </w:tcMar>
            <w:vAlign w:val="center"/>
          </w:tcPr>
          <w:p>
            <w:pPr>
              <w:spacing w:after="0"/>
            </w:pPr>
            <w:r>
              <w:rPr>
                <w:b/>
                <w:color w:val="1F4D78"/>
                <w:sz w:val="18"/>
              </w:rPr>
              <w:t>Observable acceptance criterion</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Single endpoint mapping</w:t>
            </w:r>
          </w:p>
        </w:tc>
        <w:tc>
          <w:tcPr>
            <w:tcW w:type="dxa" w:w="6660"/>
            <w:tcMar>
              <w:top w:w="80" w:type="dxa"/>
              <w:start w:w="120" w:type="dxa"/>
              <w:bottom w:w="80" w:type="dxa"/>
              <w:end w:w="120" w:type="dxa"/>
            </w:tcMar>
            <w:vAlign w:val="center"/>
          </w:tcPr>
          <w:p>
            <w:pPr>
              <w:spacing w:after="40" w:line="252" w:lineRule="auto"/>
            </w:pPr>
            <w:r>
              <w:rPr>
                <w:sz w:val="18"/>
              </w:rPr>
              <w:t>No endpoint path or domain decoder is independently maintained in both HTTP and Tauri API implementations.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Platform isolation</w:t>
            </w:r>
          </w:p>
        </w:tc>
        <w:tc>
          <w:tcPr>
            <w:tcW w:type="dxa" w:w="6660"/>
            <w:tcMar>
              <w:top w:w="80" w:type="dxa"/>
              <w:start w:w="120" w:type="dxa"/>
              <w:bottom w:w="80" w:type="dxa"/>
              <w:end w:w="120" w:type="dxa"/>
            </w:tcMar>
            <w:vAlign w:val="center"/>
          </w:tcPr>
          <w:p>
            <w:pPr>
              <w:spacing w:after="40" w:line="252" w:lineRule="auto"/>
            </w:pPr>
            <w:r>
              <w:rPr>
                <w:sz w:val="18"/>
              </w:rPr>
              <w:t>Feature UI contains no Tauri imports and no runtime.target branches except explicitly approved environment composition code.</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Designed provider lifetime</w:t>
            </w:r>
          </w:p>
        </w:tc>
        <w:tc>
          <w:tcPr>
            <w:tcW w:type="dxa" w:w="6660"/>
            <w:tcMar>
              <w:top w:w="80" w:type="dxa"/>
              <w:start w:w="120" w:type="dxa"/>
              <w:bottom w:w="80" w:type="dxa"/>
              <w:end w:w="120" w:type="dxa"/>
            </w:tcMar>
            <w:vAlign w:val="center"/>
          </w:tcPr>
          <w:p>
            <w:pPr>
              <w:spacing w:after="40" w:line="252" w:lineRule="auto"/>
            </w:pPr>
            <w:r>
              <w:rPr>
                <w:sz w:val="18"/>
              </w:rPr>
              <w:t>Workspace, deal, and feature providers are mounted by nested route boundaries and fail clearly when misused.</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Explicit UI semantics</w:t>
            </w:r>
          </w:p>
        </w:tc>
        <w:tc>
          <w:tcPr>
            <w:tcW w:type="dxa" w:w="6660"/>
            <w:tcMar>
              <w:top w:w="80" w:type="dxa"/>
              <w:start w:w="120" w:type="dxa"/>
              <w:bottom w:w="80" w:type="dxa"/>
              <w:end w:w="120" w:type="dxa"/>
            </w:tcMar>
            <w:vAlign w:val="center"/>
          </w:tcPr>
          <w:p>
            <w:pPr>
              <w:spacing w:after="40" w:line="252" w:lineRule="auto"/>
            </w:pPr>
            <w:r>
              <w:rPr>
                <w:sz w:val="18"/>
              </w:rPr>
              <w:t>Sidebar and PDF product surfaces use named variants or compound parts; structural boolean matrices are removed.</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Valid workflows</w:t>
            </w:r>
          </w:p>
        </w:tc>
        <w:tc>
          <w:tcPr>
            <w:tcW w:type="dxa" w:w="6660"/>
            <w:tcMar>
              <w:top w:w="80" w:type="dxa"/>
              <w:start w:w="120" w:type="dxa"/>
              <w:bottom w:w="80" w:type="dxa"/>
              <w:end w:w="120" w:type="dxa"/>
            </w:tcMar>
            <w:vAlign w:val="center"/>
          </w:tcPr>
          <w:p>
            <w:pPr>
              <w:spacing w:after="40" w:line="252" w:lineRule="auto"/>
            </w:pPr>
            <w:r>
              <w:rPr>
                <w:sz w:val="18"/>
              </w:rPr>
              <w:t>Data Room, Summarize, and Add Deal transitions are encoded by discriminated states and covered by reducer/provider tests.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Explicit backend construction</w:t>
            </w:r>
          </w:p>
        </w:tc>
        <w:tc>
          <w:tcPr>
            <w:tcW w:type="dxa" w:w="6660"/>
            <w:tcMar>
              <w:top w:w="80" w:type="dxa"/>
              <w:start w:w="120" w:type="dxa"/>
              <w:bottom w:w="80" w:type="dxa"/>
              <w:end w:w="120" w:type="dxa"/>
            </w:tcMar>
            <w:vAlign w:val="center"/>
          </w:tcPr>
          <w:p>
            <w:pPr>
              <w:spacing w:after="40" w:line="252" w:lineRule="auto"/>
            </w:pPr>
            <w:r>
              <w:rPr>
                <w:sz w:val="18"/>
              </w:rPr>
              <w:t>All environment parsing and infrastructure construction occurs in AppConfig/bootstrap; services do not construct external clients.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Narrow backend dependencies</w:t>
            </w:r>
          </w:p>
        </w:tc>
        <w:tc>
          <w:tcPr>
            <w:tcW w:type="dxa" w:w="6660"/>
            <w:tcMar>
              <w:top w:w="80" w:type="dxa"/>
              <w:start w:w="120" w:type="dxa"/>
              <w:bottom w:w="80" w:type="dxa"/>
              <w:end w:w="120" w:type="dxa"/>
            </w:tcMar>
            <w:vAlign w:val="center"/>
          </w:tcPr>
          <w:p>
            <w:pPr>
              <w:spacing w:after="40" w:line="252" w:lineRule="auto"/>
            </w:pPr>
            <w:r>
              <w:rPr>
                <w:sz w:val="18"/>
              </w:rPr>
              <w:t>Repositories do not accept AppState; application services declare the ports they require.</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Thin delivery layer</w:t>
            </w:r>
          </w:p>
        </w:tc>
        <w:tc>
          <w:tcPr>
            <w:tcW w:type="dxa" w:w="6660"/>
            <w:tcMar>
              <w:top w:w="80" w:type="dxa"/>
              <w:start w:w="120" w:type="dxa"/>
              <w:bottom w:w="80" w:type="dxa"/>
              <w:end w:w="120" w:type="dxa"/>
            </w:tcMar>
            <w:vAlign w:val="center"/>
          </w:tcPr>
          <w:p>
            <w:pPr>
              <w:spacing w:after="40" w:line="252" w:lineRule="auto"/>
            </w:pPr>
            <w:r>
              <w:rPr>
                <w:sz w:val="18"/>
              </w:rPr>
              <w:t>Handlers validate/extract, invoke a service, and map the result; background job policy and ingestion orchestration live elsewhere.</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Independent infrastructure</w:t>
            </w:r>
          </w:p>
        </w:tc>
        <w:tc>
          <w:tcPr>
            <w:tcW w:type="dxa" w:w="6660"/>
            <w:tcMar>
              <w:top w:w="80" w:type="dxa"/>
              <w:start w:w="120" w:type="dxa"/>
              <w:bottom w:w="80" w:type="dxa"/>
              <w:end w:w="120" w:type="dxa"/>
            </w:tcMar>
            <w:vAlign w:val="center"/>
          </w:tcPr>
          <w:p>
            <w:pPr>
              <w:spacing w:after="40" w:line="252" w:lineRule="auto"/>
            </w:pPr>
            <w:r>
              <w:rPr>
                <w:sz w:val="18"/>
              </w:rPr>
              <w:t>Document persistence and search/index adapters can be tested and changed independently.</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Enforced boundaries</w:t>
            </w:r>
          </w:p>
        </w:tc>
        <w:tc>
          <w:tcPr>
            <w:tcW w:type="dxa" w:w="6660"/>
            <w:tcMar>
              <w:top w:w="80" w:type="dxa"/>
              <w:start w:w="120" w:type="dxa"/>
              <w:bottom w:w="80" w:type="dxa"/>
              <w:end w:w="120" w:type="dxa"/>
            </w:tcMar>
            <w:vAlign w:val="center"/>
          </w:tcPr>
          <w:p>
            <w:pPr>
              <w:spacing w:after="40" w:line="252" w:lineRule="auto"/>
            </w:pPr>
            <w:r>
              <w:rPr>
                <w:sz w:val="18"/>
              </w:rPr>
              <w:t>CI rejects forbidden platform, feature-internal, environment, AppState, and handler-to-repository imports.</w:t>
            </w:r>
          </w:p>
        </w:tc>
      </w:tr>
      <w:tr>
        <w:trPr>
          <w:cantSplit/>
        </w:trPr>
        <w:tc>
          <w:tcPr>
            <w:tcW w:type="dxa" w:w="2700"/>
            <w:shd w:fill="F4F8FB"/>
            <w:tcMar>
              <w:top w:w="80" w:type="dxa"/>
              <w:start w:w="120" w:type="dxa"/>
              <w:bottom w:w="80" w:type="dxa"/>
              <w:end w:w="120" w:type="dxa"/>
            </w:tcMar>
            <w:vAlign w:val="center"/>
          </w:tcPr>
          <w:p>
            <w:pPr>
              <w:spacing w:after="40" w:line="252" w:lineRule="auto"/>
            </w:pPr>
            <w:r>
              <w:rPr>
                <w:b/>
                <w:color w:val="1F4D78"/>
                <w:sz w:val="18"/>
              </w:rPr>
              <w:t>Preserved quality</w:t>
            </w:r>
          </w:p>
        </w:tc>
        <w:tc>
          <w:tcPr>
            <w:tcW w:type="dxa" w:w="6660"/>
            <w:tcMar>
              <w:top w:w="80" w:type="dxa"/>
              <w:start w:w="120" w:type="dxa"/>
              <w:bottom w:w="80" w:type="dxa"/>
              <w:end w:w="120" w:type="dxa"/>
            </w:tcMar>
            <w:vAlign w:val="center"/>
          </w:tcPr>
          <w:p>
            <w:pPr>
              <w:spacing w:after="40" w:line="252" w:lineRule="auto"/>
            </w:pPr>
            <w:r>
              <w:rPr>
                <w:sz w:val="18"/>
              </w:rPr>
              <w:t>Web and desktop type checks, runtime boundary check, frontend tests, and backend tests remain green through every phase.</w:t>
            </w:r>
          </w:p>
        </w:tc>
      </w:tr>
    </w:tbl>
    <w:p>
      <w:pPr>
        <w:spacing w:after="20"/>
      </w:pPr>
    </w:p>
    <w:p>
      <w:pPr>
        <w:pStyle w:val="Heading2"/>
        <w:keepNext/>
      </w:pPr>
      <w:r>
        <w:t>9.3 Practical recommendation</w:t>
      </w:r>
    </w:p>
    <w:p>
      <w:r>
        <w:t>Approve the target as an ADR, then implement PR 1 through PR 5 in sequence. The transport seam and workspace provider create stable boundaries for frontend work; Sidebar proves the composition model at manageable scale; Data Room demonstrates the workflow model where it delivers immediate correctness value; and the backend composition root establishes the dependency direction needed for ingestion cleanup. At that point, Quarry will already be materially more composable even before every legacy feature has migrated.</w:t>
      </w:r>
    </w:p>
    <w:p>
      <w:pPr>
        <w:keepLines/>
        <w:spacing w:before="80" w:after="200"/>
        <w:ind w:left="173" w:right="173"/>
        <w:shd w:fill="EAF5EF"/>
        <w:pBdr>
          <w:left w:val="single" w:sz="18" w:space="8" w:color="2E7D59"/>
        </w:pBdr>
      </w:pPr>
      <w:r>
        <w:rPr>
          <w:b/>
          <w:color w:val="2E7D59"/>
          <w:sz w:val="18"/>
        </w:rPr>
        <w:t>BOTTOM LINE</w:t>
        <w:br/>
      </w:r>
      <w:r>
        <w:rPr>
          <w:color w:val="202A33"/>
          <w:sz w:val="21"/>
        </w:rPr>
        <w:t>Quarry’s foundation is good. The work is not to replace it, but to turn its best local patterns into explicit, repeatable boundaries: compose structure, scope state, centralize mappings, and construct dependencies at the edge.</w:t>
      </w:r>
    </w:p>
    <w:p>
      <w:r>
        <w:br w:type="page"/>
      </w:r>
    </w:p>
    <w:p>
      <w:pPr>
        <w:pStyle w:val="Heading1"/>
        <w:keepNext/>
      </w:pPr>
      <w:r>
        <w:t>Appendix A. Repository evidence map</w:t>
      </w:r>
    </w:p>
    <w:p>
      <w:r>
        <w:t>The references below identify representative evidence used in the assessment. Line references are tied to the assessed working-tree snapshot and may move as current edits are committed. Paths are relative to the Quarry repository root.</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850"/>
        <w:gridCol w:w="3300"/>
        <w:gridCol w:w="3210"/>
      </w:tblGrid>
      <w:tr>
        <w:trPr>
          <w:tblHeader w:val="true"/>
          <w:cantSplit/>
        </w:trPr>
        <w:tc>
          <w:tcPr>
            <w:tcW w:type="dxa" w:w="2850"/>
            <w:shd w:fill="F2F4F7"/>
            <w:tcMar>
              <w:top w:w="80" w:type="dxa"/>
              <w:start w:w="120" w:type="dxa"/>
              <w:bottom w:w="80" w:type="dxa"/>
              <w:end w:w="120" w:type="dxa"/>
            </w:tcMar>
            <w:vAlign w:val="center"/>
          </w:tcPr>
          <w:p>
            <w:pPr>
              <w:spacing w:after="0"/>
            </w:pPr>
            <w:r>
              <w:rPr>
                <w:b/>
                <w:color w:val="1F4D78"/>
                <w:sz w:val="18"/>
              </w:rPr>
              <w:t>Source</w:t>
            </w:r>
          </w:p>
        </w:tc>
        <w:tc>
          <w:tcPr>
            <w:tcW w:type="dxa" w:w="3300"/>
            <w:shd w:fill="F2F4F7"/>
            <w:tcMar>
              <w:top w:w="80" w:type="dxa"/>
              <w:start w:w="120" w:type="dxa"/>
              <w:bottom w:w="80" w:type="dxa"/>
              <w:end w:w="120" w:type="dxa"/>
            </w:tcMar>
            <w:vAlign w:val="center"/>
          </w:tcPr>
          <w:p>
            <w:pPr>
              <w:spacing w:after="0"/>
            </w:pPr>
            <w:r>
              <w:rPr>
                <w:b/>
                <w:color w:val="1F4D78"/>
                <w:sz w:val="18"/>
              </w:rPr>
              <w:t>Observed evidence</w:t>
            </w:r>
          </w:p>
        </w:tc>
        <w:tc>
          <w:tcPr>
            <w:tcW w:type="dxa" w:w="3210"/>
            <w:shd w:fill="F2F4F7"/>
            <w:tcMar>
              <w:top w:w="80" w:type="dxa"/>
              <w:start w:w="120" w:type="dxa"/>
              <w:bottom w:w="80" w:type="dxa"/>
              <w:end w:w="120" w:type="dxa"/>
            </w:tcMar>
            <w:vAlign w:val="center"/>
          </w:tcPr>
          <w:p>
            <w:pPr>
              <w:spacing w:after="0"/>
            </w:pPr>
            <w:r>
              <w:rPr>
                <w:b/>
                <w:color w:val="1F4D78"/>
                <w:sz w:val="18"/>
              </w:rPr>
              <w:t>Architectural implication</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frontend/src/App.tsx:27–63</w:t>
            </w:r>
          </w:p>
        </w:tc>
        <w:tc>
          <w:tcPr>
            <w:tcW w:type="dxa" w:w="3300"/>
            <w:tcMar>
              <w:top w:w="80" w:type="dxa"/>
              <w:start w:w="120" w:type="dxa"/>
              <w:bottom w:w="80" w:type="dxa"/>
              <w:end w:w="120" w:type="dxa"/>
            </w:tcMar>
            <w:vAlign w:val="center"/>
          </w:tcPr>
          <w:p>
            <w:pPr>
              <w:spacing w:after="40" w:line="252" w:lineRule="auto"/>
            </w:pPr>
            <w:r>
              <w:rPr>
                <w:sz w:val="18"/>
              </w:rPr>
              <w:t>Flat route list with repeated Suspense boundaries.</w:t>
            </w:r>
          </w:p>
        </w:tc>
        <w:tc>
          <w:tcPr>
            <w:tcW w:type="dxa" w:w="3210"/>
            <w:tcMar>
              <w:top w:w="80" w:type="dxa"/>
              <w:start w:w="120" w:type="dxa"/>
              <w:bottom w:w="80" w:type="dxa"/>
              <w:end w:w="120" w:type="dxa"/>
            </w:tcMar>
            <w:vAlign w:val="center"/>
          </w:tcPr>
          <w:p>
            <w:pPr>
              <w:spacing w:after="40" w:line="252" w:lineRule="auto"/>
            </w:pPr>
            <w:r>
              <w:rPr>
                <w:sz w:val="18"/>
              </w:rPr>
              <w:t>Supports nested route/provider recommendation.</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frontend/src/components/workspace/WorkspaceHomeShell.tsx:15–43</w:t>
            </w:r>
          </w:p>
        </w:tc>
        <w:tc>
          <w:tcPr>
            <w:tcW w:type="dxa" w:w="3300"/>
            <w:tcMar>
              <w:top w:w="80" w:type="dxa"/>
              <w:start w:w="120" w:type="dxa"/>
              <w:bottom w:w="80" w:type="dxa"/>
              <w:end w:w="120" w:type="dxa"/>
            </w:tcMar>
            <w:vAlign w:val="center"/>
          </w:tcPr>
          <w:p>
            <w:pPr>
              <w:spacing w:after="40" w:line="252" w:lineRule="auto"/>
            </w:pPr>
            <w:r>
              <w:rPr>
                <w:sz w:val="18"/>
              </w:rPr>
              <w:t>Workspace context defaults to an empty list; shell owns deal/session loading.</w:t>
            </w:r>
          </w:p>
        </w:tc>
        <w:tc>
          <w:tcPr>
            <w:tcW w:type="dxa" w:w="3210"/>
            <w:tcMar>
              <w:top w:w="80" w:type="dxa"/>
              <w:start w:w="120" w:type="dxa"/>
              <w:bottom w:w="80" w:type="dxa"/>
              <w:end w:w="120" w:type="dxa"/>
            </w:tcMar>
            <w:vAlign w:val="center"/>
          </w:tcPr>
          <w:p>
            <w:pPr>
              <w:spacing w:after="40" w:line="252" w:lineRule="auto"/>
            </w:pPr>
            <w:r>
              <w:rPr>
                <w:sz w:val="18"/>
              </w:rPr>
              <w:t>Supports fail-fast scoped provider and route lifetime.</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frontend/src/components/workspace/WorkspaceLayout.tsx:3–24</w:t>
            </w:r>
          </w:p>
        </w:tc>
        <w:tc>
          <w:tcPr>
            <w:tcW w:type="dxa" w:w="3300"/>
            <w:tcMar>
              <w:top w:w="80" w:type="dxa"/>
              <w:start w:w="120" w:type="dxa"/>
              <w:bottom w:w="80" w:type="dxa"/>
              <w:end w:w="120" w:type="dxa"/>
            </w:tcMar>
            <w:vAlign w:val="center"/>
          </w:tcPr>
          <w:p>
            <w:pPr>
              <w:spacing w:after="40" w:line="252" w:lineRule="auto"/>
            </w:pPr>
            <w:r>
              <w:rPr>
                <w:sz w:val="18"/>
              </w:rPr>
              <w:t>Sidebar/header/children slots.</w:t>
            </w:r>
          </w:p>
        </w:tc>
        <w:tc>
          <w:tcPr>
            <w:tcW w:type="dxa" w:w="3210"/>
            <w:tcMar>
              <w:top w:w="80" w:type="dxa"/>
              <w:start w:w="120" w:type="dxa"/>
              <w:bottom w:w="80" w:type="dxa"/>
              <w:end w:w="120" w:type="dxa"/>
            </w:tcMar>
            <w:vAlign w:val="center"/>
          </w:tcPr>
          <w:p>
            <w:pPr>
              <w:spacing w:after="40" w:line="252" w:lineRule="auto"/>
            </w:pPr>
            <w:r>
              <w:rPr>
                <w:sz w:val="18"/>
              </w:rPr>
              <w:t>Existing composition seam to preserve.</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frontend/src/components/workspace/WorkspaceSidebar.tsx:6–50</w:t>
            </w:r>
          </w:p>
        </w:tc>
        <w:tc>
          <w:tcPr>
            <w:tcW w:type="dxa" w:w="3300"/>
            <w:tcMar>
              <w:top w:w="80" w:type="dxa"/>
              <w:start w:w="120" w:type="dxa"/>
              <w:bottom w:w="80" w:type="dxa"/>
              <w:end w:w="120" w:type="dxa"/>
            </w:tcMar>
            <w:vAlign w:val="center"/>
          </w:tcPr>
          <w:p>
            <w:pPr>
              <w:spacing w:after="40" w:line="252" w:lineRule="auto"/>
            </w:pPr>
            <w:r>
              <w:rPr>
                <w:sz w:val="18"/>
              </w:rPr>
              <w:t>Mode-based wrapper with variant-only optional props.</w:t>
            </w:r>
          </w:p>
        </w:tc>
        <w:tc>
          <w:tcPr>
            <w:tcW w:type="dxa" w:w="3210"/>
            <w:tcMar>
              <w:top w:w="80" w:type="dxa"/>
              <w:start w:w="120" w:type="dxa"/>
              <w:bottom w:w="80" w:type="dxa"/>
              <w:end w:w="120" w:type="dxa"/>
            </w:tcMar>
            <w:vAlign w:val="center"/>
          </w:tcPr>
          <w:p>
            <w:pPr>
              <w:spacing w:after="40" w:line="252" w:lineRule="auto"/>
            </w:pPr>
            <w:r>
              <w:rPr>
                <w:sz w:val="18"/>
              </w:rPr>
              <w:t>Prefer direct named variant imports.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frontend/src/components/workspace/SidebarFrame.tsx:9–120</w:t>
            </w:r>
          </w:p>
        </w:tc>
        <w:tc>
          <w:tcPr>
            <w:tcW w:type="dxa" w:w="3300"/>
            <w:tcMar>
              <w:top w:w="80" w:type="dxa"/>
              <w:start w:w="120" w:type="dxa"/>
              <w:bottom w:w="80" w:type="dxa"/>
              <w:end w:w="120" w:type="dxa"/>
            </w:tcMar>
            <w:vAlign w:val="center"/>
          </w:tcPr>
          <w:p>
            <w:pPr>
              <w:spacing w:after="40" w:line="252" w:lineRule="auto"/>
            </w:pPr>
            <w:r>
              <w:rPr>
                <w:sz w:val="18"/>
              </w:rPr>
              <w:t>Structural flags and function child select layout.</w:t>
            </w:r>
          </w:p>
        </w:tc>
        <w:tc>
          <w:tcPr>
            <w:tcW w:type="dxa" w:w="3210"/>
            <w:tcMar>
              <w:top w:w="80" w:type="dxa"/>
              <w:start w:w="120" w:type="dxa"/>
              <w:bottom w:w="80" w:type="dxa"/>
              <w:end w:w="120" w:type="dxa"/>
            </w:tcMar>
            <w:vAlign w:val="center"/>
          </w:tcPr>
          <w:p>
            <w:pPr>
              <w:spacing w:after="40" w:line="252" w:lineRule="auto"/>
            </w:pPr>
            <w:r>
              <w:rPr>
                <w:sz w:val="18"/>
              </w:rPr>
              <w:t>Supports compound primitives and explicit variants.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frontend/src/components/workspace/SidebarLink.tsx:5–48</w:t>
            </w:r>
          </w:p>
        </w:tc>
        <w:tc>
          <w:tcPr>
            <w:tcW w:type="dxa" w:w="3300"/>
            <w:tcMar>
              <w:top w:w="80" w:type="dxa"/>
              <w:start w:w="120" w:type="dxa"/>
              <w:bottom w:w="80" w:type="dxa"/>
              <w:end w:w="120" w:type="dxa"/>
            </w:tcMar>
            <w:vAlign w:val="center"/>
          </w:tcPr>
          <w:p>
            <w:pPr>
              <w:spacing w:after="40" w:line="252" w:lineRule="auto"/>
            </w:pPr>
            <w:r>
              <w:rPr>
                <w:sz w:val="18"/>
              </w:rPr>
              <w:t>Optional href changes semantics; label-specific behavior.</w:t>
            </w:r>
          </w:p>
        </w:tc>
        <w:tc>
          <w:tcPr>
            <w:tcW w:type="dxa" w:w="3210"/>
            <w:tcMar>
              <w:top w:w="80" w:type="dxa"/>
              <w:start w:w="120" w:type="dxa"/>
              <w:bottom w:w="80" w:type="dxa"/>
              <w:end w:w="120" w:type="dxa"/>
            </w:tcMar>
            <w:vAlign w:val="center"/>
          </w:tcPr>
          <w:p>
            <w:pPr>
              <w:spacing w:after="40" w:line="252" w:lineRule="auto"/>
            </w:pPr>
            <w:r>
              <w:rPr>
                <w:sz w:val="18"/>
              </w:rPr>
              <w:t>Split NavItem and ActionItem.</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frontend/src/pages/DealRoomPage.tsx:66–129</w:t>
            </w:r>
          </w:p>
        </w:tc>
        <w:tc>
          <w:tcPr>
            <w:tcW w:type="dxa" w:w="3300"/>
            <w:tcMar>
              <w:top w:w="80" w:type="dxa"/>
              <w:start w:w="120" w:type="dxa"/>
              <w:bottom w:w="80" w:type="dxa"/>
              <w:end w:w="120" w:type="dxa"/>
            </w:tcMar>
            <w:vAlign w:val="center"/>
          </w:tcPr>
          <w:p>
            <w:pPr>
              <w:spacing w:after="40" w:line="252" w:lineRule="auto"/>
            </w:pPr>
            <w:r>
              <w:rPr>
                <w:sz w:val="18"/>
              </w:rPr>
              <w:t>Local view state and nested feature branches.</w:t>
            </w:r>
          </w:p>
        </w:tc>
        <w:tc>
          <w:tcPr>
            <w:tcW w:type="dxa" w:w="3210"/>
            <w:tcMar>
              <w:top w:w="80" w:type="dxa"/>
              <w:start w:w="120" w:type="dxa"/>
              <w:bottom w:w="80" w:type="dxa"/>
              <w:end w:w="120" w:type="dxa"/>
            </w:tcMar>
            <w:vAlign w:val="center"/>
          </w:tcPr>
          <w:p>
            <w:pPr>
              <w:spacing w:after="40" w:line="252" w:lineRule="auto"/>
            </w:pPr>
            <w:r>
              <w:rPr>
                <w:sz w:val="18"/>
              </w:rPr>
              <w:t>Candidate for nested deal feature composition.</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frontend/src/pages/DataRoomPage.tsx:34–338</w:t>
            </w:r>
          </w:p>
        </w:tc>
        <w:tc>
          <w:tcPr>
            <w:tcW w:type="dxa" w:w="3300"/>
            <w:tcMar>
              <w:top w:w="80" w:type="dxa"/>
              <w:start w:w="120" w:type="dxa"/>
              <w:bottom w:w="80" w:type="dxa"/>
              <w:end w:w="120" w:type="dxa"/>
            </w:tcMar>
            <w:vAlign w:val="center"/>
          </w:tcPr>
          <w:p>
            <w:pPr>
              <w:spacing w:after="40" w:line="252" w:lineRule="auto"/>
            </w:pPr>
            <w:r>
              <w:rPr>
                <w:sz w:val="18"/>
              </w:rPr>
              <w:t>Many related hooks, asynchronous preview/raw loading, panels and overlays.</w:t>
            </w:r>
          </w:p>
        </w:tc>
        <w:tc>
          <w:tcPr>
            <w:tcW w:type="dxa" w:w="3210"/>
            <w:tcMar>
              <w:top w:w="80" w:type="dxa"/>
              <w:start w:w="120" w:type="dxa"/>
              <w:bottom w:w="80" w:type="dxa"/>
              <w:end w:w="120" w:type="dxa"/>
            </w:tcMar>
            <w:vAlign w:val="center"/>
          </w:tcPr>
          <w:p>
            <w:pPr>
              <w:spacing w:after="40" w:line="252" w:lineRule="auto"/>
            </w:pPr>
            <w:r>
              <w:rPr>
                <w:sz w:val="18"/>
              </w:rPr>
              <w:t>Highest-value reducer/provider migration.</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frontend/src/pages/SummarizePage.tsx:33–143</w:t>
            </w:r>
          </w:p>
        </w:tc>
        <w:tc>
          <w:tcPr>
            <w:tcW w:type="dxa" w:w="3300"/>
            <w:tcMar>
              <w:top w:w="80" w:type="dxa"/>
              <w:start w:w="120" w:type="dxa"/>
              <w:bottom w:w="80" w:type="dxa"/>
              <w:end w:w="120" w:type="dxa"/>
            </w:tcMar>
            <w:vAlign w:val="center"/>
          </w:tcPr>
          <w:p>
            <w:pPr>
              <w:spacing w:after="40" w:line="252" w:lineRule="auto"/>
            </w:pPr>
            <w:r>
              <w:rPr>
                <w:sz w:val="18"/>
              </w:rPr>
              <w:t>Source selection and four-way summarize dispatch.</w:t>
            </w:r>
          </w:p>
        </w:tc>
        <w:tc>
          <w:tcPr>
            <w:tcW w:type="dxa" w:w="3210"/>
            <w:tcMar>
              <w:top w:w="80" w:type="dxa"/>
              <w:start w:w="120" w:type="dxa"/>
              <w:bottom w:w="80" w:type="dxa"/>
              <w:end w:w="120" w:type="dxa"/>
            </w:tcMar>
            <w:vAlign w:val="center"/>
          </w:tcPr>
          <w:p>
            <w:pPr>
              <w:spacing w:after="40" w:line="252" w:lineRule="auto"/>
            </w:pPr>
            <w:r>
              <w:rPr>
                <w:sz w:val="18"/>
              </w:rPr>
              <w:t>Normalize SummarySource and one dispatch point.</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frontend/src/components/deals/AddDealModal.tsx:61–353</w:t>
            </w:r>
          </w:p>
        </w:tc>
        <w:tc>
          <w:tcPr>
            <w:tcW w:type="dxa" w:w="3300"/>
            <w:tcMar>
              <w:top w:w="80" w:type="dxa"/>
              <w:start w:w="120" w:type="dxa"/>
              <w:bottom w:w="80" w:type="dxa"/>
              <w:end w:w="120" w:type="dxa"/>
            </w:tcMar>
            <w:vAlign w:val="center"/>
          </w:tcPr>
          <w:p>
            <w:pPr>
              <w:spacing w:after="40" w:line="252" w:lineRule="auto"/>
            </w:pPr>
            <w:r>
              <w:rPr>
                <w:sz w:val="18"/>
              </w:rPr>
              <w:t>Two-step workflow plus runtime target branching.</w:t>
            </w:r>
          </w:p>
        </w:tc>
        <w:tc>
          <w:tcPr>
            <w:tcW w:type="dxa" w:w="3210"/>
            <w:tcMar>
              <w:top w:w="80" w:type="dxa"/>
              <w:start w:w="120" w:type="dxa"/>
              <w:bottom w:w="80" w:type="dxa"/>
              <w:end w:w="120" w:type="dxa"/>
            </w:tcMar>
            <w:vAlign w:val="center"/>
          </w:tcPr>
          <w:p>
            <w:pPr>
              <w:spacing w:after="40" w:line="252" w:lineRule="auto"/>
            </w:pPr>
            <w:r>
              <w:rPr>
                <w:sz w:val="18"/>
              </w:rPr>
              <w:t>Reducer/state machine and injected source strategy.</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frontend/src/components/pdf-viewer/types.ts:176–224</w:t>
            </w:r>
          </w:p>
        </w:tc>
        <w:tc>
          <w:tcPr>
            <w:tcW w:type="dxa" w:w="3300"/>
            <w:tcMar>
              <w:top w:w="80" w:type="dxa"/>
              <w:start w:w="120" w:type="dxa"/>
              <w:bottom w:w="80" w:type="dxa"/>
              <w:end w:w="120" w:type="dxa"/>
            </w:tcMar>
            <w:vAlign w:val="center"/>
          </w:tcPr>
          <w:p>
            <w:pPr>
              <w:spacing w:after="40" w:line="252" w:lineRule="auto"/>
            </w:pPr>
            <w:r>
              <w:rPr>
                <w:sz w:val="18"/>
              </w:rPr>
              <w:t>Six feature flags and three rendering callbacks.</w:t>
            </w:r>
          </w:p>
        </w:tc>
        <w:tc>
          <w:tcPr>
            <w:tcW w:type="dxa" w:w="3210"/>
            <w:tcMar>
              <w:top w:w="80" w:type="dxa"/>
              <w:start w:w="120" w:type="dxa"/>
              <w:bottom w:w="80" w:type="dxa"/>
              <w:end w:w="120" w:type="dxa"/>
            </w:tcMar>
            <w:vAlign w:val="center"/>
          </w:tcPr>
          <w:p>
            <w:pPr>
              <w:spacing w:after="40" w:line="252" w:lineRule="auto"/>
            </w:pPr>
            <w:r>
              <w:rPr>
                <w:sz w:val="18"/>
              </w:rPr>
              <w:t>Compound parts and named PDF presets.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frontend/src/components/pdf-viewer/pdf-viewer.tsx:89–660</w:t>
            </w:r>
          </w:p>
        </w:tc>
        <w:tc>
          <w:tcPr>
            <w:tcW w:type="dxa" w:w="3300"/>
            <w:tcMar>
              <w:top w:w="80" w:type="dxa"/>
              <w:start w:w="120" w:type="dxa"/>
              <w:bottom w:w="80" w:type="dxa"/>
              <w:end w:w="120" w:type="dxa"/>
            </w:tcMar>
            <w:vAlign w:val="center"/>
          </w:tcPr>
          <w:p>
            <w:pPr>
              <w:spacing w:after="40" w:line="252" w:lineRule="auto"/>
            </w:pPr>
            <w:r>
              <w:rPr>
                <w:sz w:val="18"/>
              </w:rPr>
              <w:t>Large controller and flag-driven rendering.</w:t>
            </w:r>
          </w:p>
        </w:tc>
        <w:tc>
          <w:tcPr>
            <w:tcW w:type="dxa" w:w="3210"/>
            <w:tcMar>
              <w:top w:w="80" w:type="dxa"/>
              <w:start w:w="120" w:type="dxa"/>
              <w:bottom w:w="80" w:type="dxa"/>
              <w:end w:w="120" w:type="dxa"/>
            </w:tcMar>
            <w:vAlign w:val="center"/>
          </w:tcPr>
          <w:p>
            <w:pPr>
              <w:spacing w:after="40" w:line="252" w:lineRule="auto"/>
            </w:pPr>
            <w:r>
              <w:rPr>
                <w:sz w:val="18"/>
              </w:rPr>
              <w:t>Split provider/controller from view parts.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frontend/src/contracts/quarryApi.ts:120–180</w:t>
            </w:r>
          </w:p>
        </w:tc>
        <w:tc>
          <w:tcPr>
            <w:tcW w:type="dxa" w:w="3300"/>
            <w:tcMar>
              <w:top w:w="80" w:type="dxa"/>
              <w:start w:w="120" w:type="dxa"/>
              <w:bottom w:w="80" w:type="dxa"/>
              <w:end w:w="120" w:type="dxa"/>
            </w:tcMar>
            <w:vAlign w:val="center"/>
          </w:tcPr>
          <w:p>
            <w:pPr>
              <w:spacing w:after="40" w:line="252" w:lineRule="auto"/>
            </w:pPr>
            <w:r>
              <w:rPr>
                <w:sz w:val="18"/>
              </w:rPr>
              <w:t>Transport-neutral domain API interface.</w:t>
            </w:r>
          </w:p>
        </w:tc>
        <w:tc>
          <w:tcPr>
            <w:tcW w:type="dxa" w:w="3210"/>
            <w:tcMar>
              <w:top w:w="80" w:type="dxa"/>
              <w:start w:w="120" w:type="dxa"/>
              <w:bottom w:w="80" w:type="dxa"/>
              <w:end w:w="120" w:type="dxa"/>
            </w:tcMar>
            <w:vAlign w:val="center"/>
          </w:tcPr>
          <w:p>
            <w:pPr>
              <w:spacing w:after="40" w:line="252" w:lineRule="auto"/>
            </w:pPr>
            <w:r>
              <w:rPr>
                <w:sz w:val="18"/>
              </w:rPr>
              <w:t>Stable public contract to preserve.</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frontend/src/runtime/httpQuarryApi.ts:205–445</w:t>
            </w:r>
          </w:p>
        </w:tc>
        <w:tc>
          <w:tcPr>
            <w:tcW w:type="dxa" w:w="3300"/>
            <w:tcMar>
              <w:top w:w="80" w:type="dxa"/>
              <w:start w:w="120" w:type="dxa"/>
              <w:bottom w:w="80" w:type="dxa"/>
              <w:end w:w="120" w:type="dxa"/>
            </w:tcMar>
            <w:vAlign w:val="center"/>
          </w:tcPr>
          <w:p>
            <w:pPr>
              <w:spacing w:after="40" w:line="252" w:lineRule="auto"/>
            </w:pPr>
            <w:r>
              <w:rPr>
                <w:sz w:val="18"/>
              </w:rPr>
              <w:t>HTTP endpoint and decoding mappings.</w:t>
            </w:r>
          </w:p>
        </w:tc>
        <w:tc>
          <w:tcPr>
            <w:tcW w:type="dxa" w:w="3210"/>
            <w:tcMar>
              <w:top w:w="80" w:type="dxa"/>
              <w:start w:w="120" w:type="dxa"/>
              <w:bottom w:w="80" w:type="dxa"/>
              <w:end w:w="120" w:type="dxa"/>
            </w:tcMar>
            <w:vAlign w:val="center"/>
          </w:tcPr>
          <w:p>
            <w:pPr>
              <w:spacing w:after="40" w:line="252" w:lineRule="auto"/>
            </w:pPr>
            <w:r>
              <w:rPr>
                <w:sz w:val="18"/>
              </w:rPr>
              <w:t>Combine with Tauri mappings in one API factory.</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frontend/src/runtime/tauriQuarryApi.ts:50–175</w:t>
            </w:r>
          </w:p>
        </w:tc>
        <w:tc>
          <w:tcPr>
            <w:tcW w:type="dxa" w:w="3300"/>
            <w:tcMar>
              <w:top w:w="80" w:type="dxa"/>
              <w:start w:w="120" w:type="dxa"/>
              <w:bottom w:w="80" w:type="dxa"/>
              <w:end w:w="120" w:type="dxa"/>
            </w:tcMar>
            <w:vAlign w:val="center"/>
          </w:tcPr>
          <w:p>
            <w:pPr>
              <w:spacing w:after="40" w:line="252" w:lineRule="auto"/>
            </w:pPr>
            <w:r>
              <w:rPr>
                <w:sz w:val="18"/>
              </w:rPr>
              <w:t>Parallel Tauri endpoint and decoding mappings.</w:t>
            </w:r>
          </w:p>
        </w:tc>
        <w:tc>
          <w:tcPr>
            <w:tcW w:type="dxa" w:w="3210"/>
            <w:tcMar>
              <w:top w:w="80" w:type="dxa"/>
              <w:start w:w="120" w:type="dxa"/>
              <w:bottom w:w="80" w:type="dxa"/>
              <w:end w:w="120" w:type="dxa"/>
            </w:tcMar>
            <w:vAlign w:val="center"/>
          </w:tcPr>
          <w:p>
            <w:pPr>
              <w:spacing w:after="40" w:line="252" w:lineRule="auto"/>
            </w:pPr>
            <w:r>
              <w:rPr>
                <w:sz w:val="18"/>
              </w:rPr>
              <w:t>Transport adapter should own only Tauri I/O.</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backend/src/main.rs:14–20</w:t>
            </w:r>
          </w:p>
        </w:tc>
        <w:tc>
          <w:tcPr>
            <w:tcW w:type="dxa" w:w="3300"/>
            <w:tcMar>
              <w:top w:w="80" w:type="dxa"/>
              <w:start w:w="120" w:type="dxa"/>
              <w:bottom w:w="80" w:type="dxa"/>
              <w:end w:w="120" w:type="dxa"/>
            </w:tcMar>
            <w:vAlign w:val="center"/>
          </w:tcPr>
          <w:p>
            <w:pPr>
              <w:spacing w:after="40" w:line="252" w:lineRule="auto"/>
            </w:pPr>
            <w:r>
              <w:rPr>
                <w:sz w:val="18"/>
              </w:rPr>
              <w:t>Configuration followed by AppState::new().</w:t>
            </w:r>
          </w:p>
        </w:tc>
        <w:tc>
          <w:tcPr>
            <w:tcW w:type="dxa" w:w="3210"/>
            <w:tcMar>
              <w:top w:w="80" w:type="dxa"/>
              <w:start w:w="120" w:type="dxa"/>
              <w:bottom w:w="80" w:type="dxa"/>
              <w:end w:w="120" w:type="dxa"/>
            </w:tcMar>
            <w:vAlign w:val="center"/>
          </w:tcPr>
          <w:p>
            <w:pPr>
              <w:spacing w:after="40" w:line="252" w:lineRule="auto"/>
            </w:pPr>
            <w:r>
              <w:rPr>
                <w:sz w:val="18"/>
              </w:rPr>
              <w:t>Introduce explicit bootstrap composition root.</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backend/src/state.rs:34–125</w:t>
            </w:r>
          </w:p>
        </w:tc>
        <w:tc>
          <w:tcPr>
            <w:tcW w:type="dxa" w:w="3300"/>
            <w:tcMar>
              <w:top w:w="80" w:type="dxa"/>
              <w:start w:w="120" w:type="dxa"/>
              <w:bottom w:w="80" w:type="dxa"/>
              <w:end w:w="120" w:type="dxa"/>
            </w:tcMar>
            <w:vAlign w:val="center"/>
          </w:tcPr>
          <w:p>
            <w:pPr>
              <w:spacing w:after="40" w:line="252" w:lineRule="auto"/>
            </w:pPr>
            <w:r>
              <w:rPr>
                <w:sz w:val="18"/>
              </w:rPr>
              <w:t>Concrete clients, stores, locks, construction, migrations, and helpers.</w:t>
            </w:r>
          </w:p>
        </w:tc>
        <w:tc>
          <w:tcPr>
            <w:tcW w:type="dxa" w:w="3210"/>
            <w:tcMar>
              <w:top w:w="80" w:type="dxa"/>
              <w:start w:w="120" w:type="dxa"/>
              <w:bottom w:w="80" w:type="dxa"/>
              <w:end w:w="120" w:type="dxa"/>
            </w:tcMar>
            <w:vAlign w:val="center"/>
          </w:tcPr>
          <w:p>
            <w:pPr>
              <w:spacing w:after="40" w:line="252" w:lineRule="auto"/>
            </w:pPr>
            <w:r>
              <w:rPr>
                <w:sz w:val="18"/>
              </w:rPr>
              <w:t>Slim AppState and move construction/migrations out.</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backend/src/routes/mod.rs:22–50</w:t>
            </w:r>
          </w:p>
        </w:tc>
        <w:tc>
          <w:tcPr>
            <w:tcW w:type="dxa" w:w="3300"/>
            <w:tcMar>
              <w:top w:w="80" w:type="dxa"/>
              <w:start w:w="120" w:type="dxa"/>
              <w:bottom w:w="80" w:type="dxa"/>
              <w:end w:w="120" w:type="dxa"/>
            </w:tcMar>
            <w:vAlign w:val="center"/>
          </w:tcPr>
          <w:p>
            <w:pPr>
              <w:spacing w:after="40" w:line="252" w:lineRule="auto"/>
            </w:pPr>
            <w:r>
              <w:rPr>
                <w:sz w:val="18"/>
              </w:rPr>
              <w:t>Router merge/nest and Tower middleware.</w:t>
            </w:r>
          </w:p>
        </w:tc>
        <w:tc>
          <w:tcPr>
            <w:tcW w:type="dxa" w:w="3210"/>
            <w:tcMar>
              <w:top w:w="80" w:type="dxa"/>
              <w:start w:w="120" w:type="dxa"/>
              <w:bottom w:w="80" w:type="dxa"/>
              <w:end w:w="120" w:type="dxa"/>
            </w:tcMar>
            <w:vAlign w:val="center"/>
          </w:tcPr>
          <w:p>
            <w:pPr>
              <w:spacing w:after="40" w:line="252" w:lineRule="auto"/>
            </w:pPr>
            <w:r>
              <w:rPr>
                <w:sz w:val="18"/>
              </w:rPr>
              <w:t>Strong delivery composition to preserve.</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backend/src/core/services/deal_service.rs:88–260</w:t>
            </w:r>
          </w:p>
        </w:tc>
        <w:tc>
          <w:tcPr>
            <w:tcW w:type="dxa" w:w="3300"/>
            <w:tcMar>
              <w:top w:w="80" w:type="dxa"/>
              <w:start w:w="120" w:type="dxa"/>
              <w:bottom w:w="80" w:type="dxa"/>
              <w:end w:w="120" w:type="dxa"/>
            </w:tcMar>
            <w:vAlign w:val="center"/>
          </w:tcPr>
          <w:p>
            <w:pPr>
              <w:spacing w:after="40" w:line="252" w:lineRule="auto"/>
            </w:pPr>
            <w:r>
              <w:rPr>
                <w:sz w:val="18"/>
              </w:rPr>
              <w:t>Service receives AppState; environment/client construction in extraction path.</w:t>
            </w:r>
          </w:p>
        </w:tc>
        <w:tc>
          <w:tcPr>
            <w:tcW w:type="dxa" w:w="3210"/>
            <w:tcMar>
              <w:top w:w="80" w:type="dxa"/>
              <w:start w:w="120" w:type="dxa"/>
              <w:bottom w:w="80" w:type="dxa"/>
              <w:end w:w="120" w:type="dxa"/>
            </w:tcMar>
            <w:vAlign w:val="center"/>
          </w:tcPr>
          <w:p>
            <w:pPr>
              <w:spacing w:after="40" w:line="252" w:lineRule="auto"/>
            </w:pPr>
            <w:r>
              <w:rPr>
                <w:sz w:val="18"/>
              </w:rPr>
              <w:t>Inject DealStore and AiGateway.</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backend/src/core/repositories/deal_repository.rs:84–227</w:t>
            </w:r>
          </w:p>
        </w:tc>
        <w:tc>
          <w:tcPr>
            <w:tcW w:type="dxa" w:w="3300"/>
            <w:tcMar>
              <w:top w:w="80" w:type="dxa"/>
              <w:start w:w="120" w:type="dxa"/>
              <w:bottom w:w="80" w:type="dxa"/>
              <w:end w:w="120" w:type="dxa"/>
            </w:tcMar>
            <w:vAlign w:val="center"/>
          </w:tcPr>
          <w:p>
            <w:pPr>
              <w:spacing w:after="40" w:line="252" w:lineRule="auto"/>
            </w:pPr>
            <w:r>
              <w:rPr>
                <w:sz w:val="18"/>
              </w:rPr>
              <w:t>Repository receives AppState though persistence is SQLite-specific.</w:t>
            </w:r>
          </w:p>
        </w:tc>
        <w:tc>
          <w:tcPr>
            <w:tcW w:type="dxa" w:w="3210"/>
            <w:tcMar>
              <w:top w:w="80" w:type="dxa"/>
              <w:start w:w="120" w:type="dxa"/>
              <w:bottom w:w="80" w:type="dxa"/>
              <w:end w:w="120" w:type="dxa"/>
            </w:tcMar>
            <w:vAlign w:val="center"/>
          </w:tcPr>
          <w:p>
            <w:pPr>
              <w:spacing w:after="40" w:line="252" w:lineRule="auto"/>
            </w:pPr>
            <w:r>
              <w:rPr>
                <w:sz w:val="18"/>
              </w:rPr>
              <w:t>Depend on the minimum database capability.</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backend/src/core/services/document_ingestion_service.rs:89–339</w:t>
            </w:r>
          </w:p>
        </w:tc>
        <w:tc>
          <w:tcPr>
            <w:tcW w:type="dxa" w:w="3300"/>
            <w:tcMar>
              <w:top w:w="80" w:type="dxa"/>
              <w:start w:w="120" w:type="dxa"/>
              <w:bottom w:w="80" w:type="dxa"/>
              <w:end w:w="120" w:type="dxa"/>
            </w:tcMar>
            <w:vAlign w:val="center"/>
          </w:tcPr>
          <w:p>
            <w:pPr>
              <w:spacing w:after="40" w:line="252" w:lineRule="auto"/>
            </w:pPr>
            <w:r>
              <w:rPr>
                <w:sz w:val="18"/>
              </w:rPr>
              <w:t>Concurrent ingestion orchestration and concrete collaborators.</w:t>
            </w:r>
          </w:p>
        </w:tc>
        <w:tc>
          <w:tcPr>
            <w:tcW w:type="dxa" w:w="3210"/>
            <w:tcMar>
              <w:top w:w="80" w:type="dxa"/>
              <w:start w:w="120" w:type="dxa"/>
              <w:bottom w:w="80" w:type="dxa"/>
              <w:end w:w="120" w:type="dxa"/>
            </w:tcMar>
            <w:vAlign w:val="center"/>
          </w:tcPr>
          <w:p>
            <w:pPr>
              <w:spacing w:after="40" w:line="252" w:lineRule="auto"/>
            </w:pPr>
            <w:r>
              <w:rPr>
                <w:sz w:val="18"/>
              </w:rPr>
              <w:t>Application pipeline over document/search/AI/job ports.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backend/src/core/repositories/document_repository.rs</w:t>
            </w:r>
          </w:p>
        </w:tc>
        <w:tc>
          <w:tcPr>
            <w:tcW w:type="dxa" w:w="3300"/>
            <w:tcMar>
              <w:top w:w="80" w:type="dxa"/>
              <w:start w:w="120" w:type="dxa"/>
              <w:bottom w:w="80" w:type="dxa"/>
              <w:end w:w="120" w:type="dxa"/>
            </w:tcMar>
            <w:vAlign w:val="center"/>
          </w:tcPr>
          <w:p>
            <w:pPr>
              <w:spacing w:after="40" w:line="252" w:lineRule="auto"/>
            </w:pPr>
            <w:r>
              <w:rPr>
                <w:sz w:val="18"/>
              </w:rPr>
              <w:t>Large mixed SQLite, graph/search, Helix, and validation responsibility.</w:t>
            </w:r>
          </w:p>
        </w:tc>
        <w:tc>
          <w:tcPr>
            <w:tcW w:type="dxa" w:w="3210"/>
            <w:tcMar>
              <w:top w:w="80" w:type="dxa"/>
              <w:start w:w="120" w:type="dxa"/>
              <w:bottom w:w="80" w:type="dxa"/>
              <w:end w:w="120" w:type="dxa"/>
            </w:tcMar>
            <w:vAlign w:val="center"/>
          </w:tcPr>
          <w:p>
            <w:pPr>
              <w:spacing w:after="40" w:line="252" w:lineRule="auto"/>
            </w:pPr>
            <w:r>
              <w:rPr>
                <w:sz w:val="18"/>
              </w:rPr>
              <w:t>Split persistence, index, and mapping responsibilities.</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backend/src/core/clients/openai.rs:17–315</w:t>
            </w:r>
          </w:p>
        </w:tc>
        <w:tc>
          <w:tcPr>
            <w:tcW w:type="dxa" w:w="3300"/>
            <w:tcMar>
              <w:top w:w="80" w:type="dxa"/>
              <w:start w:w="120" w:type="dxa"/>
              <w:bottom w:w="80" w:type="dxa"/>
              <w:end w:w="120" w:type="dxa"/>
            </w:tcMar>
            <w:vAlign w:val="center"/>
          </w:tcPr>
          <w:p>
            <w:pPr>
              <w:spacing w:after="40" w:line="252" w:lineRule="auto"/>
            </w:pPr>
            <w:r>
              <w:rPr>
                <w:sz w:val="18"/>
              </w:rPr>
              <w:t>API key ownership and multiple reqwest::Client constructions.</w:t>
            </w:r>
          </w:p>
        </w:tc>
        <w:tc>
          <w:tcPr>
            <w:tcW w:type="dxa" w:w="3210"/>
            <w:tcMar>
              <w:top w:w="80" w:type="dxa"/>
              <w:start w:w="120" w:type="dxa"/>
              <w:bottom w:w="80" w:type="dxa"/>
              <w:end w:w="120" w:type="dxa"/>
            </w:tcMar>
            <w:vAlign w:val="center"/>
          </w:tcPr>
          <w:p>
            <w:pPr>
              <w:spacing w:after="40" w:line="252" w:lineRule="auto"/>
            </w:pPr>
            <w:r>
              <w:rPr>
                <w:sz w:val="18"/>
              </w:rPr>
              <w:t>Inject a single configured shared HTTP client.</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backend/src/handlers/documents/process.rs:34–225</w:t>
            </w:r>
          </w:p>
        </w:tc>
        <w:tc>
          <w:tcPr>
            <w:tcW w:type="dxa" w:w="3300"/>
            <w:tcMar>
              <w:top w:w="80" w:type="dxa"/>
              <w:start w:w="120" w:type="dxa"/>
              <w:bottom w:w="80" w:type="dxa"/>
              <w:end w:w="120" w:type="dxa"/>
            </w:tcMar>
            <w:vAlign w:val="center"/>
          </w:tcPr>
          <w:p>
            <w:pPr>
              <w:spacing w:after="40" w:line="252" w:lineRule="auto"/>
            </w:pPr>
            <w:r>
              <w:rPr>
                <w:sz w:val="18"/>
              </w:rPr>
              <w:t>Handler owns job lifecycle/spawn/retention plus multipart extraction.</w:t>
            </w:r>
          </w:p>
        </w:tc>
        <w:tc>
          <w:tcPr>
            <w:tcW w:type="dxa" w:w="3210"/>
            <w:tcMar>
              <w:top w:w="80" w:type="dxa"/>
              <w:start w:w="120" w:type="dxa"/>
              <w:bottom w:w="80" w:type="dxa"/>
              <w:end w:w="120" w:type="dxa"/>
            </w:tcMar>
            <w:vAlign w:val="center"/>
          </w:tcPr>
          <w:p>
            <w:pPr>
              <w:spacing w:after="40" w:line="252" w:lineRule="auto"/>
            </w:pPr>
            <w:r>
              <w:rPr>
                <w:sz w:val="18"/>
              </w:rPr>
              <w:t>Keep extraction; move job policy to JobService.</w:t>
            </w:r>
          </w:p>
        </w:tc>
      </w:tr>
      <w:tr>
        <w:trPr>
          <w:cantSplit/>
        </w:trPr>
        <w:tc>
          <w:tcPr>
            <w:tcW w:type="dxa" w:w="2850"/>
            <w:shd w:fill="F4F8FB"/>
            <w:tcMar>
              <w:top w:w="80" w:type="dxa"/>
              <w:start w:w="120" w:type="dxa"/>
              <w:bottom w:w="80" w:type="dxa"/>
              <w:end w:w="120" w:type="dxa"/>
            </w:tcMar>
            <w:vAlign w:val="center"/>
          </w:tcPr>
          <w:p>
            <w:pPr>
              <w:spacing w:after="40" w:line="252" w:lineRule="auto"/>
            </w:pPr>
            <w:r>
              <w:rPr>
                <w:b/>
                <w:color w:val="1F4D78"/>
                <w:sz w:val="18"/>
              </w:rPr>
              <w:t>backend/src/errors.rs:15–57</w:t>
            </w:r>
          </w:p>
        </w:tc>
        <w:tc>
          <w:tcPr>
            <w:tcW w:type="dxa" w:w="3300"/>
            <w:tcMar>
              <w:top w:w="80" w:type="dxa"/>
              <w:start w:w="120" w:type="dxa"/>
              <w:bottom w:w="80" w:type="dxa"/>
              <w:end w:w="120" w:type="dxa"/>
            </w:tcMar>
            <w:vAlign w:val="center"/>
          </w:tcPr>
          <w:p>
            <w:pPr>
              <w:spacing w:after="40" w:line="252" w:lineRule="auto"/>
            </w:pPr>
            <w:r>
              <w:rPr>
                <w:sz w:val="18"/>
              </w:rPr>
              <w:t>BadRequest/NotFound/Internal response boundary and sanitization.</w:t>
            </w:r>
          </w:p>
        </w:tc>
        <w:tc>
          <w:tcPr>
            <w:tcW w:type="dxa" w:w="3210"/>
            <w:tcMar>
              <w:top w:w="80" w:type="dxa"/>
              <w:start w:w="120" w:type="dxa"/>
              <w:bottom w:w="80" w:type="dxa"/>
              <w:end w:w="120" w:type="dxa"/>
            </w:tcMar>
            <w:vAlign w:val="center"/>
          </w:tcPr>
          <w:p>
            <w:pPr>
              <w:spacing w:after="40" w:line="252" w:lineRule="auto"/>
            </w:pPr>
            <w:r>
              <w:rPr>
                <w:sz w:val="18"/>
              </w:rPr>
              <w:t>Preserve boundary; add typed internal service errors.</w:t>
            </w:r>
          </w:p>
        </w:tc>
      </w:tr>
    </w:tbl>
    <w:p>
      <w:pPr>
        <w:spacing w:after="20"/>
      </w:pPr>
    </w:p>
    <w:p>
      <w:pPr>
        <w:pStyle w:val="Heading1"/>
        <w:keepNext/>
      </w:pPr>
      <w:r>
        <w:t>Appendix B. Current working-tree direction</w:t>
      </w:r>
    </w:p>
    <w:p>
      <w:r>
        <w:t>The working tree contains an ActivityStream extraction from HubPage and a move from a monolithic prompts.rs toward backend/src/core/prompts/. Those changes point in the same direction as this report: extract cohesive responsibilities and give them stable module boundaries. They should be evaluated on their own merits and completed with focused tests; this assessment does not assume they are committed or released.</w:t>
      </w:r>
    </w:p>
    <w:p>
      <w:pPr>
        <w:pStyle w:val="Heading1"/>
        <w:keepNext/>
      </w:pPr>
      <w:r>
        <w:t>Appendix C. Suggested ADR outline</w:t>
      </w:r>
    </w:p>
    <w:p>
      <w:pPr>
        <w:spacing w:after="160" w:line="280" w:lineRule="auto"/>
        <w:numPr>
          <w:ilvl w:val="0"/>
          <w:numId w:val="13"/>
        </w:numPr>
      </w:pPr>
      <w:r>
        <w:t>Context: Quarry supports web and desktop runtimes and has growing feature workflows and external integrations.</w:t>
      </w:r>
    </w:p>
    <w:p>
      <w:pPr>
        <w:spacing w:after="160" w:line="280" w:lineRule="auto"/>
        <w:numPr>
          <w:ilvl w:val="0"/>
          <w:numId w:val="13"/>
        </w:numPr>
      </w:pPr>
      <w:r>
        <w:t>Decision: adopt four composition axes—view, state, transport, and backend dependencies—using explicit contracts and route/bootstrap roots.</w:t>
      </w:r>
    </w:p>
    <w:p>
      <w:pPr>
        <w:spacing w:after="160" w:line="280" w:lineRule="auto"/>
        <w:numPr>
          <w:ilvl w:val="0"/>
          <w:numId w:val="13"/>
        </w:numPr>
      </w:pPr>
      <w:r>
        <w:t>Frontend rules: children/slots for structure, explicit variants for product semantics, state/actions/meta providers, platform-neutral feature UI.</w:t>
      </w:r>
    </w:p>
    <w:p>
      <w:pPr>
        <w:spacing w:after="160" w:line="280" w:lineRule="auto"/>
        <w:numPr>
          <w:ilvl w:val="0"/>
          <w:numId w:val="13"/>
        </w:numPr>
      </w:pPr>
      <w:r>
        <w:t>Transport rules: a single Quarry API mapping over explicit HTTP/Tauri transport capabilities.</w:t>
      </w:r>
    </w:p>
    <w:p>
      <w:pPr>
        <w:spacing w:after="160" w:line="280" w:lineRule="auto"/>
        <w:numPr>
          <w:ilvl w:val="0"/>
          <w:numId w:val="13"/>
        </w:numPr>
      </w:pPr>
      <w:r>
        <w:t>Backend rules: AppConfig/bootstrap construction, lean AppState, application services over narrow ports, typed boundary errors.</w:t>
      </w:r>
    </w:p>
    <w:p>
      <w:pPr>
        <w:spacing w:after="160" w:line="280" w:lineRule="auto"/>
        <w:numPr>
          <w:ilvl w:val="0"/>
          <w:numId w:val="13"/>
        </w:numPr>
      </w:pPr>
      <w:r>
        <w:t>Incremental strategy: compatibility wrappers and one-feature-at-a-time migration; no global rewrite.</w:t>
      </w:r>
    </w:p>
    <w:p>
      <w:pPr>
        <w:spacing w:after="160" w:line="280" w:lineRule="auto"/>
        <w:numPr>
          <w:ilvl w:val="0"/>
          <w:numId w:val="13"/>
        </w:numPr>
      </w:pPr>
      <w:r>
        <w:t>Consequences: more deliberate modules and tests, fewer implicit dependencies, some temporary duplication during migration.</w:t>
      </w:r>
    </w:p>
    <w:p>
      <w:pPr>
        <w:spacing w:after="160" w:line="280" w:lineRule="auto"/>
        <w:numPr>
          <w:ilvl w:val="0"/>
          <w:numId w:val="13"/>
        </w:numPr>
      </w:pPr>
      <w:r>
        <w:t>Enforcement: import-boundary checks, contract tests, transition tests, and existing web/desktop/backend verification.</w:t>
      </w:r>
    </w:p>
    <w:p>
      <w:pPr>
        <w:pStyle w:val="Heading1"/>
        <w:keepNext/>
      </w:pPr>
      <w:r>
        <w:t>Appendix D. Glossary</w:t>
      </w:r>
    </w:p>
    <w:tbl>
      <w:tblPr>
        <w:tblStyle w:val="TableGrid"/>
        <w:tblW w:type="dxa" w:w="9360"/>
        <w:jc w:val="center"/>
        <w:tblLayout w:type="fixed"/>
        <w:tblLook w:firstColumn="1" w:firstRow="1" w:lastColumn="0" w:lastRow="0" w:noHBand="0" w:noVBand="1" w:val="04A0"/>
        <w:tblInd w:w="120" w:type="dxa"/>
        <w:tblBorders>
          <w:top w:val="single" w:sz="6" w:space="0" w:color="D7DEE5"/>
          <w:left w:val="single" w:sz="6" w:space="0" w:color="D7DEE5"/>
          <w:bottom w:val="single" w:sz="6" w:space="0" w:color="D7DEE5"/>
          <w:right w:val="single" w:sz="6" w:space="0" w:color="D7DEE5"/>
          <w:insideH w:val="single" w:sz="6" w:space="0" w:color="D7DEE5"/>
          <w:insideV w:val="single" w:sz="6" w:space="0" w:color="D7DEE5"/>
        </w:tblBorders>
      </w:tblPr>
      <w:tblGrid>
        <w:gridCol w:w="2550"/>
        <w:gridCol w:w="6810"/>
      </w:tblGrid>
      <w:tr>
        <w:trPr>
          <w:tblHeader w:val="true"/>
          <w:cantSplit/>
        </w:trPr>
        <w:tc>
          <w:tcPr>
            <w:tcW w:type="dxa" w:w="2550"/>
            <w:shd w:fill="F2F4F7"/>
            <w:tcMar>
              <w:top w:w="80" w:type="dxa"/>
              <w:start w:w="120" w:type="dxa"/>
              <w:bottom w:w="80" w:type="dxa"/>
              <w:end w:w="120" w:type="dxa"/>
            </w:tcMar>
            <w:vAlign w:val="center"/>
          </w:tcPr>
          <w:p>
            <w:pPr>
              <w:spacing w:after="0"/>
            </w:pPr>
            <w:r>
              <w:rPr>
                <w:b/>
                <w:color w:val="1F4D78"/>
                <w:sz w:val="18"/>
              </w:rPr>
              <w:t>Term</w:t>
            </w:r>
          </w:p>
        </w:tc>
        <w:tc>
          <w:tcPr>
            <w:tcW w:type="dxa" w:w="6810"/>
            <w:shd w:fill="F2F4F7"/>
            <w:tcMar>
              <w:top w:w="80" w:type="dxa"/>
              <w:start w:w="120" w:type="dxa"/>
              <w:bottom w:w="80" w:type="dxa"/>
              <w:end w:w="120" w:type="dxa"/>
            </w:tcMar>
            <w:vAlign w:val="center"/>
          </w:tcPr>
          <w:p>
            <w:pPr>
              <w:spacing w:after="0"/>
            </w:pPr>
            <w:r>
              <w:rPr>
                <w:b/>
                <w:color w:val="1F4D78"/>
                <w:sz w:val="18"/>
              </w:rPr>
              <w:t>Meaning in this report</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Composition root</w:t>
            </w:r>
          </w:p>
        </w:tc>
        <w:tc>
          <w:tcPr>
            <w:tcW w:type="dxa" w:w="6810"/>
            <w:tcMar>
              <w:top w:w="80" w:type="dxa"/>
              <w:start w:w="120" w:type="dxa"/>
              <w:bottom w:w="80" w:type="dxa"/>
              <w:end w:w="120" w:type="dxa"/>
            </w:tcMar>
            <w:vAlign w:val="center"/>
          </w:tcPr>
          <w:p>
            <w:pPr>
              <w:spacing w:after="40" w:line="252" w:lineRule="auto"/>
            </w:pPr>
            <w:r>
              <w:rPr>
                <w:sz w:val="18"/>
              </w:rPr>
              <w:t>The boundary that chooses implementations and constructs the object graph: route/app providers on the frontend; bootstrap on the backend.</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Compound component</w:t>
            </w:r>
          </w:p>
        </w:tc>
        <w:tc>
          <w:tcPr>
            <w:tcW w:type="dxa" w:w="6810"/>
            <w:tcMar>
              <w:top w:w="80" w:type="dxa"/>
              <w:start w:w="120" w:type="dxa"/>
              <w:bottom w:w="80" w:type="dxa"/>
              <w:end w:w="120" w:type="dxa"/>
            </w:tcMar>
            <w:vAlign w:val="center"/>
          </w:tcPr>
          <w:p>
            <w:pPr>
              <w:spacing w:after="40" w:line="252" w:lineRule="auto"/>
            </w:pPr>
            <w:r>
              <w:rPr>
                <w:sz w:val="18"/>
              </w:rPr>
              <w:t>A family of UI parts sharing provider state while allowing the consumer to compose structure through children.</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Explicit variant</w:t>
            </w:r>
          </w:p>
        </w:tc>
        <w:tc>
          <w:tcPr>
            <w:tcW w:type="dxa" w:w="6810"/>
            <w:tcMar>
              <w:top w:w="80" w:type="dxa"/>
              <w:start w:w="120" w:type="dxa"/>
              <w:bottom w:w="80" w:type="dxa"/>
              <w:end w:w="120" w:type="dxa"/>
            </w:tcMar>
            <w:vAlign w:val="center"/>
          </w:tcPr>
          <w:p>
            <w:pPr>
              <w:spacing w:after="40" w:line="252" w:lineRule="auto"/>
            </w:pPr>
            <w:r>
              <w:rPr>
                <w:sz w:val="18"/>
              </w:rPr>
              <w:t>A named product-specific assembly such as HomeSidebar or DocumentPdfViewer.</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Feature provider</w:t>
            </w:r>
          </w:p>
        </w:tc>
        <w:tc>
          <w:tcPr>
            <w:tcW w:type="dxa" w:w="6810"/>
            <w:tcMar>
              <w:top w:w="80" w:type="dxa"/>
              <w:start w:w="120" w:type="dxa"/>
              <w:bottom w:w="80" w:type="dxa"/>
              <w:end w:w="120" w:type="dxa"/>
            </w:tcMar>
            <w:vAlign w:val="center"/>
          </w:tcPr>
          <w:p>
            <w:pPr>
              <w:spacing w:after="40" w:line="252" w:lineRule="auto"/>
            </w:pPr>
            <w:r>
              <w:rPr>
                <w:sz w:val="18"/>
              </w:rPr>
              <w:t>A scoped owner of workflow state and intent-level actions, exposing a state/actions/meta contract.</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Discriminated union</w:t>
            </w:r>
          </w:p>
        </w:tc>
        <w:tc>
          <w:tcPr>
            <w:tcW w:type="dxa" w:w="6810"/>
            <w:tcMar>
              <w:top w:w="80" w:type="dxa"/>
              <w:start w:w="120" w:type="dxa"/>
              <w:bottom w:w="80" w:type="dxa"/>
              <w:end w:w="120" w:type="dxa"/>
            </w:tcMar>
            <w:vAlign w:val="center"/>
          </w:tcPr>
          <w:p>
            <w:pPr>
              <w:spacing w:after="40" w:line="252" w:lineRule="auto"/>
            </w:pPr>
            <w:r>
              <w:rPr>
                <w:sz w:val="18"/>
              </w:rPr>
              <w:t>A type whose tag identifies the valid shape for one workflow state or capability.</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Port</w:t>
            </w:r>
          </w:p>
        </w:tc>
        <w:tc>
          <w:tcPr>
            <w:tcW w:type="dxa" w:w="6810"/>
            <w:tcMar>
              <w:top w:w="80" w:type="dxa"/>
              <w:start w:w="120" w:type="dxa"/>
              <w:bottom w:w="80" w:type="dxa"/>
              <w:end w:w="120" w:type="dxa"/>
            </w:tcMar>
            <w:vAlign w:val="center"/>
          </w:tcPr>
          <w:p>
            <w:pPr>
              <w:spacing w:after="40" w:line="252" w:lineRule="auto"/>
            </w:pPr>
            <w:r>
              <w:rPr>
                <w:sz w:val="18"/>
              </w:rPr>
              <w:t>An application-owned interface describing a cohesive external capability such as persistence, AI, or search.</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Adapter</w:t>
            </w:r>
          </w:p>
        </w:tc>
        <w:tc>
          <w:tcPr>
            <w:tcW w:type="dxa" w:w="6810"/>
            <w:tcMar>
              <w:top w:w="80" w:type="dxa"/>
              <w:start w:w="120" w:type="dxa"/>
              <w:bottom w:w="80" w:type="dxa"/>
              <w:end w:w="120" w:type="dxa"/>
            </w:tcMar>
            <w:vAlign w:val="center"/>
          </w:tcPr>
          <w:p>
            <w:pPr>
              <w:spacing w:after="40" w:line="252" w:lineRule="auto"/>
            </w:pPr>
            <w:r>
              <w:rPr>
                <w:sz w:val="18"/>
              </w:rPr>
              <w:t>A concrete implementation of a port or transport for SQLite, Helix, OpenAI, HTTP, or Tauri.</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Service locator</w:t>
            </w:r>
          </w:p>
        </w:tc>
        <w:tc>
          <w:tcPr>
            <w:tcW w:type="dxa" w:w="6810"/>
            <w:tcMar>
              <w:top w:w="80" w:type="dxa"/>
              <w:start w:w="120" w:type="dxa"/>
              <w:bottom w:w="80" w:type="dxa"/>
              <w:end w:w="120" w:type="dxa"/>
            </w:tcMar>
            <w:vAlign w:val="center"/>
          </w:tcPr>
          <w:p>
            <w:pPr>
              <w:spacing w:after="40" w:line="252" w:lineRule="auto"/>
            </w:pPr>
            <w:r>
              <w:rPr>
                <w:sz w:val="18"/>
              </w:rPr>
              <w:t>An object passed broadly so consumers discover dependencies at runtime; AppState partially plays this role today.</w:t>
            </w:r>
          </w:p>
        </w:tc>
      </w:tr>
      <w:tr>
        <w:trPr>
          <w:cantSplit/>
        </w:trPr>
        <w:tc>
          <w:tcPr>
            <w:tcW w:type="dxa" w:w="2550"/>
            <w:shd w:fill="F4F8FB"/>
            <w:tcMar>
              <w:top w:w="80" w:type="dxa"/>
              <w:start w:w="120" w:type="dxa"/>
              <w:bottom w:w="80" w:type="dxa"/>
              <w:end w:w="120" w:type="dxa"/>
            </w:tcMar>
            <w:vAlign w:val="center"/>
          </w:tcPr>
          <w:p>
            <w:pPr>
              <w:spacing w:after="40" w:line="252" w:lineRule="auto"/>
            </w:pPr>
            <w:r>
              <w:rPr>
                <w:b/>
                <w:color w:val="1F4D78"/>
                <w:sz w:val="18"/>
              </w:rPr>
              <w:t>Compatibility wrapper</w:t>
            </w:r>
          </w:p>
        </w:tc>
        <w:tc>
          <w:tcPr>
            <w:tcW w:type="dxa" w:w="6810"/>
            <w:tcMar>
              <w:top w:w="80" w:type="dxa"/>
              <w:start w:w="120" w:type="dxa"/>
              <w:bottom w:w="80" w:type="dxa"/>
              <w:end w:w="120" w:type="dxa"/>
            </w:tcMar>
            <w:vAlign w:val="center"/>
          </w:tcPr>
          <w:p>
            <w:pPr>
              <w:spacing w:after="40" w:line="252" w:lineRule="auto"/>
            </w:pPr>
            <w:r>
              <w:rPr>
                <w:sz w:val="18"/>
              </w:rPr>
              <w:t>A temporary facade that preserves an old API while delegating to a new implementation.</w:t>
            </w:r>
          </w:p>
        </w:tc>
      </w:tr>
    </w:tbl>
    <w:p>
      <w:pPr>
        <w:spacing w:after="20"/>
      </w:pP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6"/>
      </w:rPr>
    </w:r>
    <w:r>
      <w:rPr>
        <w:rFonts w:ascii="Calibri" w:hAnsi="Calibri"/>
        <w:color w:val="5F6B76"/>
        <w:sz w:val="16"/>
      </w:rPr>
      <w:t xml:space="preserve">Architecture assessment  •  August 27, 2026     </w:t>
    </w:r>
    <w:r>
      <w:rPr>
        <w:rFonts w:ascii="Calibri" w:hAnsi="Calibri"/>
        <w:color w:val="5F6B76"/>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6"/>
      </w:rPr>
    </w:r>
    <w:r>
      <w:rPr>
        <w:rFonts w:ascii="Calibri" w:hAnsi="Calibri"/>
        <w:color w:val="5F6B76"/>
        <w:sz w:val="16"/>
      </w:rPr>
      <w:t xml:space="preserve">Architecture assessment  •  August 27, 2026     </w:t>
    </w:r>
    <w:r>
      <w:rPr>
        <w:rFonts w:ascii="Calibri" w:hAnsi="Calibri"/>
        <w:color w:val="5F6B7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2E74B5"/>
      </w:pBdr>
    </w:pPr>
    <w:r>
      <w:rPr>
        <w:rFonts w:ascii="Calibri" w:hAnsi="Calibri"/>
        <w:b/>
        <w:color w:val="5F6B76"/>
        <w:sz w:val="16"/>
      </w:rPr>
      <w:t>QUARRY  /  COMPOSABLE ARCHITECTURE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2E74B5"/>
      </w:pBdr>
    </w:pPr>
    <w:r>
      <w:rPr>
        <w:rFonts w:ascii="Calibri" w:hAnsi="Calibri"/>
        <w:b/>
        <w:color w:val="5F6B76"/>
        <w:sz w:val="16"/>
      </w:rPr>
      <w:t>QUARRY  /  COMPOSABLE ARCHITECTURE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ascii="Calibri Light" w:hAnsi="Calibri Light"/>
      <w:b w:val="0"/>
      <w:color w:val="123047"/>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216" w:right="216"/>
    </w:pPr>
    <w:rPr>
      <w:rFonts w:ascii="Menlo" w:hAnsi="Menlo"/>
      <w:color w:val="202A33"/>
      <w:sz w:val="17"/>
    </w:rPr>
  </w:style>
  <w:style w:type="paragraph" w:customStyle="1" w:styleId="SmallNote">
    <w:name w:val="Small Note"/>
    <w:pPr>
      <w:spacing w:after="80" w:line="252" w:lineRule="auto"/>
    </w:pPr>
    <w:rPr>
      <w:rFonts w:ascii="Calibri" w:hAnsi="Calibri"/>
      <w:color w:val="5F6B76"/>
      <w:sz w:val="18"/>
    </w:rPr>
  </w:style>
  <w:style w:type="paragraph" w:customStyle="1" w:styleId="FigureCaption">
    <w:name w:val="Figure Caption"/>
    <w:pPr>
      <w:keepNext w:val="0"/>
      <w:spacing w:before="80" w:after="200"/>
      <w:jc w:val="center"/>
    </w:pPr>
    <w:rPr>
      <w:rFonts w:ascii="Calibri" w:hAnsi="Calibri"/>
      <w:i/>
      <w:color w:val="5F6B76"/>
      <w:sz w:val="18"/>
    </w:rPr>
  </w:style>
  <w:style w:type="paragraph" w:customStyle="1" w:styleId="TableCitation">
    <w:name w:val="Table Citation"/>
    <w:pPr>
      <w:spacing w:before="80" w:after="80"/>
    </w:pPr>
    <w:rPr>
      <w:rFonts w:ascii="Calibri" w:hAnsi="Calibri"/>
      <w:color w:val="5F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Composable Architecture for Quarry</dc:title>
  <dc:subject>Comprehensive implementation analysis for Quarry's React, Axum, and Tauri architecture</dc:subject>
  <dc:creator>OpenAI Codex</dc:creator>
  <cp:keywords>Quarry, composable architecture, React, Axum, Tauri, modularity, architecture assessment</cp:keywords>
  <dc:description>Prepared from repository inspection at Git HEAD 081c511 and the current working tree.</dc:description>
  <cp:lastModifiedBy/>
  <cp:revision>1</cp:revision>
  <dcterms:created xsi:type="dcterms:W3CDTF">2013-12-23T23:15:00Z</dcterms:created>
  <dcterms:modified xsi:type="dcterms:W3CDTF">2013-12-23T23:15:00Z</dcterms:modified>
  <cp:category/>
</cp:coreProperties>
</file>