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220"/>
              <w:left w:type="dxa" w:w="320"/>
              <w:bottom w:type="dxa" w:w="220"/>
              <w:right w:type="dxa" w:w="320"/>
            </w:tcMar>
          </w:tcPr>
          <w:p>
            <w:pPr>
              <w:spacing w:after="60"/>
              <w:jc w:val="center"/>
            </w:pPr>
            <w:r>
              <w:rPr>
                <w:rFonts w:ascii="Arial" w:cs="Arial" w:eastAsia="Arial" w:hAnsi="Arial"/>
                <w:b/>
                <w:bCs/>
                <w:color w:val="D0E4F7"/>
                <w:sz w:val="21"/>
                <w:szCs w:val="21"/>
              </w:rPr>
              <w:t xml:space="preserve">PHASE 1  ·  DAYS 1–30</w:t>
            </w:r>
          </w:p>
          <w:p>
            <w:pPr>
              <w:spacing w:after="70"/>
              <w:jc w:val="center"/>
            </w:pPr>
            <w:r>
              <w:rPr>
                <w:rFonts w:ascii="Arial" w:cs="Arial" w:eastAsia="Arial" w:hAnsi="Arial"/>
                <w:b/>
                <w:bCs/>
                <w:color w:val="FFFFFF"/>
                <w:sz w:val="38"/>
                <w:szCs w:val="38"/>
              </w:rPr>
              <w:t xml:space="preserve">Regulatory &amp; Safety Foundation</w:t>
            </w:r>
          </w:p>
          <w:p>
            <w:pPr>
              <w:spacing w:after="0"/>
              <w:jc w:val="center"/>
            </w:pPr>
            <w:r>
              <w:rPr>
                <w:rFonts w:ascii="Arial" w:cs="Arial" w:eastAsia="Arial" w:hAnsi="Arial"/>
                <w:color w:val="D0E4F7"/>
                <w:sz w:val="20"/>
                <w:szCs w:val="20"/>
              </w:rPr>
              <w:t xml:space="preserve">MISRA-C:2012  ·  IEC 62304  ·  ISO 14971  ·  WCET &amp; Real-Time Tracing</w:t>
            </w:r>
          </w:p>
        </w:tc>
      </w:tr>
    </w:tbl>
    <w:p>
      <w:pPr>
        <w:spacing w:after="0" w:before="200"/>
      </w:pPr>
      <w:r>
        <w:t xml:space="preserve"/>
      </w:r>
    </w:p>
    <w:p>
      <w:pPr>
        <w:spacing w:after="110"/>
      </w:pPr>
      <w:r>
        <w:rPr>
          <w:rFonts w:ascii="Arial" w:cs="Arial" w:eastAsia="Arial" w:hAnsi="Arial"/>
          <w:color w:val="333333"/>
          <w:sz w:val="22"/>
          <w:szCs w:val="22"/>
        </w:rPr>
        <w:t xml:space="preserve">This tutorial provides hands-on instruction for the four highest-ROI skills in FDA-regulated medical device firmware engineering. Each section builds on the previous: MISRA-C gives you compliant code, IEC 62304 gives you the lifecycle framework, ISO 14971 gives you the risk language, and WCET gives you the determinism proof. Together they represent the core vocabulary of a Principal-level medical device firmware engineer.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5FA3" w:sz="1"/>
              <w:left w:val="single" w:color="2E5FA3" w:sz="1"/>
              <w:bottom w:val="single" w:color="2E5FA3" w:sz="1"/>
              <w:right w:val="single" w:color="2E5FA3"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Item</w:t>
            </w:r>
          </w:p>
        </w:tc>
        <w:tc>
          <w:tcPr>
            <w:tcW w:type="dxa" w:w="6160"/>
            <w:tcBorders>
              <w:top w:val="single" w:color="2E5FA3" w:sz="1"/>
              <w:left w:val="single" w:color="2E5FA3" w:sz="1"/>
              <w:bottom w:val="single" w:color="2E5FA3" w:sz="1"/>
              <w:right w:val="single" w:color="2E5FA3"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Detail</w:t>
            </w:r>
          </w:p>
        </w:tc>
      </w:tr>
      <w:tr>
        <w:tc>
          <w:tcPr>
            <w:tcW w:type="dxa" w:w="320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b/>
                <w:bCs/>
                <w:color w:val="1B3A6B"/>
                <w:sz w:val="19"/>
                <w:szCs w:val="19"/>
              </w:rPr>
              <w:t xml:space="preserve">Skill 1</w:t>
            </w:r>
          </w:p>
        </w:tc>
        <w:tc>
          <w:tcPr>
            <w:tcW w:type="dxa" w:w="616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color w:val="333333"/>
                <w:sz w:val="19"/>
                <w:szCs w:val="19"/>
              </w:rPr>
              <w:t xml:space="preserve">MISRA-C:2012 — Safe C coding standard  |  Days 1–7</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B3A6B"/>
                <w:sz w:val="19"/>
                <w:szCs w:val="19"/>
              </w:rPr>
              <w:t xml:space="preserve">Skill 2</w:t>
            </w:r>
          </w:p>
        </w:tc>
        <w:tc>
          <w:tcPr>
            <w:tcW w:type="dxa" w:w="6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33333"/>
                <w:sz w:val="19"/>
                <w:szCs w:val="19"/>
              </w:rPr>
              <w:t xml:space="preserve">IEC 62304 — Medical device software lifecycle  |  Days 8–14</w:t>
            </w:r>
          </w:p>
        </w:tc>
      </w:tr>
      <w:tr>
        <w:tc>
          <w:tcPr>
            <w:tcW w:type="dxa" w:w="320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b/>
                <w:bCs/>
                <w:color w:val="1B3A6B"/>
                <w:sz w:val="19"/>
                <w:szCs w:val="19"/>
              </w:rPr>
              <w:t xml:space="preserve">Skill 3</w:t>
            </w:r>
          </w:p>
        </w:tc>
        <w:tc>
          <w:tcPr>
            <w:tcW w:type="dxa" w:w="616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color w:val="333333"/>
                <w:sz w:val="19"/>
                <w:szCs w:val="19"/>
              </w:rPr>
              <w:t xml:space="preserve">ISO 14971 — Risk management  |  Days 15–21</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B3A6B"/>
                <w:sz w:val="19"/>
                <w:szCs w:val="19"/>
              </w:rPr>
              <w:t xml:space="preserve">Skill 4</w:t>
            </w:r>
          </w:p>
        </w:tc>
        <w:tc>
          <w:tcPr>
            <w:tcW w:type="dxa" w:w="6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33333"/>
                <w:sz w:val="19"/>
                <w:szCs w:val="19"/>
              </w:rPr>
              <w:t xml:space="preserve">WCET &amp; Real-Time Tracing  |  Days 22–30</w:t>
            </w:r>
          </w:p>
        </w:tc>
      </w:tr>
      <w:tr>
        <w:tc>
          <w:tcPr>
            <w:tcW w:type="dxa" w:w="320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b/>
                <w:bCs/>
                <w:color w:val="1B3A6B"/>
                <w:sz w:val="19"/>
                <w:szCs w:val="19"/>
              </w:rPr>
              <w:t xml:space="preserve">Total</w:t>
            </w:r>
          </w:p>
        </w:tc>
        <w:tc>
          <w:tcPr>
            <w:tcW w:type="dxa" w:w="616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color w:val="333333"/>
                <w:sz w:val="19"/>
                <w:szCs w:val="19"/>
              </w:rPr>
              <w:t xml:space="preserve">~40 hours · 4 portfolio artifacts · FDA design review fluency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1B3A6B" w:val="clear"/>
            <w:tcMar>
              <w:top w:type="dxa" w:w="130"/>
              <w:left w:type="dxa" w:w="100"/>
              <w:bottom w:type="dxa" w:w="130"/>
              <w:right w:type="dxa" w:w="100"/>
            </w:tcMar>
            <w:vAlign w:val="center"/>
          </w:tcPr>
          <w:p>
            <w:pPr>
              <w:jc w:val="center"/>
            </w:pPr>
            <w:r>
              <w:rPr>
                <w:rFonts w:ascii="Arial" w:cs="Arial" w:eastAsia="Arial" w:hAnsi="Arial"/>
                <w:b/>
                <w:bCs/>
                <w:color w:val="FFFFFF"/>
                <w:sz w:val="34"/>
                <w:szCs w:val="34"/>
              </w:rPr>
              <w:t xml:space="preserve">01</w:t>
            </w:r>
          </w:p>
        </w:tc>
        <w:tc>
          <w:tcPr>
            <w:tcW w:type="dxa" w:w="8560"/>
            <w:tcBorders>
              <w:top w:val="none"/>
              <w:left w:val="none"/>
              <w:bottom w:val="none"/>
              <w:right w:val="none"/>
            </w:tcBorders>
            <w:shd w:fill="D0E4F7" w:val="clear"/>
            <w:tcMar>
              <w:top w:type="dxa" w:w="90"/>
              <w:left w:type="dxa" w:w="180"/>
              <w:bottom w:type="dxa" w:w="90"/>
              <w:right w:type="dxa" w:w="100"/>
            </w:tcMar>
          </w:tcPr>
          <w:p>
            <w:pPr>
              <w:spacing w:after="40"/>
            </w:pPr>
            <w:r>
              <w:rPr>
                <w:rFonts w:ascii="Arial" w:cs="Arial" w:eastAsia="Arial" w:hAnsi="Arial"/>
                <w:b/>
                <w:bCs/>
                <w:color w:val="1B3A6B"/>
                <w:sz w:val="26"/>
                <w:szCs w:val="26"/>
              </w:rPr>
              <w:t xml:space="preserve">MISRA-C:2012 — Safe Subset of C for Safety-Critical Firmware</w:t>
            </w:r>
          </w:p>
          <w:p>
            <w:pPr>
              <w:spacing w:after="0"/>
            </w:pPr>
            <w:r>
              <w:rPr>
                <w:rFonts w:ascii="Arial" w:cs="Arial" w:eastAsia="Arial" w:hAnsi="Arial"/>
                <w:color w:val="333333"/>
                <w:sz w:val="18"/>
                <w:szCs w:val="18"/>
              </w:rPr>
              <w:t xml:space="preserve">Days 1–7  ·  ~10 hours</w:t>
            </w:r>
          </w:p>
        </w:tc>
      </w:tr>
    </w:tbl>
    <w:p>
      <w:pPr>
        <w:spacing w:after="0" w:before="140"/>
      </w:pPr>
      <w:r>
        <w:t xml:space="preserve"/>
      </w:r>
    </w:p>
    <w:p>
      <w:pPr>
        <w:pStyle w:val="Heading1"/>
        <w:spacing w:after="140" w:before="300"/>
      </w:pPr>
      <w:r>
        <w:rPr>
          <w:rFonts w:ascii="Arial" w:cs="Arial" w:eastAsia="Arial" w:hAnsi="Arial"/>
          <w:b/>
          <w:bCs/>
          <w:color w:val="1B3A6B"/>
          <w:sz w:val="32"/>
          <w:szCs w:val="32"/>
        </w:rPr>
        <w:t xml:space="preserve">Skill 1: MISRA-C:2012</w:t>
      </w:r>
    </w:p>
    <w:p>
      <w:pPr>
        <w:pStyle w:val="Heading2"/>
        <w:spacing w:after="100" w:before="220"/>
      </w:pPr>
      <w:r>
        <w:rPr>
          <w:rFonts w:ascii="Arial" w:cs="Arial" w:eastAsia="Arial" w:hAnsi="Arial"/>
          <w:b/>
          <w:bCs/>
          <w:color w:val="2E5FA3"/>
          <w:sz w:val="26"/>
          <w:szCs w:val="26"/>
        </w:rPr>
        <w:t xml:space="preserve">1.1 Background and Purpose</w:t>
      </w:r>
    </w:p>
    <w:p>
      <w:pPr>
        <w:spacing w:after="110"/>
      </w:pPr>
      <w:r>
        <w:rPr>
          <w:rFonts w:ascii="Arial" w:cs="Arial" w:eastAsia="Arial" w:hAnsi="Arial"/>
          <w:color w:val="333333"/>
          <w:sz w:val="22"/>
          <w:szCs w:val="22"/>
        </w:rPr>
        <w:t xml:space="preserve">The C language was designed in the 1970s for portability, not safety. The C99 and C11 standards contain hundreds of constructs whose behavior is undefined, unspecified, or implementation-defined — meaning the compiler can legally do anything, behavior may differ across platforms, or results are unpredictable. In a consumer app this means bugs and crashes. In a ventilator, insulin pump, or closed-loop antimicrobial device, it means patient harm.</w:t>
      </w:r>
    </w:p>
    <w:p>
      <w:pPr>
        <w:spacing w:after="0" w:before="70"/>
      </w:pPr>
      <w:r>
        <w:t xml:space="preserve"/>
      </w:r>
    </w:p>
    <w:p>
      <w:pPr>
        <w:spacing w:after="110"/>
      </w:pPr>
      <w:r>
        <w:rPr>
          <w:rFonts w:ascii="Arial" w:cs="Arial" w:eastAsia="Arial" w:hAnsi="Arial"/>
          <w:color w:val="333333"/>
          <w:sz w:val="22"/>
          <w:szCs w:val="22"/>
        </w:rPr>
        <w:t xml:space="preserve">MISRA-C:2012 is a set of 143 rules and 16 directives that restrict C to a safe, deterministic, portable subset. Originally created by the Motor Industry Software Reliability Association for automotive firmware, it is now the de facto coding standard for safety-critical embedded C across medical devices, aerospace, railway, and defense industries. FDA reviewers and Notified Bodies expect to see MISRA-C compliance evidence in your Design History File.</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5FA3" w:sz="1"/>
              <w:left w:val="single" w:color="2E5FA3" w:sz="1"/>
              <w:bottom w:val="single" w:color="2E5FA3" w:sz="1"/>
              <w:right w:val="single" w:color="2E5FA3" w:sz="1"/>
            </w:tcBorders>
            <w:shd w:fill="2E5FA3"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NOTE</w:t>
            </w:r>
          </w:p>
        </w:tc>
        <w:tc>
          <w:tcPr>
            <w:tcW w:type="dxa" w:w="8160"/>
            <w:tcBorders>
              <w:top w:val="single" w:color="2E5FA3" w:sz="1"/>
              <w:left w:val="single" w:color="2E5FA3" w:sz="1"/>
              <w:bottom w:val="single" w:color="2E5FA3" w:sz="1"/>
              <w:right w:val="single" w:color="2E5FA3" w:sz="1"/>
            </w:tcBorders>
            <w:shd w:fill="E8F4FD" w:val="clear"/>
            <w:tcMar>
              <w:top w:type="dxa" w:w="90"/>
              <w:left w:type="dxa" w:w="140"/>
              <w:bottom w:type="dxa" w:w="90"/>
              <w:right w:type="dxa" w:w="100"/>
            </w:tcMar>
          </w:tcPr>
          <w:p>
            <w:r>
              <w:rPr>
                <w:rFonts w:ascii="Arial" w:cs="Arial" w:eastAsia="Arial" w:hAnsi="Arial"/>
                <w:color w:val="333333"/>
                <w:sz w:val="20"/>
                <w:szCs w:val="20"/>
              </w:rPr>
              <w:t xml:space="preserve">MISRA-C does not make code correct — it eliminates entire classes of latent bugs that would otherwise be invisible until they cause a field failure. Think of it as a set of guardrails that prevent the most dangerous C language pitfalls.</w:t>
            </w:r>
          </w:p>
        </w:tc>
      </w:tr>
    </w:tbl>
    <w:p>
      <w:pPr>
        <w:spacing w:after="0" w:before="140"/>
      </w:pPr>
      <w:r>
        <w:t xml:space="preserve"/>
      </w:r>
    </w:p>
    <w:p>
      <w:pPr>
        <w:pStyle w:val="Heading2"/>
        <w:spacing w:after="100" w:before="220"/>
      </w:pPr>
      <w:r>
        <w:rPr>
          <w:rFonts w:ascii="Arial" w:cs="Arial" w:eastAsia="Arial" w:hAnsi="Arial"/>
          <w:b/>
          <w:bCs/>
          <w:color w:val="2E5FA3"/>
          <w:sz w:val="26"/>
          <w:szCs w:val="26"/>
        </w:rPr>
        <w:t xml:space="preserve">1.2 Rule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5FA3" w:sz="1"/>
              <w:left w:val="single" w:color="2E5FA3" w:sz="1"/>
              <w:bottom w:val="single" w:color="2E5FA3" w:sz="1"/>
              <w:right w:val="single" w:color="2E5FA3"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Item</w:t>
            </w:r>
          </w:p>
        </w:tc>
        <w:tc>
          <w:tcPr>
            <w:tcW w:type="dxa" w:w="7160"/>
            <w:tcBorders>
              <w:top w:val="single" w:color="2E5FA3" w:sz="1"/>
              <w:left w:val="single" w:color="2E5FA3" w:sz="1"/>
              <w:bottom w:val="single" w:color="2E5FA3" w:sz="1"/>
              <w:right w:val="single" w:color="2E5FA3"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Detail</w:t>
            </w:r>
          </w:p>
        </w:tc>
      </w:tr>
      <w:tr>
        <w:tc>
          <w:tcPr>
            <w:tcW w:type="dxa" w:w="220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b/>
                <w:bCs/>
                <w:color w:val="1B3A6B"/>
                <w:sz w:val="19"/>
                <w:szCs w:val="19"/>
              </w:rPr>
              <w:t xml:space="preserve">Mandatory</w:t>
            </w:r>
          </w:p>
        </w:tc>
        <w:tc>
          <w:tcPr>
            <w:tcW w:type="dxa" w:w="716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color w:val="333333"/>
                <w:sz w:val="19"/>
                <w:szCs w:val="19"/>
              </w:rPr>
              <w:t xml:space="preserve">Must NEVER be violated. No deviation permitted under any circumstance. These rules cover constructs where any violation introduces a potential safety hazard with no safe workaround.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B3A6B"/>
                <w:sz w:val="19"/>
                <w:szCs w:val="19"/>
              </w:rPr>
              <w:t xml:space="preserve">Required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33333"/>
                <w:sz w:val="19"/>
                <w:szCs w:val="19"/>
              </w:rPr>
              <w:t xml:space="preserve">Must comply unless a formal written DEVIATION RECORD is created and approved. The majority of commonly violated rules fall here.</w:t>
            </w:r>
          </w:p>
        </w:tc>
      </w:tr>
      <w:tr>
        <w:tc>
          <w:tcPr>
            <w:tcW w:type="dxa" w:w="220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b/>
                <w:bCs/>
                <w:color w:val="1B3A6B"/>
                <w:sz w:val="19"/>
                <w:szCs w:val="19"/>
              </w:rPr>
              <w:t xml:space="preserve">Advisory</w:t>
            </w:r>
          </w:p>
        </w:tc>
        <w:tc>
          <w:tcPr>
            <w:tcW w:type="dxa" w:w="716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color w:val="333333"/>
                <w:sz w:val="19"/>
                <w:szCs w:val="19"/>
              </w:rPr>
              <w:t xml:space="preserve">Best practice. A deviation is permitted with a lighter justification. Non-compliance alone does not constitute a safety defect.</w:t>
            </w:r>
          </w:p>
        </w:tc>
      </w:tr>
    </w:tbl>
    <w:p>
      <w:pPr>
        <w:spacing w:after="0" w:before="140"/>
      </w:pPr>
      <w:r>
        <w:t xml:space="preserve"/>
      </w:r>
    </w:p>
    <w:p>
      <w:pPr>
        <w:pStyle w:val="Heading2"/>
        <w:spacing w:after="100" w:before="220"/>
      </w:pPr>
      <w:r>
        <w:rPr>
          <w:rFonts w:ascii="Arial" w:cs="Arial" w:eastAsia="Arial" w:hAnsi="Arial"/>
          <w:b/>
          <w:bCs/>
          <w:color w:val="2E5FA3"/>
          <w:sz w:val="26"/>
          <w:szCs w:val="26"/>
        </w:rPr>
        <w:t xml:space="preserve">1.3 The Most Critical Rules — Code Examples</w:t>
      </w:r>
    </w:p>
    <w:p>
      <w:pPr>
        <w:pStyle w:val="Heading3"/>
        <w:spacing w:after="80" w:before="180"/>
      </w:pPr>
      <w:r>
        <w:rPr>
          <w:rFonts w:ascii="Arial" w:cs="Arial" w:eastAsia="Arial" w:hAnsi="Arial"/>
          <w:b/>
          <w:bCs/>
          <w:color w:val="333333"/>
          <w:sz w:val="23"/>
          <w:szCs w:val="23"/>
        </w:rPr>
        <w:t xml:space="preserve">Rule 10.1 &amp; 10.4 — Essential Type Violations (Implicit Conversions)</w:t>
      </w:r>
    </w:p>
    <w:p>
      <w:pPr>
        <w:spacing w:after="110"/>
      </w:pPr>
      <w:r>
        <w:rPr>
          <w:rFonts w:ascii="Arial" w:cs="Arial" w:eastAsia="Arial" w:hAnsi="Arial"/>
          <w:color w:val="333333"/>
          <w:sz w:val="22"/>
          <w:szCs w:val="22"/>
        </w:rPr>
        <w:t xml:space="preserve">MISRA-C:2012 introduces the concept of 'essential types' (signed integer, unsigned integer, Boolean, enum, char, float). Mixing them without explicit casts causes silent truncation, sign extension errors, and incorrect comparisons — a common source of sensor data corruption bugs.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C</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VIOLATION: comparing signed vs unsigned ─────────────────────────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int16_t  adc_raw   = read_adc();     /* signed:   range -32768 .. +32767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uint32_t threshold = 40000U;         /* unsigned: range 0 .. 4294967295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if (adc_raw &gt; threshold) {           /* MISRA Rule 10.4 VIOLATION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trigger_alarm();                 /* When adc_raw = -1: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-1 promotes to 0xFFFF = 65535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(65535 &gt; 40000) = TRUE — WRONG!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COMPLIANT ───────────────────────────────────────────────────────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int16_t adc_raw    = read_adc();</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int32_t threshold  = 40000;          /* same sign as adc_raw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if ((int32_t)adc_raw &gt; threshold) {  /* explicit widening cast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trigger_alarm();</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pPr>
        <w:spacing w:after="0" w:before="120"/>
      </w:pPr>
      <w:r>
        <w:t xml:space="preserve"/>
      </w:r>
    </w:p>
    <w:p>
      <w:pPr>
        <w:pStyle w:val="Heading3"/>
        <w:spacing w:after="80" w:before="180"/>
      </w:pPr>
      <w:r>
        <w:rPr>
          <w:rFonts w:ascii="Arial" w:cs="Arial" w:eastAsia="Arial" w:hAnsi="Arial"/>
          <w:b/>
          <w:bCs/>
          <w:color w:val="333333"/>
          <w:sz w:val="23"/>
          <w:szCs w:val="23"/>
        </w:rPr>
        <w:t xml:space="preserve">Rule 17.2 — No Recursion</w:t>
      </w:r>
    </w:p>
    <w:p>
      <w:pPr>
        <w:spacing w:after="110"/>
      </w:pPr>
      <w:r>
        <w:rPr>
          <w:rFonts w:ascii="Arial" w:cs="Arial" w:eastAsia="Arial" w:hAnsi="Arial"/>
          <w:color w:val="333333"/>
          <w:sz w:val="22"/>
          <w:szCs w:val="22"/>
        </w:rPr>
        <w:t xml:space="preserve">Recursion makes stack depth statically unanalyzable. You cannot determine WCET or guarantee stack safety with recursive functions. This is non-negotiable in IEC 62304 Class C software where stack overflow is a patient safety risk.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C</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VIOLATION: recursive CRC ────────────────────────────────────────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uint16_t crc_calc(uint8_t *data, size_t len)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if (len == 0U) { return 0xFFFFU;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return update_crc(data[0], crc_calc(data+1U, len-1U));  /* Rule 17.2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COMPLIANT: iterative CRC (deterministic stack, faster) ──────────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uint16_t crc16_compute(const uint8_t *data, uint16_t len)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uint16_t crc = 0xFFFFU;</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uint16_t i;</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for (i = 0U; i &lt; len; i++)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crc = crc_table[(uint8_t)(crc &gt;&gt; 8U) ^ data[i]] ^ (crc &lt;&lt; 8U);</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return crc;</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pPr>
        <w:spacing w:after="0" w:before="120"/>
      </w:pPr>
      <w:r>
        <w:t xml:space="preserve"/>
      </w:r>
    </w:p>
    <w:p>
      <w:pPr>
        <w:pStyle w:val="Heading3"/>
        <w:spacing w:after="80" w:before="180"/>
      </w:pPr>
      <w:r>
        <w:rPr>
          <w:rFonts w:ascii="Arial" w:cs="Arial" w:eastAsia="Arial" w:hAnsi="Arial"/>
          <w:b/>
          <w:bCs/>
          <w:color w:val="333333"/>
          <w:sz w:val="23"/>
          <w:szCs w:val="23"/>
        </w:rPr>
        <w:t xml:space="preserve">Rule 21.3 — No Dynamic Memory Allocation</w:t>
      </w:r>
    </w:p>
    <w:p>
      <w:pPr>
        <w:spacing w:after="110"/>
      </w:pPr>
      <w:r>
        <w:rPr>
          <w:rFonts w:ascii="Arial" w:cs="Arial" w:eastAsia="Arial" w:hAnsi="Arial"/>
          <w:color w:val="333333"/>
          <w:sz w:val="22"/>
          <w:szCs w:val="22"/>
        </w:rPr>
        <w:t xml:space="preserve">malloc/calloc/realloc/free are banned. Dynamic allocation causes non-deterministic execution time (heap search), fragmentation over lifetime, and potential allocation failures with no safe recovery path. All buffers must be statically allocated — their size is known at link time.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C</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VIOLATION ───────────────────────────────────────────────────────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sensor_t *buf = (sensor_t *)malloc(sizeof(sensor_t) * 100U);</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Problems: non-deterministic time, can return NULL, heap fragments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COMPLIANT: static ring buffer ───────────────────────────────────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#define SENSOR_BUF_LEN  100U</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static sensor_t   s_buf[SENSOR_BUF_LEN];  /* fixed at link time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static uint16_t   s_head = 0U;</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static uint16_t   s_tail = 0U;</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bool sensor_push(const sensor_t *s)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uint16_t next = (s_head + 1U) % SENSOR_BUF_LEN;</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if (next == s_tail) { return false; }  /* full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s_buf[s_head] = *s;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s_head = next;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return true;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pPr>
        <w:spacing w:after="0" w:before="120"/>
      </w:pPr>
      <w:r>
        <w:t xml:space="preserve"/>
      </w:r>
    </w:p>
    <w:p>
      <w:pPr>
        <w:pStyle w:val="Heading3"/>
        <w:spacing w:after="80" w:before="180"/>
      </w:pPr>
      <w:r>
        <w:rPr>
          <w:rFonts w:ascii="Arial" w:cs="Arial" w:eastAsia="Arial" w:hAnsi="Arial"/>
          <w:b/>
          <w:bCs/>
          <w:color w:val="333333"/>
          <w:sz w:val="23"/>
          <w:szCs w:val="23"/>
        </w:rPr>
        <w:t xml:space="preserve">Rule 14.4 — Controlling Expressions Must Be Boolean</w:t>
      </w:r>
    </w:p>
    <w:p>
      <w:pPr>
        <w:spacing w:after="110"/>
      </w:pPr>
      <w:r>
        <w:rPr>
          <w:rFonts w:ascii="Arial" w:cs="Arial" w:eastAsia="Arial" w:hAnsi="Arial"/>
          <w:color w:val="333333"/>
          <w:sz w:val="22"/>
          <w:szCs w:val="22"/>
        </w:rPr>
        <w:t xml:space="preserve">The controlling expression of if/while/for must be essentially Boolean (0 or 1). Using integers directly (a common C pattern) is banned because it conflates zero/non-zero testing with Boolean logic, making conditions harder to reason about.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C</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VIOLATIONS ──────────────────────────────────────────────────────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if (ptr)          { ... }   /* Rule 14.4: pointer used as Boolean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if (get_status()) { ... }   /* Rule 14.4: integer used as Boolean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while (count--)   { ... }   /* Rule 14.4: decrement used as Boolean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COMPLIANT ───────────────────────────────────────────────────────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if (ptr != NULL)            { ... }   /* explicit NULL comparison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if (get_status() != 0U)     { ... }   /* explicit zero comparison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while (count &gt; 0U) { count--; }       /* explicit comparison             */</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pPr>
        <w:spacing w:after="0" w:before="120"/>
      </w:pPr>
      <w:r>
        <w:t xml:space="preserve"/>
      </w:r>
    </w:p>
    <w:p>
      <w:pPr>
        <w:pStyle w:val="Heading3"/>
        <w:spacing w:after="80" w:before="180"/>
      </w:pPr>
      <w:r>
        <w:rPr>
          <w:rFonts w:ascii="Arial" w:cs="Arial" w:eastAsia="Arial" w:hAnsi="Arial"/>
          <w:b/>
          <w:bCs/>
          <w:color w:val="333333"/>
          <w:sz w:val="23"/>
          <w:szCs w:val="23"/>
        </w:rPr>
        <w:t xml:space="preserve">Rule 11.3 — No Pointer/Integer Casts</w:t>
      </w:r>
    </w:p>
    <w:p>
      <w:pPr>
        <w:spacing w:after="110"/>
      </w:pPr>
      <w:r>
        <w:rPr>
          <w:rFonts w:ascii="Arial" w:cs="Arial" w:eastAsia="Arial" w:hAnsi="Arial"/>
          <w:color w:val="333333"/>
          <w:sz w:val="22"/>
          <w:szCs w:val="22"/>
        </w:rPr>
        <w:t xml:space="preserve">Casting integer literals to pointers is implementation-defined: pointer size varies across platforms. The compliant pattern is to use volatile-qualified macros for memory-mapped peripheral access — this is also a good SOUP boundary.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C</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VIOLATION ───────────────────────────────────────────────────────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uint32_t *gpio = (uint32_t *)0x40020000U;   /* Rule 11.3 violation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*gpio = 0x01U;</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COMPLIANT: volatile register macro ──────────────────────────────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#define GPIOA_ODR   (*((volatile uint32_t *)0x40020014UL))</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GPIOA_ODR = 0x00000001UL;</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PREFERRED: use vendor HAL (SOUP) and document in SOUP register ──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HAL_GPIO_WritePin(GPIOA, GPIO_PIN_0, GPIO_PIN_SET);</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pPr>
        <w:spacing w:after="0" w:before="160"/>
      </w:pPr>
      <w:r>
        <w:t xml:space="preserve"/>
      </w:r>
    </w:p>
    <w:p>
      <w:pPr>
        <w:pStyle w:val="Heading2"/>
        <w:spacing w:after="100" w:before="220"/>
      </w:pPr>
      <w:r>
        <w:rPr>
          <w:rFonts w:ascii="Arial" w:cs="Arial" w:eastAsia="Arial" w:hAnsi="Arial"/>
          <w:b/>
          <w:bCs/>
          <w:color w:val="2E5FA3"/>
          <w:sz w:val="26"/>
          <w:szCs w:val="26"/>
        </w:rPr>
        <w:t xml:space="preserve">1.4 Running MISRA-C Analysis with Cppcheck</w:t>
      </w:r>
    </w:p>
    <w:p>
      <w:pPr>
        <w:spacing w:after="110"/>
      </w:pPr>
      <w:r>
        <w:rPr>
          <w:rFonts w:ascii="Arial" w:cs="Arial" w:eastAsia="Arial" w:hAnsi="Arial"/>
          <w:color w:val="333333"/>
          <w:sz w:val="22"/>
          <w:szCs w:val="22"/>
        </w:rPr>
        <w:t xml:space="preserve">Cppcheck is a free open-source static analysis tool with built-in MISRA-C:2012 support. It is the fastest way to begin MISRA compliance analysis on an existing project without purchasing commercial tools.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2E5FA3" w:val="clear"/>
            <w:tcMar>
              <w:top w:type="dxa" w:w="110"/>
              <w:left w:type="dxa" w:w="100"/>
              <w:bottom w:type="dxa" w:w="110"/>
              <w:right w:type="dxa" w:w="100"/>
            </w:tcMar>
            <w:vAlign w:val="top"/>
          </w:tcPr>
          <w:p>
            <w:pPr>
              <w:jc w:val="center"/>
            </w:pPr>
            <w:r>
              <w:rPr>
                <w:rFonts w:ascii="Arial" w:cs="Arial" w:eastAsia="Arial" w:hAnsi="Arial"/>
                <w:b/>
                <w:bCs/>
                <w:color w:val="FFFFFF"/>
                <w:sz w:val="26"/>
                <w:szCs w:val="26"/>
              </w:rPr>
              <w:t xml:space="preserve">1</w:t>
            </w:r>
          </w:p>
        </w:tc>
        <w:tc>
          <w:tcPr>
            <w:tcW w:type="dxa" w:w="8800"/>
            <w:tcBorders>
              <w:top w:val="none"/>
              <w:left w:val="none"/>
              <w:bottom w:val="none"/>
              <w:right w:val="none"/>
            </w:tcBorders>
            <w:shd w:fill="F4F4F4" w:val="clear"/>
            <w:tcMar>
              <w:top w:type="dxa" w:w="110"/>
              <w:left w:type="dxa" w:w="180"/>
              <w:bottom w:type="dxa" w:w="110"/>
              <w:right w:type="dxa" w:w="140"/>
            </w:tcMar>
          </w:tcPr>
          <w:p>
            <w:pPr>
              <w:spacing w:after="60"/>
            </w:pPr>
            <w:r>
              <w:rPr>
                <w:rFonts w:ascii="Arial" w:cs="Arial" w:eastAsia="Arial" w:hAnsi="Arial"/>
                <w:b/>
                <w:bCs/>
                <w:color w:val="1B3A6B"/>
                <w:sz w:val="22"/>
                <w:szCs w:val="22"/>
              </w:rPr>
              <w:t xml:space="preserve">Install Cppcheck</w:t>
            </w:r>
          </w:p>
          <w:p>
            <w:pPr>
              <w:spacing w:after="110"/>
            </w:pPr>
            <w:r>
              <w:rPr>
                <w:rFonts w:ascii="Arial" w:cs="Arial" w:eastAsia="Arial" w:hAnsi="Arial"/>
                <w:b w:val="false"/>
                <w:bCs w:val="false"/>
                <w:color w:val="333333"/>
                <w:sz w:val="22"/>
                <w:szCs w:val="22"/>
              </w:rPr>
              <w:t xml:space="preserve">Ubuntu / WSL2: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BASH</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sudo apt-get update &amp;&amp; sudo apt-get install -y cppcheck</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Verify: cppcheck --version  (need 2.x or later)</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2E5FA3" w:val="clear"/>
            <w:tcMar>
              <w:top w:type="dxa" w:w="110"/>
              <w:left w:type="dxa" w:w="100"/>
              <w:bottom w:type="dxa" w:w="110"/>
              <w:right w:type="dxa" w:w="100"/>
            </w:tcMar>
            <w:vAlign w:val="top"/>
          </w:tcPr>
          <w:p>
            <w:pPr>
              <w:jc w:val="center"/>
            </w:pPr>
            <w:r>
              <w:rPr>
                <w:rFonts w:ascii="Arial" w:cs="Arial" w:eastAsia="Arial" w:hAnsi="Arial"/>
                <w:b/>
                <w:bCs/>
                <w:color w:val="FFFFFF"/>
                <w:sz w:val="26"/>
                <w:szCs w:val="26"/>
              </w:rPr>
              <w:t xml:space="preserve">2</w:t>
            </w:r>
          </w:p>
        </w:tc>
        <w:tc>
          <w:tcPr>
            <w:tcW w:type="dxa" w:w="8800"/>
            <w:tcBorders>
              <w:top w:val="none"/>
              <w:left w:val="none"/>
              <w:bottom w:val="none"/>
              <w:right w:val="none"/>
            </w:tcBorders>
            <w:shd w:fill="F4F4F4" w:val="clear"/>
            <w:tcMar>
              <w:top w:type="dxa" w:w="110"/>
              <w:left w:type="dxa" w:w="180"/>
              <w:bottom w:type="dxa" w:w="110"/>
              <w:right w:type="dxa" w:w="140"/>
            </w:tcMar>
          </w:tcPr>
          <w:p>
            <w:pPr>
              <w:spacing w:after="60"/>
            </w:pPr>
            <w:r>
              <w:rPr>
                <w:rFonts w:ascii="Arial" w:cs="Arial" w:eastAsia="Arial" w:hAnsi="Arial"/>
                <w:b/>
                <w:bCs/>
                <w:color w:val="1B3A6B"/>
                <w:sz w:val="22"/>
                <w:szCs w:val="22"/>
              </w:rPr>
              <w:t xml:space="preserve">Run MISRA-C:2012 analysis on your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BASH</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Basic MISRA-C:2012 check — outputs violations to terminal and file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cppcheck --addon=misra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--std=c11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--suppress=missingIncludeSystem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--enable=all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 ./Core/Inc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./Core/Src/ 2&gt;&amp;1 | tee misra_report.txt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Count violations grouped by rule number:</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grep -oP 'misra-c2012-\d+\.\d+' misra_report.txt | sort | uniq -c | sort -rn</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2E5FA3" w:val="clear"/>
            <w:tcMar>
              <w:top w:type="dxa" w:w="110"/>
              <w:left w:type="dxa" w:w="100"/>
              <w:bottom w:type="dxa" w:w="110"/>
              <w:right w:type="dxa" w:w="100"/>
            </w:tcMar>
            <w:vAlign w:val="top"/>
          </w:tcPr>
          <w:p>
            <w:pPr>
              <w:jc w:val="center"/>
            </w:pPr>
            <w:r>
              <w:rPr>
                <w:rFonts w:ascii="Arial" w:cs="Arial" w:eastAsia="Arial" w:hAnsi="Arial"/>
                <w:b/>
                <w:bCs/>
                <w:color w:val="FFFFFF"/>
                <w:sz w:val="26"/>
                <w:szCs w:val="26"/>
              </w:rPr>
              <w:t xml:space="preserve">3</w:t>
            </w:r>
          </w:p>
        </w:tc>
        <w:tc>
          <w:tcPr>
            <w:tcW w:type="dxa" w:w="8800"/>
            <w:tcBorders>
              <w:top w:val="none"/>
              <w:left w:val="none"/>
              <w:bottom w:val="none"/>
              <w:right w:val="none"/>
            </w:tcBorders>
            <w:shd w:fill="F4F4F4" w:val="clear"/>
            <w:tcMar>
              <w:top w:type="dxa" w:w="110"/>
              <w:left w:type="dxa" w:w="180"/>
              <w:bottom w:type="dxa" w:w="110"/>
              <w:right w:type="dxa" w:w="140"/>
            </w:tcMar>
          </w:tcPr>
          <w:p>
            <w:pPr>
              <w:spacing w:after="60"/>
            </w:pPr>
            <w:r>
              <w:rPr>
                <w:rFonts w:ascii="Arial" w:cs="Arial" w:eastAsia="Arial" w:hAnsi="Arial"/>
                <w:b/>
                <w:bCs/>
                <w:color w:val="1B3A6B"/>
                <w:sz w:val="22"/>
                <w:szCs w:val="22"/>
              </w:rPr>
              <w:t xml:space="preserve">Add MISRA gate to your Makefile / CMake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MAKEFILE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Makefile target — fails build on any Required/Mandatory violation</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misra:</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@echo '[MISRA] Running MISRA-C:2012 analysis...'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@cppcheck --addon=misra --std=c11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--suppress=missingIncludeSystem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--error-exitcode=1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--enable=warning,style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 $(INC_DIR) $(SRC_DIR) 2&gt;&amp;1</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@echo '[MISRA] PASSED'</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In CI (GitHub Actions):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name: MISRA-C Check</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run: make misra</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tc>
      </w:tr>
    </w:tbl>
    <w:p>
      <w:pPr>
        <w:spacing w:after="0" w:before="160"/>
      </w:pPr>
      <w:r>
        <w:t xml:space="preserve"/>
      </w:r>
    </w:p>
    <w:p>
      <w:pPr>
        <w:pStyle w:val="Heading2"/>
        <w:spacing w:after="100" w:before="220"/>
      </w:pPr>
      <w:r>
        <w:rPr>
          <w:rFonts w:ascii="Arial" w:cs="Arial" w:eastAsia="Arial" w:hAnsi="Arial"/>
          <w:b/>
          <w:bCs/>
          <w:color w:val="2E5FA3"/>
          <w:sz w:val="26"/>
          <w:szCs w:val="26"/>
        </w:rPr>
        <w:t xml:space="preserve">1.5 Writing a Formal Deviation Record</w:t>
      </w:r>
    </w:p>
    <w:p>
      <w:pPr>
        <w:spacing w:after="110"/>
      </w:pPr>
      <w:r>
        <w:rPr>
          <w:rFonts w:ascii="Arial" w:cs="Arial" w:eastAsia="Arial" w:hAnsi="Arial"/>
          <w:color w:val="333333"/>
          <w:sz w:val="22"/>
          <w:szCs w:val="22"/>
        </w:rPr>
        <w:t xml:space="preserve">When a MISRA violation is unavoidable (vendor HAL, legacy code, toolchain intrinsics), you must write a formal deviation record. This is a required artifact in IEC 62304 and is reviewed during FDA facility inspections. The suppression comment in source code must reference the deviation record ID.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C</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MISRA-C:2012 Deviation Record</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ID:        DEV-MISRA-001</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Date:      2026-04-14</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Rule:      Rule 11.3 — A cast shall not be performed between a pointer</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to object type and an integer type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File:      stm32f4xx_hal_gpio.c  (SOUP — ST HAL v1.27.1)</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Location:  Line 247: GPIOA_BASE cast to GPIO_TypeDef*</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Category:  Required</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Deviation: STM32 HAL casts a hardware peripheral base address (uint32_t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literal) to a GPIO_TypeDef* for register access.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Justification:</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1. Code is vendor-supplied SOUP (STMicroelectronics HAL v1.27.1, SOUP-003).</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2. Address 0x40020000 is a fixed hardware constant in RM0383 Table 1.</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The cast is safe on all Cortex-M4 where sizeof(uint32_t)==sizeof(ptr).</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3. Modifying vendor HAL introduces greater risk than accepting deviation.</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Compensating Measures: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 HAL version is pinned in SOUP register (SOUP-003, v1.27.1, immutable).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 GPIO driver integration tests verify correct behavior on target HW.</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See Test Protocol TP-INT-003.</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Approved: [Lead FW Engineer]    QA Review: [QA Engineer]</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cppcheck-suppress misra-c2012-11.3 // DEV-MISRA-001</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C107" w:sz="1"/>
              <w:left w:val="single" w:color="FFC107" w:sz="1"/>
              <w:bottom w:val="single" w:color="FFC107" w:sz="1"/>
              <w:right w:val="single" w:color="FFC107" w:sz="1"/>
            </w:tcBorders>
            <w:shd w:fill="B03A2E"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WARNING</w:t>
            </w:r>
          </w:p>
        </w:tc>
        <w:tc>
          <w:tcPr>
            <w:tcW w:type="dxa" w:w="8160"/>
            <w:tcBorders>
              <w:top w:val="single" w:color="FFC107" w:sz="1"/>
              <w:left w:val="single" w:color="FFC107" w:sz="1"/>
              <w:bottom w:val="single" w:color="FFC107" w:sz="1"/>
              <w:right w:val="single" w:color="FFC107" w:sz="1"/>
            </w:tcBorders>
            <w:shd w:fill="FFF3CD" w:val="clear"/>
            <w:tcMar>
              <w:top w:type="dxa" w:w="90"/>
              <w:left w:type="dxa" w:w="140"/>
              <w:bottom w:type="dxa" w:w="90"/>
              <w:right w:type="dxa" w:w="100"/>
            </w:tcMar>
          </w:tcPr>
          <w:p>
            <w:r>
              <w:rPr>
                <w:rFonts w:ascii="Arial" w:cs="Arial" w:eastAsia="Arial" w:hAnsi="Arial"/>
                <w:color w:val="333333"/>
                <w:sz w:val="20"/>
                <w:szCs w:val="20"/>
              </w:rPr>
              <w:t xml:space="preserve">NEVER suppress a MISRA warning without a corresponding deviation record. Suppressions without documentation are invisible to auditors and create Design History File gaps that will trigger FDA observations during an inspection.</w:t>
            </w:r>
          </w:p>
        </w:tc>
      </w:tr>
    </w:tbl>
    <w:p>
      <w:pPr>
        <w:spacing w:after="0" w:before="140"/>
      </w:pPr>
      <w:r>
        <w:t xml:space="preserve"/>
      </w:r>
    </w:p>
    <w:p>
      <w:pPr>
        <w:pStyle w:val="Heading2"/>
        <w:spacing w:after="100" w:before="220"/>
      </w:pPr>
      <w:r>
        <w:rPr>
          <w:rFonts w:ascii="Arial" w:cs="Arial" w:eastAsia="Arial" w:hAnsi="Arial"/>
          <w:b/>
          <w:bCs/>
          <w:color w:val="2E5FA3"/>
          <w:sz w:val="26"/>
          <w:szCs w:val="26"/>
        </w:rPr>
        <w:t xml:space="preserve">1.6 Week 1 Exercises</w:t>
      </w:r>
    </w:p>
    <w:p>
      <w:pPr>
        <w:pStyle w:val="ListParagraph"/>
        <w:numPr>
          <w:ilvl w:val="0"/>
          <w:numId w:val="2"/>
        </w:numPr>
        <w:spacing w:after="80"/>
      </w:pPr>
      <w:r>
        <w:rPr>
          <w:rFonts w:ascii="Arial" w:cs="Arial" w:eastAsia="Arial" w:hAnsi="Arial"/>
          <w:color w:val="333333"/>
          <w:sz w:val="22"/>
          <w:szCs w:val="22"/>
        </w:rPr>
        <w:t xml:space="preserve">Run Cppcheck MISRA-C:2012 on one of your existing STM32 or ESP32-S3 projects. Record: total violation count, top 5 rules violated, source files with most violations.</w:t>
      </w:r>
    </w:p>
    <w:p>
      <w:pPr>
        <w:pStyle w:val="ListParagraph"/>
        <w:numPr>
          <w:ilvl w:val="0"/>
          <w:numId w:val="2"/>
        </w:numPr>
        <w:spacing w:after="80"/>
      </w:pPr>
      <w:r>
        <w:rPr>
          <w:rFonts w:ascii="Arial" w:cs="Arial" w:eastAsia="Arial" w:hAnsi="Arial"/>
          <w:color w:val="333333"/>
          <w:sz w:val="22"/>
          <w:szCs w:val="22"/>
        </w:rPr>
        <w:t xml:space="preserve">Write three formal deviation records using the template in Section 1.5. Typical candidates: vendor HAL pointer casts, stdbool.h usage, variadic functions (printf).</w:t>
      </w:r>
    </w:p>
    <w:p>
      <w:pPr>
        <w:pStyle w:val="ListParagraph"/>
        <w:numPr>
          <w:ilvl w:val="0"/>
          <w:numId w:val="2"/>
        </w:numPr>
        <w:spacing w:after="80"/>
      </w:pPr>
      <w:r>
        <w:rPr>
          <w:rFonts w:ascii="Arial" w:cs="Arial" w:eastAsia="Arial" w:hAnsi="Arial"/>
          <w:color w:val="333333"/>
          <w:sz w:val="22"/>
          <w:szCs w:val="22"/>
        </w:rPr>
        <w:t xml:space="preserve">Fix three MISRA violations in your own code (not vendor code). Write a before/after code comparison for each fix.</w:t>
      </w:r>
    </w:p>
    <w:p>
      <w:pPr>
        <w:pStyle w:val="ListParagraph"/>
        <w:numPr>
          <w:ilvl w:val="0"/>
          <w:numId w:val="2"/>
        </w:numPr>
        <w:spacing w:after="80"/>
      </w:pPr>
      <w:r>
        <w:rPr>
          <w:rFonts w:ascii="Arial" w:cs="Arial" w:eastAsia="Arial" w:hAnsi="Arial"/>
          <w:color w:val="333333"/>
          <w:sz w:val="22"/>
          <w:szCs w:val="22"/>
        </w:rPr>
        <w:t xml:space="preserve">Add a 'make misra' build target that fails on Required/Mandatory violations. Test it with a deliberate violation, then fix it.</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5FA3" w:sz="1"/>
              <w:left w:val="single" w:color="2E5FA3" w:sz="1"/>
              <w:bottom w:val="single" w:color="2E5FA3" w:sz="1"/>
              <w:right w:val="single" w:color="2E5FA3" w:sz="1"/>
            </w:tcBorders>
            <w:shd w:fill="1B3A6B"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GOAL</w:t>
            </w:r>
          </w:p>
        </w:tc>
        <w:tc>
          <w:tcPr>
            <w:tcW w:type="dxa" w:w="8160"/>
            <w:tcBorders>
              <w:top w:val="single" w:color="2E5FA3" w:sz="1"/>
              <w:left w:val="single" w:color="2E5FA3" w:sz="1"/>
              <w:bottom w:val="single" w:color="2E5FA3" w:sz="1"/>
              <w:right w:val="single" w:color="2E5FA3" w:sz="1"/>
            </w:tcBorders>
            <w:shd w:fill="D0E4F7" w:val="clear"/>
            <w:tcMar>
              <w:top w:type="dxa" w:w="90"/>
              <w:left w:type="dxa" w:w="140"/>
              <w:bottom w:type="dxa" w:w="90"/>
              <w:right w:type="dxa" w:w="100"/>
            </w:tcMar>
          </w:tcPr>
          <w:p>
            <w:r>
              <w:rPr>
                <w:rFonts w:ascii="Arial" w:cs="Arial" w:eastAsia="Arial" w:hAnsi="Arial"/>
                <w:color w:val="333333"/>
                <w:sz w:val="20"/>
                <w:szCs w:val="20"/>
              </w:rPr>
              <w:t xml:space="preserve">WEEK 1 DELIVERABLE: MISRA violation report from a real project + 3 formal deviation records in your project documentation folder.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1B3A6B" w:val="clear"/>
            <w:tcMar>
              <w:top w:type="dxa" w:w="130"/>
              <w:left w:type="dxa" w:w="100"/>
              <w:bottom w:type="dxa" w:w="130"/>
              <w:right w:type="dxa" w:w="100"/>
            </w:tcMar>
            <w:vAlign w:val="center"/>
          </w:tcPr>
          <w:p>
            <w:pPr>
              <w:jc w:val="center"/>
            </w:pPr>
            <w:r>
              <w:rPr>
                <w:rFonts w:ascii="Arial" w:cs="Arial" w:eastAsia="Arial" w:hAnsi="Arial"/>
                <w:b/>
                <w:bCs/>
                <w:color w:val="FFFFFF"/>
                <w:sz w:val="34"/>
                <w:szCs w:val="34"/>
              </w:rPr>
              <w:t xml:space="preserve">02</w:t>
            </w:r>
          </w:p>
        </w:tc>
        <w:tc>
          <w:tcPr>
            <w:tcW w:type="dxa" w:w="8560"/>
            <w:tcBorders>
              <w:top w:val="none"/>
              <w:left w:val="none"/>
              <w:bottom w:val="none"/>
              <w:right w:val="none"/>
            </w:tcBorders>
            <w:shd w:fill="D0E4F7" w:val="clear"/>
            <w:tcMar>
              <w:top w:type="dxa" w:w="90"/>
              <w:left w:type="dxa" w:w="180"/>
              <w:bottom w:type="dxa" w:w="90"/>
              <w:right w:type="dxa" w:w="100"/>
            </w:tcMar>
          </w:tcPr>
          <w:p>
            <w:pPr>
              <w:spacing w:after="40"/>
            </w:pPr>
            <w:r>
              <w:rPr>
                <w:rFonts w:ascii="Arial" w:cs="Arial" w:eastAsia="Arial" w:hAnsi="Arial"/>
                <w:b/>
                <w:bCs/>
                <w:color w:val="1B3A6B"/>
                <w:sz w:val="26"/>
                <w:szCs w:val="26"/>
              </w:rPr>
              <w:t xml:space="preserve">IEC 62304 — Medical Device Software Lifecycle Standard</w:t>
            </w:r>
          </w:p>
          <w:p>
            <w:pPr>
              <w:spacing w:after="0"/>
            </w:pPr>
            <w:r>
              <w:rPr>
                <w:rFonts w:ascii="Arial" w:cs="Arial" w:eastAsia="Arial" w:hAnsi="Arial"/>
                <w:color w:val="333333"/>
                <w:sz w:val="18"/>
                <w:szCs w:val="18"/>
              </w:rPr>
              <w:t xml:space="preserve">Days 8–14  ·  ~12 hours</w:t>
            </w:r>
          </w:p>
        </w:tc>
      </w:tr>
    </w:tbl>
    <w:p>
      <w:pPr>
        <w:spacing w:after="0" w:before="140"/>
      </w:pPr>
      <w:r>
        <w:t xml:space="preserve"/>
      </w:r>
    </w:p>
    <w:p>
      <w:pPr>
        <w:pStyle w:val="Heading1"/>
        <w:spacing w:after="140" w:before="300"/>
      </w:pPr>
      <w:r>
        <w:rPr>
          <w:rFonts w:ascii="Arial" w:cs="Arial" w:eastAsia="Arial" w:hAnsi="Arial"/>
          <w:b/>
          <w:bCs/>
          <w:color w:val="1B3A6B"/>
          <w:sz w:val="32"/>
          <w:szCs w:val="32"/>
        </w:rPr>
        <w:t xml:space="preserve">Skill 2: IEC 62304 Medical Device Software Lifecycle</w:t>
      </w:r>
    </w:p>
    <w:p>
      <w:pPr>
        <w:pStyle w:val="Heading2"/>
        <w:spacing w:after="100" w:before="220"/>
      </w:pPr>
      <w:r>
        <w:rPr>
          <w:rFonts w:ascii="Arial" w:cs="Arial" w:eastAsia="Arial" w:hAnsi="Arial"/>
          <w:b/>
          <w:bCs/>
          <w:color w:val="2E5FA3"/>
          <w:sz w:val="26"/>
          <w:szCs w:val="26"/>
        </w:rPr>
        <w:t xml:space="preserve">2.1 Why IEC 62304 Exists</w:t>
      </w:r>
    </w:p>
    <w:p>
      <w:pPr>
        <w:spacing w:after="110"/>
      </w:pPr>
      <w:r>
        <w:rPr>
          <w:rFonts w:ascii="Arial" w:cs="Arial" w:eastAsia="Arial" w:hAnsi="Arial"/>
          <w:color w:val="333333"/>
          <w:sz w:val="22"/>
          <w:szCs w:val="22"/>
        </w:rPr>
        <w:t xml:space="preserve">Before IEC 62304 was harmonized by the FDA, medical device software development was governed only by general quality system requirements (ISO 13485 / 21 CFR Part 820). These general requirements led to inconsistent safety practices and preventable patient harm from software failures.</w:t>
      </w:r>
    </w:p>
    <w:p>
      <w:pPr>
        <w:spacing w:after="0" w:before="70"/>
      </w:pPr>
      <w:r>
        <w:t xml:space="preserve"/>
      </w:r>
    </w:p>
    <w:p>
      <w:pPr>
        <w:spacing w:after="110"/>
      </w:pPr>
      <w:r>
        <w:rPr>
          <w:rFonts w:ascii="Arial" w:cs="Arial" w:eastAsia="Arial" w:hAnsi="Arial"/>
          <w:color w:val="333333"/>
          <w:sz w:val="22"/>
          <w:szCs w:val="22"/>
        </w:rPr>
        <w:t xml:space="preserve">IEC 62304:2006+AMD1:2015 defines a lifecycle framework specifically for medical device software. It is harmonized with FDA 21 CFR Part 820, EU MDR Annex I, and ISO 13485. The FDA expects IEC 62304 compliance for any device where software controls, influences, or monitors patient safety. Failure to reference a recognized standard is a common FDA Form 483 observation.</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5FA3" w:sz="1"/>
              <w:left w:val="single" w:color="2E5FA3" w:sz="1"/>
              <w:bottom w:val="single" w:color="2E5FA3" w:sz="1"/>
              <w:right w:val="single" w:color="2E5FA3" w:sz="1"/>
            </w:tcBorders>
            <w:shd w:fill="2E5FA3"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NOTE</w:t>
            </w:r>
          </w:p>
        </w:tc>
        <w:tc>
          <w:tcPr>
            <w:tcW w:type="dxa" w:w="8160"/>
            <w:tcBorders>
              <w:top w:val="single" w:color="2E5FA3" w:sz="1"/>
              <w:left w:val="single" w:color="2E5FA3" w:sz="1"/>
              <w:bottom w:val="single" w:color="2E5FA3" w:sz="1"/>
              <w:right w:val="single" w:color="2E5FA3" w:sz="1"/>
            </w:tcBorders>
            <w:shd w:fill="E8F4FD" w:val="clear"/>
            <w:tcMar>
              <w:top w:type="dxa" w:w="90"/>
              <w:left w:type="dxa" w:w="140"/>
              <w:bottom w:type="dxa" w:w="90"/>
              <w:right w:type="dxa" w:w="100"/>
            </w:tcMar>
          </w:tcPr>
          <w:p>
            <w:r>
              <w:rPr>
                <w:rFonts w:ascii="Arial" w:cs="Arial" w:eastAsia="Arial" w:hAnsi="Arial"/>
                <w:color w:val="333333"/>
                <w:sz w:val="20"/>
                <w:szCs w:val="20"/>
              </w:rPr>
              <w:t xml:space="preserve">IEC 62304 does not tell you how to write good code. It defines WHAT PROCESSES must exist, WHAT DOCUMENTS must be produced, and WHAT VERIFICATION must be performed — scaled to how dangerous your software is.</w:t>
            </w:r>
          </w:p>
        </w:tc>
      </w:tr>
    </w:tbl>
    <w:p>
      <w:pPr>
        <w:spacing w:after="0" w:before="140"/>
      </w:pPr>
      <w:r>
        <w:t xml:space="preserve"/>
      </w:r>
    </w:p>
    <w:p>
      <w:pPr>
        <w:pStyle w:val="Heading2"/>
        <w:spacing w:after="100" w:before="220"/>
      </w:pPr>
      <w:r>
        <w:rPr>
          <w:rFonts w:ascii="Arial" w:cs="Arial" w:eastAsia="Arial" w:hAnsi="Arial"/>
          <w:b/>
          <w:bCs/>
          <w:color w:val="2E5FA3"/>
          <w:sz w:val="26"/>
          <w:szCs w:val="26"/>
        </w:rPr>
        <w:t xml:space="preserve">2.2 Software Safety Classification — The Most Important Decision</w:t>
      </w:r>
    </w:p>
    <w:p>
      <w:pPr>
        <w:spacing w:after="110"/>
      </w:pPr>
      <w:r>
        <w:rPr>
          <w:rFonts w:ascii="Arial" w:cs="Arial" w:eastAsia="Arial" w:hAnsi="Arial"/>
          <w:color w:val="333333"/>
          <w:sz w:val="22"/>
          <w:szCs w:val="22"/>
        </w:rPr>
        <w:t xml:space="preserve">The classification you assign drives the entire scope of your IEC 62304 obligations. Classify before writing a single line of code.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5FA3" w:sz="1"/>
              <w:left w:val="single" w:color="2E5FA3" w:sz="1"/>
              <w:bottom w:val="single" w:color="2E5FA3" w:sz="1"/>
              <w:right w:val="single" w:color="2E5FA3"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Item</w:t>
            </w:r>
          </w:p>
        </w:tc>
        <w:tc>
          <w:tcPr>
            <w:tcW w:type="dxa" w:w="7360"/>
            <w:tcBorders>
              <w:top w:val="single" w:color="2E5FA3" w:sz="1"/>
              <w:left w:val="single" w:color="2E5FA3" w:sz="1"/>
              <w:bottom w:val="single" w:color="2E5FA3" w:sz="1"/>
              <w:right w:val="single" w:color="2E5FA3"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b/>
                <w:bCs/>
                <w:color w:val="1B3A6B"/>
                <w:sz w:val="19"/>
                <w:szCs w:val="19"/>
              </w:rPr>
              <w:t xml:space="preserve">Class A</w:t>
            </w:r>
          </w:p>
        </w:tc>
        <w:tc>
          <w:tcPr>
            <w:tcW w:type="dxa" w:w="736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color w:val="333333"/>
                <w:sz w:val="19"/>
                <w:szCs w:val="19"/>
              </w:rPr>
              <w:t xml:space="preserve">Failure CANNOT contribute to any hazardous situation. No patient harm is possible. Example: audit logging daemon, hospital scheduling UI. Minimal lifecycle requirements — essentially just change control and documentation.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B3A6B"/>
                <w:sz w:val="19"/>
                <w:szCs w:val="19"/>
              </w:rPr>
              <w:t xml:space="preserve">Class B</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33333"/>
                <w:sz w:val="19"/>
                <w:szCs w:val="19"/>
              </w:rPr>
              <w:t xml:space="preserve">Failure CAN contribute to a hazardous situation but only resulting in non-serious injury. Example: patient monitoring display, non-critical trend analysis tool. Moderate requirements including unit testing.</w:t>
            </w:r>
          </w:p>
        </w:tc>
      </w:tr>
      <w:tr>
        <w:tc>
          <w:tcPr>
            <w:tcW w:type="dxa" w:w="200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b/>
                <w:bCs/>
                <w:color w:val="1B3A6B"/>
                <w:sz w:val="19"/>
                <w:szCs w:val="19"/>
              </w:rPr>
              <w:t xml:space="preserve">Class C</w:t>
            </w:r>
          </w:p>
        </w:tc>
        <w:tc>
          <w:tcPr>
            <w:tcW w:type="dxa" w:w="736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color w:val="333333"/>
                <w:sz w:val="19"/>
                <w:szCs w:val="19"/>
              </w:rPr>
              <w:t xml:space="preserve">Failure CAN contribute to death or serious injury. Example: drug infusion pump, ventilator, pacemaker, closed-loop antimicrobial dosing. FULL requirements — architecture, detailed design, unit tests, integration tests, system tests, all with traceability.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C107" w:sz="1"/>
              <w:left w:val="single" w:color="FFC107" w:sz="1"/>
              <w:bottom w:val="single" w:color="FFC107" w:sz="1"/>
              <w:right w:val="single" w:color="FFC107" w:sz="1"/>
            </w:tcBorders>
            <w:shd w:fill="B03A2E"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WARNING</w:t>
            </w:r>
          </w:p>
        </w:tc>
        <w:tc>
          <w:tcPr>
            <w:tcW w:type="dxa" w:w="8160"/>
            <w:tcBorders>
              <w:top w:val="single" w:color="FFC107" w:sz="1"/>
              <w:left w:val="single" w:color="FFC107" w:sz="1"/>
              <w:bottom w:val="single" w:color="FFC107" w:sz="1"/>
              <w:right w:val="single" w:color="FFC107" w:sz="1"/>
            </w:tcBorders>
            <w:shd w:fill="FFF3CD" w:val="clear"/>
            <w:tcMar>
              <w:top w:type="dxa" w:w="90"/>
              <w:left w:type="dxa" w:w="140"/>
              <w:bottom w:type="dxa" w:w="90"/>
              <w:right w:type="dxa" w:w="100"/>
            </w:tcMar>
          </w:tcPr>
          <w:p>
            <w:r>
              <w:rPr>
                <w:rFonts w:ascii="Arial" w:cs="Arial" w:eastAsia="Arial" w:hAnsi="Arial"/>
                <w:color w:val="333333"/>
                <w:sz w:val="20"/>
                <w:szCs w:val="20"/>
              </w:rPr>
              <w:t xml:space="preserve">When in doubt, classify higher. FDA reviewers will challenge a Class B classification for any software that directly controls an actuator, delivers a therapy dose, or makes autonomous decisions affecting patient physiology. Chorus's ClO2 device firmware is almost certainly Class C.</w:t>
            </w:r>
          </w:p>
        </w:tc>
      </w:tr>
    </w:tbl>
    <w:p>
      <w:pPr>
        <w:spacing w:after="0" w:before="140"/>
      </w:pPr>
      <w:r>
        <w:t xml:space="preserve"/>
      </w:r>
    </w:p>
    <w:p>
      <w:pPr>
        <w:pStyle w:val="Heading2"/>
        <w:spacing w:after="100" w:before="220"/>
      </w:pPr>
      <w:r>
        <w:rPr>
          <w:rFonts w:ascii="Arial" w:cs="Arial" w:eastAsia="Arial" w:hAnsi="Arial"/>
          <w:b/>
          <w:bCs/>
          <w:color w:val="2E5FA3"/>
          <w:sz w:val="26"/>
          <w:szCs w:val="26"/>
        </w:rPr>
        <w:t xml:space="preserve">2.3 Lifecycle Activities and Required Documents</w:t>
      </w:r>
    </w:p>
    <w:p>
      <w:pPr>
        <w:spacing w:after="110"/>
      </w:pPr>
      <w:r>
        <w:rPr>
          <w:rFonts w:ascii="Arial" w:cs="Arial" w:eastAsia="Arial" w:hAnsi="Arial"/>
          <w:color w:val="333333"/>
          <w:sz w:val="22"/>
          <w:szCs w:val="22"/>
        </w:rPr>
        <w:t xml:space="preserve">IEC 62304 Section 5 defines the development process. Each activity must produce documented outputs that enter the Design History File (DHF). The level of rigor required scales with the safety class.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5FA3" w:sz="1"/>
              <w:left w:val="single" w:color="2E5FA3" w:sz="1"/>
              <w:bottom w:val="single" w:color="2E5FA3" w:sz="1"/>
              <w:right w:val="single" w:color="2E5FA3"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Item</w:t>
            </w:r>
          </w:p>
        </w:tc>
        <w:tc>
          <w:tcPr>
            <w:tcW w:type="dxa" w:w="6960"/>
            <w:tcBorders>
              <w:top w:val="single" w:color="2E5FA3" w:sz="1"/>
              <w:left w:val="single" w:color="2E5FA3" w:sz="1"/>
              <w:bottom w:val="single" w:color="2E5FA3" w:sz="1"/>
              <w:right w:val="single" w:color="2E5FA3"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b/>
                <w:bCs/>
                <w:color w:val="1B3A6B"/>
                <w:sz w:val="19"/>
                <w:szCs w:val="19"/>
              </w:rPr>
              <w:t xml:space="preserve">5.1 Planning (SDP)</w:t>
            </w:r>
          </w:p>
        </w:tc>
        <w:tc>
          <w:tcPr>
            <w:tcW w:type="dxa" w:w="696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color w:val="333333"/>
                <w:sz w:val="19"/>
                <w:szCs w:val="19"/>
              </w:rPr>
              <w:t xml:space="preserve">Software Development Plan: lifecycle model, tools list, coding standard (MISRA-C), config management strategy, SOUP handling process, problem resolution procedure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B3A6B"/>
                <w:sz w:val="19"/>
                <w:szCs w:val="19"/>
              </w:rPr>
              <w:t xml:space="preserve">5.2 Requirements (SRS)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33333"/>
                <w:sz w:val="19"/>
                <w:szCs w:val="19"/>
              </w:rPr>
              <w:t xml:space="preserve">Software Requirements Specification: functional requirements, performance requirements (latency, throughput), interface definitions, safety requirements with traceability to system hazards</w:t>
            </w:r>
          </w:p>
        </w:tc>
      </w:tr>
      <w:tr>
        <w:tc>
          <w:tcPr>
            <w:tcW w:type="dxa" w:w="240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b/>
                <w:bCs/>
                <w:color w:val="1B3A6B"/>
                <w:sz w:val="19"/>
                <w:szCs w:val="19"/>
              </w:rPr>
              <w:t xml:space="preserve">5.3 Architecture</w:t>
            </w:r>
          </w:p>
        </w:tc>
        <w:tc>
          <w:tcPr>
            <w:tcW w:type="dxa" w:w="696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color w:val="333333"/>
                <w:sz w:val="19"/>
                <w:szCs w:val="19"/>
              </w:rPr>
              <w:t xml:space="preserve">Software Architecture Document: decomposition into software items and units, interfaces between items, SOUP identification, segregation of safety-critical units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B3A6B"/>
                <w:sz w:val="19"/>
                <w:szCs w:val="19"/>
              </w:rPr>
              <w:t xml:space="preserve">5.4 Detailed Design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33333"/>
                <w:sz w:val="19"/>
                <w:szCs w:val="19"/>
              </w:rPr>
              <w:t xml:space="preserve">Design documents: algorithms, state machines, data flow, interface specifications at unit level — enough that a competent engineer can implement without guessing</w:t>
            </w:r>
          </w:p>
        </w:tc>
      </w:tr>
      <w:tr>
        <w:tc>
          <w:tcPr>
            <w:tcW w:type="dxa" w:w="240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b/>
                <w:bCs/>
                <w:color w:val="1B3A6B"/>
                <w:sz w:val="19"/>
                <w:szCs w:val="19"/>
              </w:rPr>
              <w:t xml:space="preserve">5.5 Unit Implementation</w:t>
            </w:r>
          </w:p>
        </w:tc>
        <w:tc>
          <w:tcPr>
            <w:tcW w:type="dxa" w:w="696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color w:val="333333"/>
                <w:sz w:val="19"/>
                <w:szCs w:val="19"/>
              </w:rPr>
              <w:t xml:space="preserve">Source code + MISRA compliance evidence + unit test protocols and results per software unit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B3A6B"/>
                <w:sz w:val="19"/>
                <w:szCs w:val="19"/>
              </w:rPr>
              <w:t xml:space="preserve">5.6 Integration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33333"/>
                <w:sz w:val="19"/>
                <w:szCs w:val="19"/>
              </w:rPr>
              <w:t xml:space="preserve">Integration test plan, integration test protocols, results, defect reports. Tests verify that software items work together correctly.</w:t>
            </w:r>
          </w:p>
        </w:tc>
      </w:tr>
      <w:tr>
        <w:tc>
          <w:tcPr>
            <w:tcW w:type="dxa" w:w="240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b/>
                <w:bCs/>
                <w:color w:val="1B3A6B"/>
                <w:sz w:val="19"/>
                <w:szCs w:val="19"/>
              </w:rPr>
              <w:t xml:space="preserve">5.7 System Testing</w:t>
            </w:r>
          </w:p>
        </w:tc>
        <w:tc>
          <w:tcPr>
            <w:tcW w:type="dxa" w:w="696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color w:val="333333"/>
                <w:sz w:val="19"/>
                <w:szCs w:val="19"/>
              </w:rPr>
              <w:t xml:space="preserve">System-level test plan covering all SW requirements. Test protocols, test results, and pass/fail verdicts feed the DHF.</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B3A6B"/>
                <w:sz w:val="19"/>
                <w:szCs w:val="19"/>
              </w:rPr>
              <w:t xml:space="preserve">5.8 Release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33333"/>
                <w:sz w:val="19"/>
                <w:szCs w:val="19"/>
              </w:rPr>
              <w:t xml:space="preserve">Software release record: version identifier, config item list, known anomaly list with acceptability rationale, release authorization signature</w:t>
            </w:r>
          </w:p>
        </w:tc>
      </w:tr>
    </w:tbl>
    <w:p>
      <w:pPr>
        <w:spacing w:after="0" w:before="140"/>
      </w:pPr>
      <w:r>
        <w:t xml:space="preserve"/>
      </w:r>
    </w:p>
    <w:p>
      <w:pPr>
        <w:pStyle w:val="Heading2"/>
        <w:spacing w:after="100" w:before="220"/>
      </w:pPr>
      <w:r>
        <w:rPr>
          <w:rFonts w:ascii="Arial" w:cs="Arial" w:eastAsia="Arial" w:hAnsi="Arial"/>
          <w:b/>
          <w:bCs/>
          <w:color w:val="2E5FA3"/>
          <w:sz w:val="26"/>
          <w:szCs w:val="26"/>
        </w:rPr>
        <w:t xml:space="preserve">2.4 Managing SOUP — Software of Unknown Provenance</w:t>
      </w:r>
    </w:p>
    <w:p>
      <w:pPr>
        <w:spacing w:after="110"/>
      </w:pPr>
      <w:r>
        <w:rPr>
          <w:rFonts w:ascii="Arial" w:cs="Arial" w:eastAsia="Arial" w:hAnsi="Arial"/>
          <w:color w:val="333333"/>
          <w:sz w:val="22"/>
          <w:szCs w:val="22"/>
        </w:rPr>
        <w:t xml:space="preserve">SOUP is any third-party software component not developed under your IEC 62304 controls. This includes FreeRTOS, Zephyr RTOS, mbedTLS, AWS IoT SDK, ESP-IDF, STM32 HAL, Newlib-C. IEC 62304 Section 8 mandates that all SOUP items are identified, their functional requirements documented, their known anomalies tracked, and their behavior verified in your device context.</w:t>
      </w:r>
    </w:p>
    <w:p>
      <w:pPr>
        <w:spacing w:after="0" w:before="100"/>
      </w:pPr>
      <w:r>
        <w:t xml:space="preserve"/>
      </w:r>
    </w:p>
    <w:p>
      <w:pPr>
        <w:pStyle w:val="Heading3"/>
        <w:spacing w:after="80" w:before="180"/>
      </w:pPr>
      <w:r>
        <w:rPr>
          <w:rFonts w:ascii="Arial" w:cs="Arial" w:eastAsia="Arial" w:hAnsi="Arial"/>
          <w:b/>
          <w:bCs/>
          <w:color w:val="333333"/>
          <w:sz w:val="23"/>
          <w:szCs w:val="23"/>
        </w:rPr>
        <w:t xml:space="preserve">SOUP Register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TEXT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SOUP Register  |  Device: ClO2 Controller  |  HW: ESP32-S3 + STM32F4</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Version: 1.2  |  Date: 2026-04-14  |  Author: R. Roychowdhury</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SOUP-001  FreeRTOS v10.5.1</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Use:     RTOS kernel — task scheduling, IPC (queues, mutexes, semaphores)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License: MIT  |  Source: github.com/FreeRTOS/FreeRTOS-Kernel</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Safety:  Used in Class C software items (sensor, control, actuator tasks)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Anomaly: github.com/FreeRTOS/FreeRTOS-Kernel/issues (monitor monthly)</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Verify:  TP-INT-005: task scheduling and priority test on target HW.</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Stack overflow detection enabled (configCHECK_FOR_STACK_OVERFLOW=2)</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Pin:     LOCKED at v10.5.1. Upgrade requires change control CR-XXXX.</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SOUP-002  mbedTLS v3.4.0</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Use:     TLS 1.2 mutual auth for AWS IoT MQTT, AES-256-GCM flash encryption</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License: Apache 2.0  |  Source: trustedfirmware.org/projects/mbed-tls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Safety:  Class C (MQTT carries dose commands, TLS failure = no commands)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Anomaly: trustedfirmware.org/security + CVE database (search: mbedTLS)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Verify:  TP-SEC-001: TLS handshake to AWS IoT endpoint. TP-SEC-002: fuzz</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certificate parsing with AFL++ (100k iterations, no crashes).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Pin:     LOCKED at v3.4.0.</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SOUP-003  STM32F4xx HAL v1.27.1</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Use:     HW abstraction: GPIO, UART, SPI, I2C, DMA, TIM, ADC</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License: BSD-3  |  Source: st.com/en/embedded-software/stm32cubef4</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Safety:  Class C (ADC reads sensor, TIM drives actuator PWM)</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Anomaly: st.com release notes for STM32CubeF4  +  MISRA deviation log</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Verify:  TP-DRV-001 through TP-DRV-012: peripheral driver tests on HW.</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Pin:     LOCKED at v1.27.1. MISRA deviations logged: DEV-MISRA-001..047.</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SOUP-004  AWS IoT Device SDK C v4.1.1</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Use:     MQTT + AWS IoT Jobs for OTA firmware updates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License: MIT  |  Source: github.com/aws/aws-iot-device-sdk-embedded-C</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Safety:  Class B (OTA delivers new firmware — failure = no update, not harm)</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Anomaly: github.com/aws/aws-iot-device-sdk-embedded-C/issues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Verify:  TP-OTA-001: end-to-end OTA test: publish job, download, verify</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ECDSA-P256 signature, install, reboot, confirm running new version.</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Pin:     LOCKED at v4.1.1.</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pPr>
        <w:spacing w:after="0" w:before="140"/>
      </w:pPr>
      <w:r>
        <w:t xml:space="preserve"/>
      </w:r>
    </w:p>
    <w:p>
      <w:pPr>
        <w:pStyle w:val="Heading2"/>
        <w:spacing w:after="100" w:before="220"/>
      </w:pPr>
      <w:r>
        <w:rPr>
          <w:rFonts w:ascii="Arial" w:cs="Arial" w:eastAsia="Arial" w:hAnsi="Arial"/>
          <w:b/>
          <w:bCs/>
          <w:color w:val="2E5FA3"/>
          <w:sz w:val="26"/>
          <w:szCs w:val="26"/>
        </w:rPr>
        <w:t xml:space="preserve">2.5 Software Architecture and Unit Decomposition</w:t>
      </w:r>
    </w:p>
    <w:p>
      <w:pPr>
        <w:spacing w:after="110"/>
      </w:pPr>
      <w:r>
        <w:rPr>
          <w:rFonts w:ascii="Arial" w:cs="Arial" w:eastAsia="Arial" w:hAnsi="Arial"/>
          <w:color w:val="333333"/>
          <w:sz w:val="22"/>
          <w:szCs w:val="22"/>
        </w:rPr>
        <w:t xml:space="preserve">IEC 62304 requires decomposing your software into Software Items (subsystems) and Software Units (individually testable modules). The decomposition drives your traceability matrix and determines which units need unit tests.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TEXT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Software Architecture — Closed-Loop ClO2 Device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System Level</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SW-ITEM-01: Sensor Acquisition  (Class C — feeds control algorithm)</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UNIT-01A: adc_driver.c         ADC DMA acquisition, calibration</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UNIT-01B: sensor_validate.c    Range checks, stuck sensor detect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UNIT-01C: sensor_filter.c      5-sample moving average, outlier rej.</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SW-ITEM-02: Control Algorithm  (Class C — computes actuator setpoint)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UNIT-02A: pid_controller.c     PID with anti-windup, 100ms period</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UNIT-02B: safety_monitor.c     Watchdog feed, safe-state triggers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UNIT-02C: device_fsm.c         Master device state machine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SW-ITEM-03: Actuator Control  (Class C — directly drives therapy)</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UNIT-03A: pwm_driver.c         TIM PWM generation, duty cycle ctrl</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UNIT-03B: dose_calculator.c    Dose computation + limit enforcement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UNIT-03C: actuator_interlock.c HW interlock GPIO, safe-state output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SW-ITEM-04: Communication  (Class B — no direct patient safety impact)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UNIT-04A: aws_mqtt.c           AWS IoT MQTT via mbedTLS (SOUP-002)</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UNIT-04B: ble_gatt.c           BLE GATT server for local monitoring</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UNIT-04C: ota_handler.c        AWS IoT Jobs OTA, MCUboot integration</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SW-ITEM-05: Diagnostics  (Class A — no patient safety impact)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UNIT-05A: event_logger.c       NVS/LittleFS event ring buffer</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UNIT-05B: self_test.c          Power-on self test, peripheral checks</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pPr>
        <w:spacing w:after="0" w:before="140"/>
      </w:pPr>
      <w:r>
        <w:t xml:space="preserve"/>
      </w:r>
    </w:p>
    <w:p>
      <w:pPr>
        <w:pStyle w:val="Heading2"/>
        <w:spacing w:after="100" w:before="220"/>
      </w:pPr>
      <w:r>
        <w:rPr>
          <w:rFonts w:ascii="Arial" w:cs="Arial" w:eastAsia="Arial" w:hAnsi="Arial"/>
          <w:b/>
          <w:bCs/>
          <w:color w:val="2E5FA3"/>
          <w:sz w:val="26"/>
          <w:szCs w:val="26"/>
        </w:rPr>
        <w:t xml:space="preserve">2.6 Traceability Matrix</w:t>
      </w:r>
    </w:p>
    <w:p>
      <w:pPr>
        <w:spacing w:after="110"/>
      </w:pPr>
      <w:r>
        <w:rPr>
          <w:rFonts w:ascii="Arial" w:cs="Arial" w:eastAsia="Arial" w:hAnsi="Arial"/>
          <w:color w:val="333333"/>
          <w:sz w:val="22"/>
          <w:szCs w:val="22"/>
        </w:rPr>
        <w:t xml:space="preserve">Bidirectional traceability is an IEC 62304 requirement and frequently the weakest part of FDA submissions. Every system requirement must trace forward to a software requirement, to architecture, to a unit, to a unit test, to a system test. Every test result must trace back to a requirement. This is how you prove that everything required was built and tested.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TEXT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Traceability Matrix — Example (partial)</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SYS-REQ-001: Device shall deliver ClO2 dose within ±5% of setpoint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SW-REQ-007:  dose_calculator.c shall compute dose within ±0.1% accuracy</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ARCH-UNIT: UNIT-03B (dose_calculator.c)</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DESIGN-22: Floating-point PID output → 12-bit PWM conversion algorithm</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TEST-U-07: Unit test: 1000 random inputs, error &lt; 0.1%  [PASS, v1.2.0]</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TEST-I-04: Integration: dose sensor feedback confirms ±3% on HW  [PASS]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TEST-S-02: System: clinical dose accuracy validation  [PASS, lot #2024]</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SYS-REQ-002: Device shall enter safe state within 500ms of sensor fault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SW-REQ-011:  safety_monitor.c shall detect sensor fault within 200ms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ARCH-UNIT: UNIT-02B (safety_monitor.c)</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DESIGN-31: 5-sample window fault detection, 100ms task period</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TEST-U-11: Unit test: fault injection → safe-state in 180ms  [PASS]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TEST-I-07: Integration: cut sensor wire → safe-state triggered  [PASS]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TEST-S-05: System: sensor fault end-to-end response time test  [PASS]</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pPr>
        <w:spacing w:after="0" w:before="140"/>
      </w:pPr>
      <w:r>
        <w:t xml:space="preserve"/>
      </w:r>
    </w:p>
    <w:p>
      <w:pPr>
        <w:pStyle w:val="Heading2"/>
        <w:spacing w:after="100" w:before="220"/>
      </w:pPr>
      <w:r>
        <w:rPr>
          <w:rFonts w:ascii="Arial" w:cs="Arial" w:eastAsia="Arial" w:hAnsi="Arial"/>
          <w:b/>
          <w:bCs/>
          <w:color w:val="2E5FA3"/>
          <w:sz w:val="26"/>
          <w:szCs w:val="26"/>
        </w:rPr>
        <w:t xml:space="preserve">2.7 Week 2 Exercises</w:t>
      </w:r>
    </w:p>
    <w:p>
      <w:pPr>
        <w:pStyle w:val="ListParagraph"/>
        <w:numPr>
          <w:ilvl w:val="0"/>
          <w:numId w:val="2"/>
        </w:numPr>
        <w:spacing w:after="80"/>
      </w:pPr>
      <w:r>
        <w:rPr>
          <w:rFonts w:ascii="Arial" w:cs="Arial" w:eastAsia="Arial" w:hAnsi="Arial"/>
          <w:color w:val="333333"/>
          <w:sz w:val="22"/>
          <w:szCs w:val="22"/>
        </w:rPr>
        <w:t xml:space="preserve">Write a 1-page Software Development Plan (SDP) for your smart shoe project. Include: coding standard (MISRA-C:2012), RTOS name and version, SOUP handling procedure, Git branching strategy (e.g., main/develop/feature), and problem resolution process.</w:t>
      </w:r>
    </w:p>
    <w:p>
      <w:pPr>
        <w:pStyle w:val="ListParagraph"/>
        <w:numPr>
          <w:ilvl w:val="0"/>
          <w:numId w:val="2"/>
        </w:numPr>
        <w:spacing w:after="80"/>
      </w:pPr>
      <w:r>
        <w:rPr>
          <w:rFonts w:ascii="Arial" w:cs="Arial" w:eastAsia="Arial" w:hAnsi="Arial"/>
          <w:color w:val="333333"/>
          <w:sz w:val="22"/>
          <w:szCs w:val="22"/>
        </w:rPr>
        <w:t xml:space="preserve">Build a SOUP Register for 4 items from your project. Use the template from Section 2.4. For each item: name, version (pinned), license, safety class impact, anomaly source URL, verification test reference.</w:t>
      </w:r>
    </w:p>
    <w:p>
      <w:pPr>
        <w:pStyle w:val="ListParagraph"/>
        <w:numPr>
          <w:ilvl w:val="0"/>
          <w:numId w:val="2"/>
        </w:numPr>
        <w:spacing w:after="80"/>
      </w:pPr>
      <w:r>
        <w:rPr>
          <w:rFonts w:ascii="Arial" w:cs="Arial" w:eastAsia="Arial" w:hAnsi="Arial"/>
          <w:color w:val="333333"/>
          <w:sz w:val="22"/>
          <w:szCs w:val="22"/>
        </w:rPr>
        <w:t xml:space="preserve">Create a software architecture decomposition table for your smart shoe or another project: list Software Items and Software Units, assign IEC 62304 safety class to each item (A/B/C).</w:t>
      </w:r>
    </w:p>
    <w:p>
      <w:pPr>
        <w:pStyle w:val="ListParagraph"/>
        <w:numPr>
          <w:ilvl w:val="0"/>
          <w:numId w:val="2"/>
        </w:numPr>
        <w:spacing w:after="80"/>
      </w:pPr>
      <w:r>
        <w:rPr>
          <w:rFonts w:ascii="Arial" w:cs="Arial" w:eastAsia="Arial" w:hAnsi="Arial"/>
          <w:color w:val="333333"/>
          <w:sz w:val="22"/>
          <w:szCs w:val="22"/>
        </w:rPr>
        <w:t xml:space="preserve">Write a 5-row traceability matrix connecting 5 system requirements to software requirements, architecture units, and test references.</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5FA3" w:sz="1"/>
              <w:left w:val="single" w:color="2E5FA3" w:sz="1"/>
              <w:bottom w:val="single" w:color="2E5FA3" w:sz="1"/>
              <w:right w:val="single" w:color="2E5FA3" w:sz="1"/>
            </w:tcBorders>
            <w:shd w:fill="1B3A6B"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GOAL</w:t>
            </w:r>
          </w:p>
        </w:tc>
        <w:tc>
          <w:tcPr>
            <w:tcW w:type="dxa" w:w="8160"/>
            <w:tcBorders>
              <w:top w:val="single" w:color="2E5FA3" w:sz="1"/>
              <w:left w:val="single" w:color="2E5FA3" w:sz="1"/>
              <w:bottom w:val="single" w:color="2E5FA3" w:sz="1"/>
              <w:right w:val="single" w:color="2E5FA3" w:sz="1"/>
            </w:tcBorders>
            <w:shd w:fill="D0E4F7" w:val="clear"/>
            <w:tcMar>
              <w:top w:type="dxa" w:w="90"/>
              <w:left w:type="dxa" w:w="140"/>
              <w:bottom w:type="dxa" w:w="90"/>
              <w:right w:type="dxa" w:w="100"/>
            </w:tcMar>
          </w:tcPr>
          <w:p>
            <w:r>
              <w:rPr>
                <w:rFonts w:ascii="Arial" w:cs="Arial" w:eastAsia="Arial" w:hAnsi="Arial"/>
                <w:color w:val="333333"/>
                <w:sz w:val="20"/>
                <w:szCs w:val="20"/>
              </w:rPr>
              <w:t xml:space="preserve">WEEK 2 DELIVERABLE: SDP + SOUP Register + Architecture Decomposition table + 5-row Traceability Matrix.</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1B3A6B" w:val="clear"/>
            <w:tcMar>
              <w:top w:type="dxa" w:w="130"/>
              <w:left w:type="dxa" w:w="100"/>
              <w:bottom w:type="dxa" w:w="130"/>
              <w:right w:type="dxa" w:w="100"/>
            </w:tcMar>
            <w:vAlign w:val="center"/>
          </w:tcPr>
          <w:p>
            <w:pPr>
              <w:jc w:val="center"/>
            </w:pPr>
            <w:r>
              <w:rPr>
                <w:rFonts w:ascii="Arial" w:cs="Arial" w:eastAsia="Arial" w:hAnsi="Arial"/>
                <w:b/>
                <w:bCs/>
                <w:color w:val="FFFFFF"/>
                <w:sz w:val="34"/>
                <w:szCs w:val="34"/>
              </w:rPr>
              <w:t xml:space="preserve">03</w:t>
            </w:r>
          </w:p>
        </w:tc>
        <w:tc>
          <w:tcPr>
            <w:tcW w:type="dxa" w:w="8560"/>
            <w:tcBorders>
              <w:top w:val="none"/>
              <w:left w:val="none"/>
              <w:bottom w:val="none"/>
              <w:right w:val="none"/>
            </w:tcBorders>
            <w:shd w:fill="D0E4F7" w:val="clear"/>
            <w:tcMar>
              <w:top w:type="dxa" w:w="90"/>
              <w:left w:type="dxa" w:w="180"/>
              <w:bottom w:type="dxa" w:w="90"/>
              <w:right w:type="dxa" w:w="100"/>
            </w:tcMar>
          </w:tcPr>
          <w:p>
            <w:pPr>
              <w:spacing w:after="40"/>
            </w:pPr>
            <w:r>
              <w:rPr>
                <w:rFonts w:ascii="Arial" w:cs="Arial" w:eastAsia="Arial" w:hAnsi="Arial"/>
                <w:b/>
                <w:bCs/>
                <w:color w:val="1B3A6B"/>
                <w:sz w:val="26"/>
                <w:szCs w:val="26"/>
              </w:rPr>
              <w:t xml:space="preserve">ISO 14971 — Medical Device Risk Management</w:t>
            </w:r>
          </w:p>
          <w:p>
            <w:pPr>
              <w:spacing w:after="0"/>
            </w:pPr>
            <w:r>
              <w:rPr>
                <w:rFonts w:ascii="Arial" w:cs="Arial" w:eastAsia="Arial" w:hAnsi="Arial"/>
                <w:color w:val="333333"/>
                <w:sz w:val="18"/>
                <w:szCs w:val="18"/>
              </w:rPr>
              <w:t xml:space="preserve">Days 15–21  ·  ~10 hours</w:t>
            </w:r>
          </w:p>
        </w:tc>
      </w:tr>
    </w:tbl>
    <w:p>
      <w:pPr>
        <w:spacing w:after="0" w:before="140"/>
      </w:pPr>
      <w:r>
        <w:t xml:space="preserve"/>
      </w:r>
    </w:p>
    <w:p>
      <w:pPr>
        <w:pStyle w:val="Heading1"/>
        <w:spacing w:after="140" w:before="300"/>
      </w:pPr>
      <w:r>
        <w:rPr>
          <w:rFonts w:ascii="Arial" w:cs="Arial" w:eastAsia="Arial" w:hAnsi="Arial"/>
          <w:b/>
          <w:bCs/>
          <w:color w:val="1B3A6B"/>
          <w:sz w:val="32"/>
          <w:szCs w:val="32"/>
        </w:rPr>
        <w:t xml:space="preserve">Skill 3: ISO 14971 Risk Management in Firmware</w:t>
      </w:r>
    </w:p>
    <w:p>
      <w:pPr>
        <w:pStyle w:val="Heading2"/>
        <w:spacing w:after="100" w:before="220"/>
      </w:pPr>
      <w:r>
        <w:rPr>
          <w:rFonts w:ascii="Arial" w:cs="Arial" w:eastAsia="Arial" w:hAnsi="Arial"/>
          <w:b/>
          <w:bCs/>
          <w:color w:val="2E5FA3"/>
          <w:sz w:val="26"/>
          <w:szCs w:val="26"/>
        </w:rPr>
        <w:t xml:space="preserve">3.1 The Risk Management Framework</w:t>
      </w:r>
    </w:p>
    <w:p>
      <w:pPr>
        <w:spacing w:after="110"/>
      </w:pPr>
      <w:r>
        <w:rPr>
          <w:rFonts w:ascii="Arial" w:cs="Arial" w:eastAsia="Arial" w:hAnsi="Arial"/>
          <w:color w:val="333333"/>
          <w:sz w:val="22"/>
          <w:szCs w:val="22"/>
        </w:rPr>
        <w:t xml:space="preserve">ISO 14971:2019 is the international standard for medical device risk management. It defines how to identify hazards, estimate risk, evaluate acceptability, implement controls, and monitor residual risk. At principal engineer level, you are expected to own the firmware risk register — identifying hazards that originate in firmware and verifying that risk controls are implemented in code.</w:t>
      </w:r>
    </w:p>
    <w:p>
      <w:pPr>
        <w:spacing w:after="0" w:before="70"/>
      </w:pPr>
      <w:r>
        <w:t xml:space="preserve"/>
      </w:r>
    </w:p>
    <w:p>
      <w:pPr>
        <w:spacing w:after="110"/>
      </w:pPr>
      <w:r>
        <w:rPr>
          <w:rFonts w:ascii="Arial" w:cs="Arial" w:eastAsia="Arial" w:hAnsi="Arial"/>
          <w:color w:val="333333"/>
          <w:sz w:val="22"/>
          <w:szCs w:val="22"/>
        </w:rPr>
        <w:t xml:space="preserve">The process is cyclical and iterative: you analyze risk before implementation, implement controls during coding, verify control effectiveness during testing, and re-evaluate residual risk before release.</w:t>
      </w:r>
    </w:p>
    <w:p>
      <w:pPr>
        <w:spacing w:after="0" w:before="100"/>
      </w:pPr>
      <w:r>
        <w:t xml:space="preserve"/>
      </w:r>
    </w:p>
    <w:p>
      <w:pPr>
        <w:pStyle w:val="Heading3"/>
        <w:spacing w:after="80" w:before="180"/>
      </w:pPr>
      <w:r>
        <w:rPr>
          <w:rFonts w:ascii="Arial" w:cs="Arial" w:eastAsia="Arial" w:hAnsi="Arial"/>
          <w:b/>
          <w:bCs/>
          <w:color w:val="333333"/>
          <w:sz w:val="23"/>
          <w:szCs w:val="23"/>
        </w:rPr>
        <w:t xml:space="preserve">Five-Step Risk Management Process</w:t>
      </w:r>
    </w:p>
    <w:p>
      <w:pPr>
        <w:pStyle w:val="ListParagraph"/>
        <w:numPr>
          <w:ilvl w:val="0"/>
          <w:numId w:val="2"/>
        </w:numPr>
        <w:spacing w:after="80"/>
      </w:pPr>
      <w:r>
        <w:rPr>
          <w:rFonts w:ascii="Arial" w:cs="Arial" w:eastAsia="Arial" w:hAnsi="Arial"/>
          <w:color w:val="333333"/>
          <w:sz w:val="22"/>
          <w:szCs w:val="22"/>
        </w:rPr>
        <w:t xml:space="preserve">Hazard Identification — What failure modes exist in the firmware? What could go wrong?</w:t>
      </w:r>
    </w:p>
    <w:p>
      <w:pPr>
        <w:pStyle w:val="ListParagraph"/>
        <w:numPr>
          <w:ilvl w:val="0"/>
          <w:numId w:val="2"/>
        </w:numPr>
        <w:spacing w:after="80"/>
      </w:pPr>
      <w:r>
        <w:rPr>
          <w:rFonts w:ascii="Arial" w:cs="Arial" w:eastAsia="Arial" w:hAnsi="Arial"/>
          <w:color w:val="333333"/>
          <w:sz w:val="22"/>
          <w:szCs w:val="22"/>
        </w:rPr>
        <w:t xml:space="preserve">Risk Estimation — For each hazard: what is the Severity (S) and Probability (P)?</w:t>
      </w:r>
    </w:p>
    <w:p>
      <w:pPr>
        <w:pStyle w:val="ListParagraph"/>
        <w:numPr>
          <w:ilvl w:val="0"/>
          <w:numId w:val="2"/>
        </w:numPr>
        <w:spacing w:after="80"/>
      </w:pPr>
      <w:r>
        <w:rPr>
          <w:rFonts w:ascii="Arial" w:cs="Arial" w:eastAsia="Arial" w:hAnsi="Arial"/>
          <w:color w:val="333333"/>
          <w:sz w:val="22"/>
          <w:szCs w:val="22"/>
        </w:rPr>
        <w:t xml:space="preserve">Risk Evaluation — Is the risk acceptable given the benefit? If not, controls are required.</w:t>
      </w:r>
    </w:p>
    <w:p>
      <w:pPr>
        <w:pStyle w:val="ListParagraph"/>
        <w:numPr>
          <w:ilvl w:val="0"/>
          <w:numId w:val="2"/>
        </w:numPr>
        <w:spacing w:after="80"/>
      </w:pPr>
      <w:r>
        <w:rPr>
          <w:rFonts w:ascii="Arial" w:cs="Arial" w:eastAsia="Arial" w:hAnsi="Arial"/>
          <w:color w:val="333333"/>
          <w:sz w:val="22"/>
          <w:szCs w:val="22"/>
        </w:rPr>
        <w:t xml:space="preserve">Risk Control Implementation — Implement mitigations in firmware, hardware, labeling, or procedure.</w:t>
      </w:r>
    </w:p>
    <w:p>
      <w:pPr>
        <w:pStyle w:val="ListParagraph"/>
        <w:numPr>
          <w:ilvl w:val="0"/>
          <w:numId w:val="2"/>
        </w:numPr>
        <w:spacing w:after="80"/>
      </w:pPr>
      <w:r>
        <w:rPr>
          <w:rFonts w:ascii="Arial" w:cs="Arial" w:eastAsia="Arial" w:hAnsi="Arial"/>
          <w:color w:val="333333"/>
          <w:sz w:val="22"/>
          <w:szCs w:val="22"/>
        </w:rPr>
        <w:t xml:space="preserve">Residual Risk Evaluation — What risk remains after controls? Is it acceptable? Document justification.</w:t>
      </w:r>
    </w:p>
    <w:p>
      <w:pPr>
        <w:spacing w:after="0" w:before="140"/>
      </w:pPr>
      <w:r>
        <w:t xml:space="preserve"/>
      </w:r>
    </w:p>
    <w:p>
      <w:pPr>
        <w:pStyle w:val="Heading2"/>
        <w:spacing w:after="100" w:before="220"/>
      </w:pPr>
      <w:r>
        <w:rPr>
          <w:rFonts w:ascii="Arial" w:cs="Arial" w:eastAsia="Arial" w:hAnsi="Arial"/>
          <w:b/>
          <w:bCs/>
          <w:color w:val="2E5FA3"/>
          <w:sz w:val="26"/>
          <w:szCs w:val="26"/>
        </w:rPr>
        <w:t xml:space="preserve">3.2 Severity and Probability Scales</w:t>
      </w:r>
    </w:p>
    <w:p>
      <w:pPr>
        <w:spacing w:after="110"/>
      </w:pPr>
      <w:r>
        <w:rPr>
          <w:rFonts w:ascii="Arial" w:cs="Arial" w:eastAsia="Arial" w:hAnsi="Arial"/>
          <w:color w:val="333333"/>
          <w:sz w:val="22"/>
          <w:szCs w:val="22"/>
        </w:rPr>
        <w:t xml:space="preserve">ISO 14971 does not mandate a specific scale — your Risk Management Plan defines it. A 5×5 matrix (Severity × Probability = Risk Score 1–25) is widely accepted by FDA reviewers. Define your acceptability thresholds in the Risk Management Plan before any analysis.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5FA3" w:sz="1"/>
              <w:left w:val="single" w:color="2E5FA3" w:sz="1"/>
              <w:bottom w:val="single" w:color="2E5FA3" w:sz="1"/>
              <w:right w:val="single" w:color="2E5FA3"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Item</w:t>
            </w:r>
          </w:p>
        </w:tc>
        <w:tc>
          <w:tcPr>
            <w:tcW w:type="dxa" w:w="7160"/>
            <w:tcBorders>
              <w:top w:val="single" w:color="2E5FA3" w:sz="1"/>
              <w:left w:val="single" w:color="2E5FA3" w:sz="1"/>
              <w:bottom w:val="single" w:color="2E5FA3" w:sz="1"/>
              <w:right w:val="single" w:color="2E5FA3"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Detail</w:t>
            </w:r>
          </w:p>
        </w:tc>
      </w:tr>
      <w:tr>
        <w:tc>
          <w:tcPr>
            <w:tcW w:type="dxa" w:w="220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b/>
                <w:bCs/>
                <w:color w:val="1B3A6B"/>
                <w:sz w:val="19"/>
                <w:szCs w:val="19"/>
              </w:rPr>
              <w:t xml:space="preserve">Severity 1 — Negligible</w:t>
            </w:r>
          </w:p>
        </w:tc>
        <w:tc>
          <w:tcPr>
            <w:tcW w:type="dxa" w:w="716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color w:val="333333"/>
                <w:sz w:val="19"/>
                <w:szCs w:val="19"/>
              </w:rPr>
              <w:t xml:space="preserve">No injury, no clinical impact. Device nuisance only.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B3A6B"/>
                <w:sz w:val="19"/>
                <w:szCs w:val="19"/>
              </w:rPr>
              <w:t xml:space="preserve">Severity 2 — Minor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33333"/>
                <w:sz w:val="19"/>
                <w:szCs w:val="19"/>
              </w:rPr>
              <w:t xml:space="preserve">Temporary reversible discomfort. No medical intervention required.</w:t>
            </w:r>
          </w:p>
        </w:tc>
      </w:tr>
      <w:tr>
        <w:tc>
          <w:tcPr>
            <w:tcW w:type="dxa" w:w="220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b/>
                <w:bCs/>
                <w:color w:val="1B3A6B"/>
                <w:sz w:val="19"/>
                <w:szCs w:val="19"/>
              </w:rPr>
              <w:t xml:space="preserve">Severity 3 — Moderate</w:t>
            </w:r>
          </w:p>
        </w:tc>
        <w:tc>
          <w:tcPr>
            <w:tcW w:type="dxa" w:w="716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color w:val="333333"/>
                <w:sz w:val="19"/>
                <w:szCs w:val="19"/>
              </w:rPr>
              <w:t xml:space="preserve">Requires medical intervention. Full recovery expected.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B3A6B"/>
                <w:sz w:val="19"/>
                <w:szCs w:val="19"/>
              </w:rPr>
              <w:t xml:space="preserve">Severity 4 — Critical</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33333"/>
                <w:sz w:val="19"/>
                <w:szCs w:val="19"/>
              </w:rPr>
              <w:t xml:space="preserve">Permanent impairment or life-threatening injury. ICU-level intervention.</w:t>
            </w:r>
          </w:p>
        </w:tc>
      </w:tr>
      <w:tr>
        <w:tc>
          <w:tcPr>
            <w:tcW w:type="dxa" w:w="220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b/>
                <w:bCs/>
                <w:color w:val="1B3A6B"/>
                <w:sz w:val="19"/>
                <w:szCs w:val="19"/>
              </w:rPr>
              <w:t xml:space="preserve">Severity 5 — Catastrophic</w:t>
            </w:r>
          </w:p>
        </w:tc>
        <w:tc>
          <w:tcPr>
            <w:tcW w:type="dxa" w:w="716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color w:val="333333"/>
                <w:sz w:val="19"/>
                <w:szCs w:val="19"/>
              </w:rPr>
              <w:t xml:space="preserve">Patient death or permanent severe disability.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B3A6B"/>
                <w:sz w:val="19"/>
                <w:szCs w:val="19"/>
              </w:rPr>
              <w:t xml:space="preserve">Probability 1 — Negligible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33333"/>
                <w:sz w:val="19"/>
                <w:szCs w:val="19"/>
              </w:rPr>
              <w:t xml:space="preserve">&lt; 1 per million device lifetimes. Essentially impossible.</w:t>
            </w:r>
          </w:p>
        </w:tc>
      </w:tr>
      <w:tr>
        <w:tc>
          <w:tcPr>
            <w:tcW w:type="dxa" w:w="220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b/>
                <w:bCs/>
                <w:color w:val="1B3A6B"/>
                <w:sz w:val="19"/>
                <w:szCs w:val="19"/>
              </w:rPr>
              <w:t xml:space="preserve">Probability 2 — Remote</w:t>
            </w:r>
          </w:p>
        </w:tc>
        <w:tc>
          <w:tcPr>
            <w:tcW w:type="dxa" w:w="716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color w:val="333333"/>
                <w:sz w:val="19"/>
                <w:szCs w:val="19"/>
              </w:rPr>
              <w:t xml:space="preserve">1 in 100,000 to 1 in 1,000,000. Rare but conceivable.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B3A6B"/>
                <w:sz w:val="19"/>
                <w:szCs w:val="19"/>
              </w:rPr>
              <w:t xml:space="preserve">Probability 3 — Occasional</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33333"/>
                <w:sz w:val="19"/>
                <w:szCs w:val="19"/>
              </w:rPr>
              <w:t xml:space="preserve">1 in 10,000 to 1 in 100,000. Has occurred in similar devices.</w:t>
            </w:r>
          </w:p>
        </w:tc>
      </w:tr>
      <w:tr>
        <w:tc>
          <w:tcPr>
            <w:tcW w:type="dxa" w:w="220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b/>
                <w:bCs/>
                <w:color w:val="1B3A6B"/>
                <w:sz w:val="19"/>
                <w:szCs w:val="19"/>
              </w:rPr>
              <w:t xml:space="preserve">Probability 4 — Probable</w:t>
            </w:r>
          </w:p>
        </w:tc>
        <w:tc>
          <w:tcPr>
            <w:tcW w:type="dxa" w:w="716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color w:val="333333"/>
                <w:sz w:val="19"/>
                <w:szCs w:val="19"/>
              </w:rPr>
              <w:t xml:space="preserve">1 in 100 to 1 in 10,000. Likely at scale.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B3A6B"/>
                <w:sz w:val="19"/>
                <w:szCs w:val="19"/>
              </w:rPr>
              <w:t xml:space="preserve">Probability 5 — Frequent</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33333"/>
                <w:sz w:val="19"/>
                <w:szCs w:val="19"/>
              </w:rPr>
              <w:t xml:space="preserve">1 in 100 or more. Will occur in the device's lifetime.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5FA3" w:sz="1"/>
              <w:left w:val="single" w:color="2E5FA3" w:sz="1"/>
              <w:bottom w:val="single" w:color="2E5FA3" w:sz="1"/>
              <w:right w:val="single" w:color="2E5FA3"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Item</w:t>
            </w:r>
          </w:p>
        </w:tc>
        <w:tc>
          <w:tcPr>
            <w:tcW w:type="dxa" w:w="7360"/>
            <w:tcBorders>
              <w:top w:val="single" w:color="2E5FA3" w:sz="1"/>
              <w:left w:val="single" w:color="2E5FA3" w:sz="1"/>
              <w:bottom w:val="single" w:color="2E5FA3" w:sz="1"/>
              <w:right w:val="single" w:color="2E5FA3"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b/>
                <w:bCs/>
                <w:color w:val="1B3A6B"/>
                <w:sz w:val="19"/>
                <w:szCs w:val="19"/>
              </w:rPr>
              <w:t xml:space="preserve">Score 1–4</w:t>
            </w:r>
          </w:p>
        </w:tc>
        <w:tc>
          <w:tcPr>
            <w:tcW w:type="dxa" w:w="736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color w:val="333333"/>
                <w:sz w:val="19"/>
                <w:szCs w:val="19"/>
              </w:rPr>
              <w:t xml:space="preserve">ACCEPTABLE — No further risk control required. Document rationale.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B3A6B"/>
                <w:sz w:val="19"/>
                <w:szCs w:val="19"/>
              </w:rPr>
              <w:t xml:space="preserve">Score 5–9</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33333"/>
                <w:sz w:val="19"/>
                <w:szCs w:val="19"/>
              </w:rPr>
              <w:t xml:space="preserve">ALARP — As Low As Reasonably Practicable. Risk controls required unless benefit-risk is clearly favorable.</w:t>
            </w:r>
          </w:p>
        </w:tc>
      </w:tr>
      <w:tr>
        <w:tc>
          <w:tcPr>
            <w:tcW w:type="dxa" w:w="200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b/>
                <w:bCs/>
                <w:color w:val="1B3A6B"/>
                <w:sz w:val="19"/>
                <w:szCs w:val="19"/>
              </w:rPr>
              <w:t xml:space="preserve">Score 10–25</w:t>
            </w:r>
          </w:p>
        </w:tc>
        <w:tc>
          <w:tcPr>
            <w:tcW w:type="dxa" w:w="736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color w:val="333333"/>
                <w:sz w:val="19"/>
                <w:szCs w:val="19"/>
              </w:rPr>
              <w:t xml:space="preserve">UNACCEPTABLE — Must implement firmware or hardware risk controls before device release.</w:t>
            </w:r>
          </w:p>
        </w:tc>
      </w:tr>
    </w:tbl>
    <w:p>
      <w:pPr>
        <w:spacing w:after="0" w:before="140"/>
      </w:pPr>
      <w:r>
        <w:t xml:space="preserve"/>
      </w:r>
    </w:p>
    <w:p>
      <w:pPr>
        <w:pStyle w:val="Heading2"/>
        <w:spacing w:after="100" w:before="220"/>
      </w:pPr>
      <w:r>
        <w:rPr>
          <w:rFonts w:ascii="Arial" w:cs="Arial" w:eastAsia="Arial" w:hAnsi="Arial"/>
          <w:b/>
          <w:bCs/>
          <w:color w:val="2E5FA3"/>
          <w:sz w:val="26"/>
          <w:szCs w:val="26"/>
        </w:rPr>
        <w:t xml:space="preserve">3.3 Firmware Risk Controls — Code Patterns</w:t>
      </w:r>
    </w:p>
    <w:p>
      <w:pPr>
        <w:pStyle w:val="Heading3"/>
        <w:spacing w:after="80" w:before="180"/>
      </w:pPr>
      <w:r>
        <w:rPr>
          <w:rFonts w:ascii="Arial" w:cs="Arial" w:eastAsia="Arial" w:hAnsi="Arial"/>
          <w:b/>
          <w:bCs/>
          <w:color w:val="333333"/>
          <w:sz w:val="23"/>
          <w:szCs w:val="23"/>
        </w:rPr>
        <w:t xml:space="preserve">Risk Control Pattern 1: Watchdog Timer</w:t>
      </w:r>
    </w:p>
    <w:p>
      <w:pPr>
        <w:spacing w:after="110"/>
      </w:pPr>
      <w:r>
        <w:rPr>
          <w:rFonts w:ascii="Arial" w:cs="Arial" w:eastAsia="Arial" w:hAnsi="Arial"/>
          <w:color w:val="333333"/>
          <w:sz w:val="22"/>
          <w:szCs w:val="22"/>
        </w:rPr>
        <w:t xml:space="preserve">Hazard: Software task hang or infinite loop causes actuator to remain in active state indefinitely.</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C</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Independent Watchdog (IWDG) on STM32 ────────────────────────────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Prescaler=256, Reload=3124  =&gt;  Timeout = (3124+1)/32000*256 ≈ 25s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void watchdog_init(void)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IWDG-&gt;KR  = 0x5555U;  /* Unlock write access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IWDG-&gt;PR  = 0x06U;    /* Prescaler /256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IWDG-&gt;RLR = 3124U;    /* Reload register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IWDG-&gt;KR  = 0xCCCCU;  /* Start watchdog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Called from control task every control period (100ms) — well within 25s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void watchdog_feed(void) { IWDG-&gt;KR = 0xAAAAU;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Risk Management Cross-Reference ─────────────────────────────────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Hazard H-001: Software hang — actuator stuck active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Risk Before:  Severity 5 x Probability 2 = Score 10 (UNACCEPTABLE)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Risk Control: RC-001 — IWDG resets device; hardware defaults to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safe state (PWM output = 0 on reset by GPIO init)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Risk After:   Severity 5 x Probability 1 = Score 5  (ALARP→accept)  */</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pPr>
        <w:spacing w:after="0" w:before="120"/>
      </w:pPr>
      <w:r>
        <w:t xml:space="preserve"/>
      </w:r>
    </w:p>
    <w:p>
      <w:pPr>
        <w:pStyle w:val="Heading3"/>
        <w:spacing w:after="80" w:before="180"/>
      </w:pPr>
      <w:r>
        <w:rPr>
          <w:rFonts w:ascii="Arial" w:cs="Arial" w:eastAsia="Arial" w:hAnsi="Arial"/>
          <w:b/>
          <w:bCs/>
          <w:color w:val="333333"/>
          <w:sz w:val="23"/>
          <w:szCs w:val="23"/>
        </w:rPr>
        <w:t xml:space="preserve">Risk Control Pattern 2: Sensor Range Validation</w:t>
      </w:r>
    </w:p>
    <w:p>
      <w:pPr>
        <w:spacing w:after="110"/>
      </w:pPr>
      <w:r>
        <w:rPr>
          <w:rFonts w:ascii="Arial" w:cs="Arial" w:eastAsia="Arial" w:hAnsi="Arial"/>
          <w:color w:val="333333"/>
          <w:sz w:val="22"/>
          <w:szCs w:val="22"/>
        </w:rPr>
        <w:t xml:space="preserve">Hazard: Corrupted or out-of-range sensor reading drives the control algorithm to deliver an incorrect dose.</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C</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Sensor validation with fault logging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#define SENSOR_MIN_VALID  100U   /* engineering units × 10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#define SENSOR_MAX_VALID  5000U</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#define SENSOR_STUCK_CNT  5U     /* 5 identical consecutive readings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typedef enum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SENSOR_OK = 0U, SENSOR_ERR_LOW, SENSOR_ERR_HIGH, SENSOR_ERR_STUCK</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sensor_err_t;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sensor_err_t sensor_validate(uint16_t raw, uint16_t *out)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static uint16_t s_prev  = 0U;</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static uint8_t  s_stuck = 0U;</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if (raw &lt; SENSOR_MIN_VALID)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fault_log(FAULT_SENSOR_LOW, raw); return SENSOR_ERR_LOW;</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if (raw &gt; SENSOR_MAX_VALID)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fault_log(FAULT_SENSOR_HIGH, raw); return SENSOR_ERR_HIGH;</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s_stuck = (raw == s_prev) ? (s_stuck + 1U) : 0U;</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s_prev  = raw;</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if (s_stuck &gt;= SENSOR_STUCK_CNT)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fault_log(FAULT_SENSOR_STUCK, raw); return SENSOR_ERR_STUCK;</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*out = raw;</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return SENSOR_OK;</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In control task — safe state on ANY sensor error: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if (sensor_validate(adc_raw, &amp;validated) != SENSOR_OK)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enter_safe_state();  /* PWM = 0, alarm = 1, state = FAULT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return;</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pPr>
        <w:spacing w:after="0" w:before="120"/>
      </w:pPr>
      <w:r>
        <w:t xml:space="preserve"/>
      </w:r>
    </w:p>
    <w:p>
      <w:pPr>
        <w:pStyle w:val="Heading3"/>
        <w:spacing w:after="80" w:before="180"/>
      </w:pPr>
      <w:r>
        <w:rPr>
          <w:rFonts w:ascii="Arial" w:cs="Arial" w:eastAsia="Arial" w:hAnsi="Arial"/>
          <w:b/>
          <w:bCs/>
          <w:color w:val="333333"/>
          <w:sz w:val="23"/>
          <w:szCs w:val="23"/>
        </w:rPr>
        <w:t xml:space="preserve">Risk Control Pattern 3: Dose Accumulation Limiter</w:t>
      </w:r>
    </w:p>
    <w:p>
      <w:pPr>
        <w:spacing w:after="110"/>
      </w:pPr>
      <w:r>
        <w:rPr>
          <w:rFonts w:ascii="Arial" w:cs="Arial" w:eastAsia="Arial" w:hAnsi="Arial"/>
          <w:color w:val="333333"/>
          <w:sz w:val="22"/>
          <w:szCs w:val="22"/>
        </w:rPr>
        <w:t xml:space="preserve">Hazard: Bug in control algorithm or communication replay attack causes device to deliver cumulative dose above the clinically safe maximum.</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C</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Cumulative dose limiter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#define MAX_DOSE_PER_CYCLE_MG   50U    /* clinical maximum per cycle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#define MAX_DOSE_SESSION_MG    500U    /* clinical maximum per session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static uint32_t s_session_dose_mg = 0U;</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bool dose_limit_check(uint16_t proposed_mg)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if (proposed_mg &gt; MAX_DOSE_PER_CYCLE_MG)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fault_log(FAULT_DOSE_CYCLE_EXCEEDED, proposed_mg);</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return false;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uint32_t total = s_session_dose_mg + (uint32_t)proposed_mg;</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if (total &gt; MAX_DOSE_SESSION_MG)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fault_log(FAULT_DOSE_SESSION_EXCEEDED, total);</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return false;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s_session_dose_mg = total;</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return true;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Link: Hazard H-004, RC-007. Before: S4×P3=12. After: S4×P1=4.     */</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pPr>
        <w:spacing w:after="0" w:before="140"/>
      </w:pPr>
      <w:r>
        <w:t xml:space="preserve"/>
      </w:r>
    </w:p>
    <w:p>
      <w:pPr>
        <w:pStyle w:val="Heading2"/>
        <w:spacing w:after="100" w:before="220"/>
      </w:pPr>
      <w:r>
        <w:rPr>
          <w:rFonts w:ascii="Arial" w:cs="Arial" w:eastAsia="Arial" w:hAnsi="Arial"/>
          <w:b/>
          <w:bCs/>
          <w:color w:val="2E5FA3"/>
          <w:sz w:val="26"/>
          <w:szCs w:val="26"/>
        </w:rPr>
        <w:t xml:space="preserve">3.4 Risk Management File — Template</w:t>
      </w:r>
    </w:p>
    <w:p>
      <w:pPr>
        <w:spacing w:after="110"/>
      </w:pPr>
      <w:r>
        <w:rPr>
          <w:rFonts w:ascii="Arial" w:cs="Arial" w:eastAsia="Arial" w:hAnsi="Arial"/>
          <w:color w:val="333333"/>
          <w:sz w:val="22"/>
          <w:szCs w:val="22"/>
        </w:rPr>
        <w:t xml:space="preserve">The Risk Management File (RMF) is the master record. Structure it as follows, maintained in your configuration management system with change control: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TEXT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FIRMWARE RISK REGISTER  v1.3  |  2026-04-14</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Device: ClO2 Controller  |  SW Class: IEC 62304 Class C</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ID    Hazard                    S  P  Score  Risk Control            Res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H-001 SW hang: actuator stuck   5  2   10   RC-001: IWDG 25s reset   5</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H-002 Sensor OOR drives dose    4  3   12   RC-002: Range validation  4</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H-003 Integer overflow in PID   5  2   10   RC-003: Sat arithmetic    5</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H-004 Cumulative dose exceeded  4  3   12   RC-004: Dose limiter      4</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H-005 OTA installs corrupt FW   5  2   10   RC-005: ECDSA-P256 sign   5</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H-006 BLE cmd replay attack     4  2    8   RC-006: Nonce + HMAC-SHA  4</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H-007 Stack overflow corrupts   5  2   10   RC-007: IWDG+HWM monitor  5</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H-008 Sensor stuck (no change)  4  3   12   RC-008: Stuck detect 5x   4</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All residual scores ≤ 5  →  ACCEPTABLE per Risk Management Plan v1.0</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Residual risk benefit statement: see RMF Section 6.3</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pPr>
        <w:spacing w:after="0" w:before="140"/>
      </w:pPr>
      <w:r>
        <w:t xml:space="preserve"/>
      </w:r>
    </w:p>
    <w:p>
      <w:pPr>
        <w:pStyle w:val="Heading2"/>
        <w:spacing w:after="100" w:before="220"/>
      </w:pPr>
      <w:r>
        <w:rPr>
          <w:rFonts w:ascii="Arial" w:cs="Arial" w:eastAsia="Arial" w:hAnsi="Arial"/>
          <w:b/>
          <w:bCs/>
          <w:color w:val="2E5FA3"/>
          <w:sz w:val="26"/>
          <w:szCs w:val="26"/>
        </w:rPr>
        <w:t xml:space="preserve">3.5 Week 3 Exercises</w:t>
      </w:r>
    </w:p>
    <w:p>
      <w:pPr>
        <w:pStyle w:val="ListParagraph"/>
        <w:numPr>
          <w:ilvl w:val="0"/>
          <w:numId w:val="2"/>
        </w:numPr>
        <w:spacing w:after="80"/>
      </w:pPr>
      <w:r>
        <w:rPr>
          <w:rFonts w:ascii="Arial" w:cs="Arial" w:eastAsia="Arial" w:hAnsi="Arial"/>
          <w:color w:val="333333"/>
          <w:sz w:val="22"/>
          <w:szCs w:val="22"/>
        </w:rPr>
        <w:t xml:space="preserve">Identify 8 firmware-level hazards for one of your projects. Assign Severity and Probability using the scales in Section 3.2. Compute initial risk scores.</w:t>
      </w:r>
    </w:p>
    <w:p>
      <w:pPr>
        <w:pStyle w:val="ListParagraph"/>
        <w:numPr>
          <w:ilvl w:val="0"/>
          <w:numId w:val="2"/>
        </w:numPr>
        <w:spacing w:after="80"/>
      </w:pPr>
      <w:r>
        <w:rPr>
          <w:rFonts w:ascii="Arial" w:cs="Arial" w:eastAsia="Arial" w:hAnsi="Arial"/>
          <w:color w:val="333333"/>
          <w:sz w:val="22"/>
          <w:szCs w:val="22"/>
        </w:rPr>
        <w:t xml:space="preserve">For every hazard scoring above 4, implement a firmware risk control. Add an ISO 14971 cross-reference comment block to the code (as shown in Section 3.3).</w:t>
      </w:r>
    </w:p>
    <w:p>
      <w:pPr>
        <w:pStyle w:val="ListParagraph"/>
        <w:numPr>
          <w:ilvl w:val="0"/>
          <w:numId w:val="2"/>
        </w:numPr>
        <w:spacing w:after="80"/>
      </w:pPr>
      <w:r>
        <w:rPr>
          <w:rFonts w:ascii="Arial" w:cs="Arial" w:eastAsia="Arial" w:hAnsi="Arial"/>
          <w:color w:val="333333"/>
          <w:sz w:val="22"/>
          <w:szCs w:val="22"/>
        </w:rPr>
        <w:t xml:space="preserve">Estimate residual probability after each control is in place. Compute residual risk scores. Confirm all are acceptable under your defined threshold.</w:t>
      </w:r>
    </w:p>
    <w:p>
      <w:pPr>
        <w:pStyle w:val="ListParagraph"/>
        <w:numPr>
          <w:ilvl w:val="0"/>
          <w:numId w:val="2"/>
        </w:numPr>
        <w:spacing w:after="80"/>
      </w:pPr>
      <w:r>
        <w:rPr>
          <w:rFonts w:ascii="Arial" w:cs="Arial" w:eastAsia="Arial" w:hAnsi="Arial"/>
          <w:color w:val="333333"/>
          <w:sz w:val="22"/>
          <w:szCs w:val="22"/>
        </w:rPr>
        <w:t xml:space="preserve">Assemble a Risk Register table using the template in Section 3.4. Verify bidirectional traceability: each hazard links to a risk control, each risk control links to a test protocol.</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5FA3" w:sz="1"/>
              <w:left w:val="single" w:color="2E5FA3" w:sz="1"/>
              <w:bottom w:val="single" w:color="2E5FA3" w:sz="1"/>
              <w:right w:val="single" w:color="2E5FA3" w:sz="1"/>
            </w:tcBorders>
            <w:shd w:fill="1B3A6B"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GOAL</w:t>
            </w:r>
          </w:p>
        </w:tc>
        <w:tc>
          <w:tcPr>
            <w:tcW w:type="dxa" w:w="8160"/>
            <w:tcBorders>
              <w:top w:val="single" w:color="2E5FA3" w:sz="1"/>
              <w:left w:val="single" w:color="2E5FA3" w:sz="1"/>
              <w:bottom w:val="single" w:color="2E5FA3" w:sz="1"/>
              <w:right w:val="single" w:color="2E5FA3" w:sz="1"/>
            </w:tcBorders>
            <w:shd w:fill="D0E4F7" w:val="clear"/>
            <w:tcMar>
              <w:top w:type="dxa" w:w="90"/>
              <w:left w:type="dxa" w:w="140"/>
              <w:bottom w:type="dxa" w:w="90"/>
              <w:right w:type="dxa" w:w="100"/>
            </w:tcMar>
          </w:tcPr>
          <w:p>
            <w:r>
              <w:rPr>
                <w:rFonts w:ascii="Arial" w:cs="Arial" w:eastAsia="Arial" w:hAnsi="Arial"/>
                <w:color w:val="333333"/>
                <w:sz w:val="20"/>
                <w:szCs w:val="20"/>
              </w:rPr>
              <w:t xml:space="preserve">WEEK 3 DELIVERABLE: Firmware Risk Register with 8 hazards, initial/residual scores, code-level risk controls with file/line references, and test protocol IDs.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1B3A6B" w:val="clear"/>
            <w:tcMar>
              <w:top w:type="dxa" w:w="130"/>
              <w:left w:type="dxa" w:w="100"/>
              <w:bottom w:type="dxa" w:w="130"/>
              <w:right w:type="dxa" w:w="100"/>
            </w:tcMar>
            <w:vAlign w:val="center"/>
          </w:tcPr>
          <w:p>
            <w:pPr>
              <w:jc w:val="center"/>
            </w:pPr>
            <w:r>
              <w:rPr>
                <w:rFonts w:ascii="Arial" w:cs="Arial" w:eastAsia="Arial" w:hAnsi="Arial"/>
                <w:b/>
                <w:bCs/>
                <w:color w:val="FFFFFF"/>
                <w:sz w:val="34"/>
                <w:szCs w:val="34"/>
              </w:rPr>
              <w:t xml:space="preserve">04</w:t>
            </w:r>
          </w:p>
        </w:tc>
        <w:tc>
          <w:tcPr>
            <w:tcW w:type="dxa" w:w="8560"/>
            <w:tcBorders>
              <w:top w:val="none"/>
              <w:left w:val="none"/>
              <w:bottom w:val="none"/>
              <w:right w:val="none"/>
            </w:tcBorders>
            <w:shd w:fill="D0E4F7" w:val="clear"/>
            <w:tcMar>
              <w:top w:type="dxa" w:w="90"/>
              <w:left w:type="dxa" w:w="180"/>
              <w:bottom w:type="dxa" w:w="90"/>
              <w:right w:type="dxa" w:w="100"/>
            </w:tcMar>
          </w:tcPr>
          <w:p>
            <w:pPr>
              <w:spacing w:after="40"/>
            </w:pPr>
            <w:r>
              <w:rPr>
                <w:rFonts w:ascii="Arial" w:cs="Arial" w:eastAsia="Arial" w:hAnsi="Arial"/>
                <w:b/>
                <w:bCs/>
                <w:color w:val="1B3A6B"/>
                <w:sz w:val="26"/>
                <w:szCs w:val="26"/>
              </w:rPr>
              <w:t xml:space="preserve">WCET &amp; Real-Time Tracing — Proving Determinism</w:t>
            </w:r>
          </w:p>
          <w:p>
            <w:pPr>
              <w:spacing w:after="0"/>
            </w:pPr>
            <w:r>
              <w:rPr>
                <w:rFonts w:ascii="Arial" w:cs="Arial" w:eastAsia="Arial" w:hAnsi="Arial"/>
                <w:color w:val="333333"/>
                <w:sz w:val="18"/>
                <w:szCs w:val="18"/>
              </w:rPr>
              <w:t xml:space="preserve">Days 22–30  ·  ~8 hours</w:t>
            </w:r>
          </w:p>
        </w:tc>
      </w:tr>
    </w:tbl>
    <w:p>
      <w:pPr>
        <w:spacing w:after="0" w:before="140"/>
      </w:pPr>
      <w:r>
        <w:t xml:space="preserve"/>
      </w:r>
    </w:p>
    <w:p>
      <w:pPr>
        <w:pStyle w:val="Heading1"/>
        <w:spacing w:after="140" w:before="300"/>
      </w:pPr>
      <w:r>
        <w:rPr>
          <w:rFonts w:ascii="Arial" w:cs="Arial" w:eastAsia="Arial" w:hAnsi="Arial"/>
          <w:b/>
          <w:bCs/>
          <w:color w:val="1B3A6B"/>
          <w:sz w:val="32"/>
          <w:szCs w:val="32"/>
        </w:rPr>
        <w:t xml:space="preserve">Skill 4: WCET Analysis and Real-Time Tracing</w:t>
      </w:r>
    </w:p>
    <w:p>
      <w:pPr>
        <w:pStyle w:val="Heading2"/>
        <w:spacing w:after="100" w:before="220"/>
      </w:pPr>
      <w:r>
        <w:rPr>
          <w:rFonts w:ascii="Arial" w:cs="Arial" w:eastAsia="Arial" w:hAnsi="Arial"/>
          <w:b/>
          <w:bCs/>
          <w:color w:val="2E5FA3"/>
          <w:sz w:val="26"/>
          <w:szCs w:val="26"/>
        </w:rPr>
        <w:t xml:space="preserve">4.1 What WCET Analysis Proves</w:t>
      </w:r>
    </w:p>
    <w:p>
      <w:pPr>
        <w:spacing w:after="110"/>
      </w:pPr>
      <w:r>
        <w:rPr>
          <w:rFonts w:ascii="Arial" w:cs="Arial" w:eastAsia="Arial" w:hAnsi="Arial"/>
          <w:color w:val="333333"/>
          <w:sz w:val="22"/>
          <w:szCs w:val="22"/>
        </w:rPr>
        <w:t xml:space="preserve">Worst-Case Execution Time (WCET) is the maximum time a function or task can take under any input and any hardware state. In a closed-loop medical device, a missed control deadline does not just degrade performance — it allows the plant (actuator + physiology) to evolve beyond the modeled boundary conditions of your PID tuning. That is a Class C safety event.</w:t>
      </w:r>
    </w:p>
    <w:p>
      <w:pPr>
        <w:spacing w:after="0" w:before="70"/>
      </w:pPr>
      <w:r>
        <w:t xml:space="preserve"/>
      </w:r>
    </w:p>
    <w:p>
      <w:pPr>
        <w:spacing w:after="110"/>
      </w:pPr>
      <w:r>
        <w:rPr>
          <w:rFonts w:ascii="Arial" w:cs="Arial" w:eastAsia="Arial" w:hAnsi="Arial"/>
          <w:color w:val="333333"/>
          <w:sz w:val="22"/>
          <w:szCs w:val="22"/>
        </w:rPr>
        <w:t xml:space="preserve">WCET analysis produces three artifacts that are essential for IEC 62304 Class C verification: (1) a WCET budget document proving every task meets its deadline, (2) a stack budget document proving no task overflows its stack, and (3) a schedulability argument proving the combined system is feasible under a rate-monotonic or earliest-deadline-first scheduling policy.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C107" w:sz="1"/>
              <w:left w:val="single" w:color="FFC107" w:sz="1"/>
              <w:bottom w:val="single" w:color="FFC107" w:sz="1"/>
              <w:right w:val="single" w:color="FFC107" w:sz="1"/>
            </w:tcBorders>
            <w:shd w:fill="B03A2E"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WARNING</w:t>
            </w:r>
          </w:p>
        </w:tc>
        <w:tc>
          <w:tcPr>
            <w:tcW w:type="dxa" w:w="8160"/>
            <w:tcBorders>
              <w:top w:val="single" w:color="FFC107" w:sz="1"/>
              <w:left w:val="single" w:color="FFC107" w:sz="1"/>
              <w:bottom w:val="single" w:color="FFC107" w:sz="1"/>
              <w:right w:val="single" w:color="FFC107" w:sz="1"/>
            </w:tcBorders>
            <w:shd w:fill="FFF3CD" w:val="clear"/>
            <w:tcMar>
              <w:top w:type="dxa" w:w="90"/>
              <w:left w:type="dxa" w:w="140"/>
              <w:bottom w:type="dxa" w:w="90"/>
              <w:right w:type="dxa" w:w="100"/>
            </w:tcMar>
          </w:tcPr>
          <w:p>
            <w:r>
              <w:rPr>
                <w:rFonts w:ascii="Arial" w:cs="Arial" w:eastAsia="Arial" w:hAnsi="Arial"/>
                <w:color w:val="333333"/>
                <w:sz w:val="20"/>
                <w:szCs w:val="20"/>
              </w:rPr>
              <w:t xml:space="preserve">A stack overflow in an RTOS task typically corrupts the stack of the next lower-priority task or the heap, causing non-deterministic behavior with no clear fault code. In a device with an actuator, this can freeze the actuator in its current state. This is a Severity 5 hazard if the actuator is delivering therapy.</w:t>
            </w:r>
          </w:p>
        </w:tc>
      </w:tr>
    </w:tbl>
    <w:p>
      <w:pPr>
        <w:spacing w:after="0" w:before="140"/>
      </w:pPr>
      <w:r>
        <w:t xml:space="preserve"/>
      </w:r>
    </w:p>
    <w:p>
      <w:pPr>
        <w:pStyle w:val="Heading2"/>
        <w:spacing w:after="100" w:before="220"/>
      </w:pPr>
      <w:r>
        <w:rPr>
          <w:rFonts w:ascii="Arial" w:cs="Arial" w:eastAsia="Arial" w:hAnsi="Arial"/>
          <w:b/>
          <w:bCs/>
          <w:color w:val="2E5FA3"/>
          <w:sz w:val="26"/>
          <w:szCs w:val="26"/>
        </w:rPr>
        <w:t xml:space="preserve">4.2 DWT Cycle Counter on Cortex-M</w:t>
      </w:r>
    </w:p>
    <w:p>
      <w:pPr>
        <w:spacing w:after="110"/>
      </w:pPr>
      <w:r>
        <w:rPr>
          <w:rFonts w:ascii="Arial" w:cs="Arial" w:eastAsia="Arial" w:hAnsi="Arial"/>
          <w:color w:val="333333"/>
          <w:sz w:val="22"/>
          <w:szCs w:val="22"/>
        </w:rPr>
        <w:t xml:space="preserve">The ARM Data Watchpoint and Trace (DWT) unit contains a 32-bit free-running cycle counter that is the most precise on-chip timing tool available on Cortex-M. No external hardware required — it is built into every STM32, nRF, and SAMD MCU.</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C</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dwt_profile.h ───────────────────────────────────────────────────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#ifndef DWT_PROFILE_H</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#define DWT_PROFILE_H</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#include &lt;stdint.h&gt;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#include "core_cm4.h"   /* or core_cm33.h / core_cm7.h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static inline void dwt_init(void)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CoreDebug-&gt;DEMCR |= CoreDebug_DEMCR_TRCENA_Msk; /* enable DWT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DWT-&gt;CYCCNT       = 0U;</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DWT-&gt;CTRL        |= DWT_CTRL_CYCCNTENA_Msk;     /* start counter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static inline uint32_t dwt_now(void)     { return DWT-&gt;CYCCNT;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static inline uint32_t dwt_elapsed(uint32_t t0)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return DWT-&gt;CYCCNT - t0;  /* handles 32-bit unsigned wrap correctly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static inline uint32_t dwt_to_us(uint32_t cycles)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return cycles / (SystemCoreClock / 1000000U);</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#endif /* DWT_PROFILE_H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Usage: measure WCET of dose_calculator_update() ─────────────────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#define WCET_SAMPLE_COUNT  10000U</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uint32_t wcet_cycles = 0U;</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for (uint32_t i = 0U; i &lt; WCET_SAMPLE_COUNT; i++)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inject_worst_case_inputs(&amp;test_input[i]);   /* stress inputs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uint32_t t0 = dwt_now();</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dose_calculator_update(&amp;input, &amp;output);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uint32_t el = dwt_elapsed(t0);</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if (el &gt; wcet_cycles) { wcet_cycles = el; }  /* track maximum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uint32_t wcet_us = dwt_to_us(wcet_cycles);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printf("dose_calculator_update WCET: %lu cycles = %lu us\r\n",</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wcet_cycles, wcet_us);</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pPr>
        <w:spacing w:after="0" w:before="140"/>
      </w:pPr>
      <w:r>
        <w:t xml:space="preserve"/>
      </w:r>
    </w:p>
    <w:p>
      <w:pPr>
        <w:pStyle w:val="Heading2"/>
        <w:spacing w:after="100" w:before="220"/>
      </w:pPr>
      <w:r>
        <w:rPr>
          <w:rFonts w:ascii="Arial" w:cs="Arial" w:eastAsia="Arial" w:hAnsi="Arial"/>
          <w:b/>
          <w:bCs/>
          <w:color w:val="2E5FA3"/>
          <w:sz w:val="26"/>
          <w:szCs w:val="26"/>
        </w:rPr>
        <w:t xml:space="preserve">4.3 FreeRTOS Stack Watermarking</w:t>
      </w:r>
    </w:p>
    <w:p>
      <w:pPr>
        <w:spacing w:after="110"/>
      </w:pPr>
      <w:r>
        <w:rPr>
          <w:rFonts w:ascii="Arial" w:cs="Arial" w:eastAsia="Arial" w:hAnsi="Arial"/>
          <w:color w:val="333333"/>
          <w:sz w:val="22"/>
          <w:szCs w:val="22"/>
        </w:rPr>
        <w:t xml:space="preserve">Stack watermarking fills all unused stack with the pattern 0xA5A5A5A5 at task creation. The high-water mark (HWM) is the smallest remaining stack in words, measured by scanning for the last untouched pattern byte. This tells you the maximum stack depth actually observed.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C</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FreeRTOSConfig.h settings ────────────────────────────────────────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#define configCHECK_FOR_STACK_OVERFLOW   2    /* Method 2 = pattern check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#define configUSE_TRACE_FACILITY         1    /* required for HWM API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Stack overflow hook — called if stack corrupted ──────────────────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void vApplicationStackOverflowHook(TaskHandle_t xTask, char *pcTaskName)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(void)xTask;</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Log, enter safe state, halt. Do NOT return.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fault_log(FAULT_STACK_OVERFLOW, (uint32_t)pcTaskName);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enter_safe_state();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taskDISABLE_INTERRUPTS();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for (;;)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Read HWM from diagnostic task (call after stress test) ───────────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void print_stack_budget(void)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UBaseType_t hwm_ctrl = uxTaskGetStackHighWaterMark(h_control);</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UBaseType_t hwm_sens = uxTaskGetStackHighWaterMark(h_sensor);</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UBaseType_t hwm_comm = uxTaskGetStackHighWaterMark(h_comm);</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printf("═══ Stack Budget Report ══════════════════\r\n");</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printf("Task           Alloc   Used    HWM    %%used\r\n");</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printf("control_task   %4u    %4u    %4u    %3.0f%%\r\n",</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STACK_CTRL,  STACK_CTRL  - hwm_ctrl,  hwm_ctrl,</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100.0f * (float)(STACK_CTRL  - hwm_ctrl)  / STACK_CTRL);</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printf("sensor_task    %4u    %4u    %4u    %3.0f%%\r\n",</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STACK_SENS,  STACK_SENS  - hwm_sens,  hwm_sens,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100.0f * (float)(STACK_SENS  - hwm_sens)  / STACK_SENS);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printf("comm_task      %4u    %4u    %4u    %3.0f%%\r\n",</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STACK_COMM,  STACK_COMM  - hwm_comm,  hwm_comm,</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100.0f * (float)(STACK_COMM  - hwm_comm)  / STACK_COMM);</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TARGET: all tasks should show &lt; 70% stack used (&gt;30% margin) */</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pPr>
        <w:spacing w:after="0" w:before="140"/>
      </w:pPr>
      <w:r>
        <w:t xml:space="preserve"/>
      </w:r>
    </w:p>
    <w:p>
      <w:pPr>
        <w:pStyle w:val="Heading2"/>
        <w:spacing w:after="100" w:before="220"/>
      </w:pPr>
      <w:r>
        <w:rPr>
          <w:rFonts w:ascii="Arial" w:cs="Arial" w:eastAsia="Arial" w:hAnsi="Arial"/>
          <w:b/>
          <w:bCs/>
          <w:color w:val="2E5FA3"/>
          <w:sz w:val="26"/>
          <w:szCs w:val="26"/>
        </w:rPr>
        <w:t xml:space="preserve">4.4 Segger SystemView Setup and Interpretation</w:t>
      </w:r>
    </w:p>
    <w:p>
      <w:pPr>
        <w:spacing w:after="110"/>
      </w:pPr>
      <w:r>
        <w:rPr>
          <w:rFonts w:ascii="Arial" w:cs="Arial" w:eastAsia="Arial" w:hAnsi="Arial"/>
          <w:color w:val="333333"/>
          <w:sz w:val="22"/>
          <w:szCs w:val="22"/>
        </w:rPr>
        <w:t xml:space="preserve">Segger SystemView is a free RTOS-aware trace tool that captures every task switch, ISR entry/exit, queue send/receive, and user-defined event into a circular RAM buffer. You then view it on a PC as a timeline, measuring actual execution durations and detecting timing issues invisible to periodic logging.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2E5FA3" w:val="clear"/>
            <w:tcMar>
              <w:top w:type="dxa" w:w="110"/>
              <w:left w:type="dxa" w:w="100"/>
              <w:bottom w:type="dxa" w:w="110"/>
              <w:right w:type="dxa" w:w="100"/>
            </w:tcMar>
            <w:vAlign w:val="top"/>
          </w:tcPr>
          <w:p>
            <w:pPr>
              <w:jc w:val="center"/>
            </w:pPr>
            <w:r>
              <w:rPr>
                <w:rFonts w:ascii="Arial" w:cs="Arial" w:eastAsia="Arial" w:hAnsi="Arial"/>
                <w:b/>
                <w:bCs/>
                <w:color w:val="FFFFFF"/>
                <w:sz w:val="26"/>
                <w:szCs w:val="26"/>
              </w:rPr>
              <w:t xml:space="preserve">1</w:t>
            </w:r>
          </w:p>
        </w:tc>
        <w:tc>
          <w:tcPr>
            <w:tcW w:type="dxa" w:w="8800"/>
            <w:tcBorders>
              <w:top w:val="none"/>
              <w:left w:val="none"/>
              <w:bottom w:val="none"/>
              <w:right w:val="none"/>
            </w:tcBorders>
            <w:shd w:fill="F4F4F4" w:val="clear"/>
            <w:tcMar>
              <w:top w:type="dxa" w:w="110"/>
              <w:left w:type="dxa" w:w="180"/>
              <w:bottom w:type="dxa" w:w="110"/>
              <w:right w:type="dxa" w:w="140"/>
            </w:tcMar>
          </w:tcPr>
          <w:p>
            <w:pPr>
              <w:spacing w:after="60"/>
            </w:pPr>
            <w:r>
              <w:rPr>
                <w:rFonts w:ascii="Arial" w:cs="Arial" w:eastAsia="Arial" w:hAnsi="Arial"/>
                <w:b/>
                <w:bCs/>
                <w:color w:val="1B3A6B"/>
                <w:sz w:val="22"/>
                <w:szCs w:val="22"/>
              </w:rPr>
              <w:t xml:space="preserve">Download SystemView</w:t>
            </w:r>
          </w:p>
          <w:p>
            <w:pPr>
              <w:spacing w:after="110"/>
            </w:pPr>
            <w:r>
              <w:rPr>
                <w:rFonts w:ascii="Arial" w:cs="Arial" w:eastAsia="Arial" w:hAnsi="Arial"/>
                <w:b w:val="false"/>
                <w:bCs w:val="false"/>
                <w:color w:val="333333"/>
                <w:sz w:val="22"/>
                <w:szCs w:val="22"/>
              </w:rPr>
              <w:t xml:space="preserve">Go to segger.com → Products → Development Tools → SystemView → Download (free). Install the PC application for your OS.</w:t>
            </w:r>
          </w:p>
        </w:tc>
      </w:tr>
    </w:tbl>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2E5FA3" w:val="clear"/>
            <w:tcMar>
              <w:top w:type="dxa" w:w="110"/>
              <w:left w:type="dxa" w:w="100"/>
              <w:bottom w:type="dxa" w:w="110"/>
              <w:right w:type="dxa" w:w="100"/>
            </w:tcMar>
            <w:vAlign w:val="top"/>
          </w:tcPr>
          <w:p>
            <w:pPr>
              <w:jc w:val="center"/>
            </w:pPr>
            <w:r>
              <w:rPr>
                <w:rFonts w:ascii="Arial" w:cs="Arial" w:eastAsia="Arial" w:hAnsi="Arial"/>
                <w:b/>
                <w:bCs/>
                <w:color w:val="FFFFFF"/>
                <w:sz w:val="26"/>
                <w:szCs w:val="26"/>
              </w:rPr>
              <w:t xml:space="preserve">2</w:t>
            </w:r>
          </w:p>
        </w:tc>
        <w:tc>
          <w:tcPr>
            <w:tcW w:type="dxa" w:w="8800"/>
            <w:tcBorders>
              <w:top w:val="none"/>
              <w:left w:val="none"/>
              <w:bottom w:val="none"/>
              <w:right w:val="none"/>
            </w:tcBorders>
            <w:shd w:fill="F4F4F4" w:val="clear"/>
            <w:tcMar>
              <w:top w:type="dxa" w:w="110"/>
              <w:left w:type="dxa" w:w="180"/>
              <w:bottom w:type="dxa" w:w="110"/>
              <w:right w:type="dxa" w:w="140"/>
            </w:tcMar>
          </w:tcPr>
          <w:p>
            <w:pPr>
              <w:spacing w:after="60"/>
            </w:pPr>
            <w:r>
              <w:rPr>
                <w:rFonts w:ascii="Arial" w:cs="Arial" w:eastAsia="Arial" w:hAnsi="Arial"/>
                <w:b/>
                <w:bCs/>
                <w:color w:val="1B3A6B"/>
                <w:sz w:val="22"/>
                <w:szCs w:val="22"/>
              </w:rPr>
              <w:t xml:space="preserve">Add recorder library to firmware</w:t>
            </w:r>
          </w:p>
          <w:p>
            <w:pPr>
              <w:spacing w:after="110"/>
            </w:pPr>
            <w:r>
              <w:rPr>
                <w:rFonts w:ascii="Arial" w:cs="Arial" w:eastAsia="Arial" w:hAnsi="Arial"/>
                <w:b w:val="false"/>
                <w:bCs w:val="false"/>
                <w:color w:val="333333"/>
                <w:sz w:val="22"/>
                <w:szCs w:val="22"/>
              </w:rPr>
              <w:t xml:space="preserve">Download SEGGER_SystemView_Src.zip from segger.com. Add these files to your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TEXT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SEGGER/SEGGER_SYSVIEW.c</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SEGGER/SEGGER_RTT.c</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SEGGER/SEGGER_RTT_printf.c</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SEGGER/SEGGER_SYSVIEW_FreeRTOS.c</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Config/SEGGER_SYSVIEW_Config_FreeRTOS.c</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tc>
      </w:tr>
    </w:tbl>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2E5FA3" w:val="clear"/>
            <w:tcMar>
              <w:top w:type="dxa" w:w="110"/>
              <w:left w:type="dxa" w:w="100"/>
              <w:bottom w:type="dxa" w:w="110"/>
              <w:right w:type="dxa" w:w="100"/>
            </w:tcMar>
            <w:vAlign w:val="top"/>
          </w:tcPr>
          <w:p>
            <w:pPr>
              <w:jc w:val="center"/>
            </w:pPr>
            <w:r>
              <w:rPr>
                <w:rFonts w:ascii="Arial" w:cs="Arial" w:eastAsia="Arial" w:hAnsi="Arial"/>
                <w:b/>
                <w:bCs/>
                <w:color w:val="FFFFFF"/>
                <w:sz w:val="26"/>
                <w:szCs w:val="26"/>
              </w:rPr>
              <w:t xml:space="preserve">3</w:t>
            </w:r>
          </w:p>
        </w:tc>
        <w:tc>
          <w:tcPr>
            <w:tcW w:type="dxa" w:w="8800"/>
            <w:tcBorders>
              <w:top w:val="none"/>
              <w:left w:val="none"/>
              <w:bottom w:val="none"/>
              <w:right w:val="none"/>
            </w:tcBorders>
            <w:shd w:fill="F4F4F4" w:val="clear"/>
            <w:tcMar>
              <w:top w:type="dxa" w:w="110"/>
              <w:left w:type="dxa" w:w="180"/>
              <w:bottom w:type="dxa" w:w="110"/>
              <w:right w:type="dxa" w:w="140"/>
            </w:tcMar>
          </w:tcPr>
          <w:p>
            <w:pPr>
              <w:spacing w:after="60"/>
            </w:pPr>
            <w:r>
              <w:rPr>
                <w:rFonts w:ascii="Arial" w:cs="Arial" w:eastAsia="Arial" w:hAnsi="Arial"/>
                <w:b/>
                <w:bCs/>
                <w:color w:val="1B3A6B"/>
                <w:sz w:val="22"/>
                <w:szCs w:val="22"/>
              </w:rPr>
              <w:t xml:space="preserve">Initialize in main() before scheduler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C</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#include "SEGGER_SYSVIEW.h"</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int main(void)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board_init();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SEGGER_SYSVIEW_Conf();   /* configure RTT buffer + timestamps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SEGGER_SYSVIEW_Start();  /* begin recording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create_all_tasks();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vTaskStartScheduler();   /* never returns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tc>
      </w:tr>
    </w:tbl>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2E5FA3" w:val="clear"/>
            <w:tcMar>
              <w:top w:type="dxa" w:w="110"/>
              <w:left w:type="dxa" w:w="100"/>
              <w:bottom w:type="dxa" w:w="110"/>
              <w:right w:type="dxa" w:w="100"/>
            </w:tcMar>
            <w:vAlign w:val="top"/>
          </w:tcPr>
          <w:p>
            <w:pPr>
              <w:jc w:val="center"/>
            </w:pPr>
            <w:r>
              <w:rPr>
                <w:rFonts w:ascii="Arial" w:cs="Arial" w:eastAsia="Arial" w:hAnsi="Arial"/>
                <w:b/>
                <w:bCs/>
                <w:color w:val="FFFFFF"/>
                <w:sz w:val="26"/>
                <w:szCs w:val="26"/>
              </w:rPr>
              <w:t xml:space="preserve">4</w:t>
            </w:r>
          </w:p>
        </w:tc>
        <w:tc>
          <w:tcPr>
            <w:tcW w:type="dxa" w:w="8800"/>
            <w:tcBorders>
              <w:top w:val="none"/>
              <w:left w:val="none"/>
              <w:bottom w:val="none"/>
              <w:right w:val="none"/>
            </w:tcBorders>
            <w:shd w:fill="F4F4F4" w:val="clear"/>
            <w:tcMar>
              <w:top w:type="dxa" w:w="110"/>
              <w:left w:type="dxa" w:w="180"/>
              <w:bottom w:type="dxa" w:w="110"/>
              <w:right w:type="dxa" w:w="140"/>
            </w:tcMar>
          </w:tcPr>
          <w:p>
            <w:pPr>
              <w:spacing w:after="60"/>
            </w:pPr>
            <w:r>
              <w:rPr>
                <w:rFonts w:ascii="Arial" w:cs="Arial" w:eastAsia="Arial" w:hAnsi="Arial"/>
                <w:b/>
                <w:bCs/>
                <w:color w:val="1B3A6B"/>
                <w:sz w:val="22"/>
                <w:szCs w:val="22"/>
              </w:rPr>
              <w:t xml:space="preserve">Instrument key application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C</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Mark entry/exit of your most critical function for timeline view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void dose_calculator_update(const sensor_t *in, actuator_t *out)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SEGGER_SYSVIEW_RecordEnterISR();  /* reuse ISR marker for visibility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 computation ...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SEGGER_SYSVIEW_RecordExitISR();</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tc>
      </w:tr>
    </w:tbl>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2E5FA3" w:val="clear"/>
            <w:tcMar>
              <w:top w:type="dxa" w:w="110"/>
              <w:left w:type="dxa" w:w="100"/>
              <w:bottom w:type="dxa" w:w="110"/>
              <w:right w:type="dxa" w:w="100"/>
            </w:tcMar>
            <w:vAlign w:val="top"/>
          </w:tcPr>
          <w:p>
            <w:pPr>
              <w:jc w:val="center"/>
            </w:pPr>
            <w:r>
              <w:rPr>
                <w:rFonts w:ascii="Arial" w:cs="Arial" w:eastAsia="Arial" w:hAnsi="Arial"/>
                <w:b/>
                <w:bCs/>
                <w:color w:val="FFFFFF"/>
                <w:sz w:val="26"/>
                <w:szCs w:val="26"/>
              </w:rPr>
              <w:t xml:space="preserve">5</w:t>
            </w:r>
          </w:p>
        </w:tc>
        <w:tc>
          <w:tcPr>
            <w:tcW w:type="dxa" w:w="8800"/>
            <w:tcBorders>
              <w:top w:val="none"/>
              <w:left w:val="none"/>
              <w:bottom w:val="none"/>
              <w:right w:val="none"/>
            </w:tcBorders>
            <w:shd w:fill="F4F4F4" w:val="clear"/>
            <w:tcMar>
              <w:top w:type="dxa" w:w="110"/>
              <w:left w:type="dxa" w:w="180"/>
              <w:bottom w:type="dxa" w:w="110"/>
              <w:right w:type="dxa" w:w="140"/>
            </w:tcMar>
          </w:tcPr>
          <w:p>
            <w:pPr>
              <w:spacing w:after="60"/>
            </w:pPr>
            <w:r>
              <w:rPr>
                <w:rFonts w:ascii="Arial" w:cs="Arial" w:eastAsia="Arial" w:hAnsi="Arial"/>
                <w:b/>
                <w:bCs/>
                <w:color w:val="1B3A6B"/>
                <w:sz w:val="22"/>
                <w:szCs w:val="22"/>
              </w:rPr>
              <w:t xml:space="preserve">Connect and record</w:t>
            </w:r>
          </w:p>
          <w:p>
            <w:pPr>
              <w:spacing w:after="110"/>
            </w:pPr>
            <w:r>
              <w:rPr>
                <w:rFonts w:ascii="Arial" w:cs="Arial" w:eastAsia="Arial" w:hAnsi="Arial"/>
                <w:b w:val="false"/>
                <w:bCs w:val="false"/>
                <w:color w:val="333333"/>
                <w:sz w:val="22"/>
                <w:szCs w:val="22"/>
              </w:rPr>
              <w:t xml:space="preserve">In SystemView PC app: File → Start Recording → select J-Link/ST-Link → Target Device → Auto-detect → Start. Let it run for 10 seconds under full load, then Stop. You will see a color-coded task timeline.</w:t>
            </w:r>
          </w:p>
        </w:tc>
      </w:tr>
    </w:tbl>
    <w:p>
      <w:pPr>
        <w:spacing w:after="0" w:before="100"/>
      </w:pPr>
      <w:r>
        <w:t xml:space="preserve"/>
      </w:r>
    </w:p>
    <w:p>
      <w:pPr>
        <w:pStyle w:val="Heading3"/>
        <w:spacing w:after="80" w:before="180"/>
      </w:pPr>
      <w:r>
        <w:rPr>
          <w:rFonts w:ascii="Arial" w:cs="Arial" w:eastAsia="Arial" w:hAnsi="Arial"/>
          <w:b/>
          <w:bCs/>
          <w:color w:val="333333"/>
          <w:sz w:val="23"/>
          <w:szCs w:val="23"/>
        </w:rPr>
        <w:t xml:space="preserve">What to Measure and Document</w:t>
      </w:r>
    </w:p>
    <w:p>
      <w:pPr>
        <w:pStyle w:val="ListParagraph"/>
        <w:numPr>
          <w:ilvl w:val="0"/>
          <w:numId w:val="3"/>
        </w:numPr>
        <w:spacing w:after="80"/>
      </w:pPr>
      <w:r>
        <w:rPr>
          <w:rFonts w:ascii="Arial" w:cs="Arial" w:eastAsia="Arial" w:hAnsi="Arial"/>
          <w:b w:val="false"/>
          <w:bCs w:val="false"/>
          <w:color w:val="333333"/>
          <w:sz w:val="22"/>
          <w:szCs w:val="22"/>
        </w:rPr>
        <w:t xml:space="preserve">Actual task execution time per invocation — compare to WCET budget</w:t>
      </w:r>
    </w:p>
    <w:p>
      <w:pPr>
        <w:pStyle w:val="ListParagraph"/>
        <w:numPr>
          <w:ilvl w:val="0"/>
          <w:numId w:val="3"/>
        </w:numPr>
        <w:spacing w:after="80"/>
      </w:pPr>
      <w:r>
        <w:rPr>
          <w:rFonts w:ascii="Arial" w:cs="Arial" w:eastAsia="Arial" w:hAnsi="Arial"/>
          <w:b w:val="false"/>
          <w:bCs w:val="false"/>
          <w:color w:val="333333"/>
          <w:sz w:val="22"/>
          <w:szCs w:val="22"/>
        </w:rPr>
        <w:t xml:space="preserve">ISR duration — should be &lt; 10 µs for a 100Hz control loop on 180MHz Cortex-M4</w:t>
      </w:r>
    </w:p>
    <w:p>
      <w:pPr>
        <w:pStyle w:val="ListParagraph"/>
        <w:numPr>
          <w:ilvl w:val="0"/>
          <w:numId w:val="3"/>
        </w:numPr>
        <w:spacing w:after="80"/>
      </w:pPr>
      <w:r>
        <w:rPr>
          <w:rFonts w:ascii="Arial" w:cs="Arial" w:eastAsia="Arial" w:hAnsi="Arial"/>
          <w:b w:val="false"/>
          <w:bCs w:val="false"/>
          <w:color w:val="333333"/>
          <w:sz w:val="22"/>
          <w:szCs w:val="22"/>
        </w:rPr>
        <w:t xml:space="preserve">Control task jitter — measure actual period vs. 100ms nominal, flag if jitter &gt; 1%</w:t>
      </w:r>
    </w:p>
    <w:p>
      <w:pPr>
        <w:pStyle w:val="ListParagraph"/>
        <w:numPr>
          <w:ilvl w:val="0"/>
          <w:numId w:val="3"/>
        </w:numPr>
        <w:spacing w:after="80"/>
      </w:pPr>
      <w:r>
        <w:rPr>
          <w:rFonts w:ascii="Arial" w:cs="Arial" w:eastAsia="Arial" w:hAnsi="Arial"/>
          <w:b w:val="false"/>
          <w:bCs w:val="false"/>
          <w:color w:val="333333"/>
          <w:sz w:val="22"/>
          <w:szCs w:val="22"/>
        </w:rPr>
        <w:t xml:space="preserve">Idle task CPU time — if idle never runs, system is overloaded</w:t>
      </w:r>
    </w:p>
    <w:p>
      <w:pPr>
        <w:pStyle w:val="ListParagraph"/>
        <w:numPr>
          <w:ilvl w:val="0"/>
          <w:numId w:val="3"/>
        </w:numPr>
        <w:spacing w:after="80"/>
      </w:pPr>
      <w:r>
        <w:rPr>
          <w:rFonts w:ascii="Arial" w:cs="Arial" w:eastAsia="Arial" w:hAnsi="Arial"/>
          <w:b w:val="false"/>
          <w:bCs w:val="false"/>
          <w:color w:val="333333"/>
          <w:sz w:val="22"/>
          <w:szCs w:val="22"/>
        </w:rPr>
        <w:t xml:space="preserve">Priority inversions — lower-priority task running while higher-priority is ready</w:t>
      </w:r>
    </w:p>
    <w:p>
      <w:pPr>
        <w:spacing w:after="0" w:before="140"/>
      </w:pPr>
      <w:r>
        <w:t xml:space="preserve"/>
      </w:r>
    </w:p>
    <w:p>
      <w:pPr>
        <w:pStyle w:val="Heading2"/>
        <w:spacing w:after="100" w:before="220"/>
      </w:pPr>
      <w:r>
        <w:rPr>
          <w:rFonts w:ascii="Arial" w:cs="Arial" w:eastAsia="Arial" w:hAnsi="Arial"/>
          <w:b/>
          <w:bCs/>
          <w:color w:val="2E5FA3"/>
          <w:sz w:val="26"/>
          <w:szCs w:val="26"/>
        </w:rPr>
        <w:t xml:space="preserve">4.5 WCET Budget Document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TEXT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WCET BUDGET DOCUMENT  v1.0</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Device: ClO2 Controller  |  MCU: STM32F446RE @ 180 MHz</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Method: DWT cycle counter (10,000 iterations, worst-case inputs)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Trace:  Segger SystemView v3.54, J-Link EDU, FreeRTOS v10.5.1</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Date:   2026-04-14  |  Engineer: R. Roychowdhury</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TASK / FUNCTION        Period  Budget   Measured  Margin   VERDICT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control_task           10 ms   2.0 ms   1.18 ms    41%     PASS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sensor_validate()      —     0.5 ms   0.38 ms    24%     PASS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pid_compute()          —     0.2 ms   0.14 ms    30%     PASS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dose_limit_check()     —     0.1 ms   0.07 ms    30%     PASS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actuator_set_pwm()     —     0.1 ms   0.08 ms    20%     PASS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sensor_task             5 ms   1.0 ms   0.62 ms    38%     PASS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comm_task (BLE notify) 100ms  20.0 ms  11.20 ms    44%     PASS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ADC_IRQHandler          1 ms   0.05ms   0.028ms    44%     PASS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DMA_TC_IRQHandler       1 ms   0.02ms   0.011ms    45%     PASS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STACK BUDGET  (FreeRTOS uxTaskGetStackHighWaterMark, words remaining)</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Task           Allocated  HWM-Remain  Used(W)  %Used   VERDICT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control_task   2048 W     636 W       1412 W    69%     PASS (&lt; 75%)</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sensor_task    1024 W     412 W        612 W    60%     PASS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comm_task      4096 W    1892 W       2204 W    54%     PASS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Conclusion: All tasks meet timing and stack requirements. System</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schedulable under Rate-Monotonic scheduling. CPU utilization: 52%.</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pPr>
        <w:spacing w:after="0" w:before="140"/>
      </w:pPr>
      <w:r>
        <w:t xml:space="preserve"/>
      </w:r>
    </w:p>
    <w:p>
      <w:pPr>
        <w:pStyle w:val="Heading2"/>
        <w:spacing w:after="100" w:before="220"/>
      </w:pPr>
      <w:r>
        <w:rPr>
          <w:rFonts w:ascii="Arial" w:cs="Arial" w:eastAsia="Arial" w:hAnsi="Arial"/>
          <w:b/>
          <w:bCs/>
          <w:color w:val="2E5FA3"/>
          <w:sz w:val="26"/>
          <w:szCs w:val="26"/>
        </w:rPr>
        <w:t xml:space="preserve">4.6 Week 4 Exercises</w:t>
      </w:r>
    </w:p>
    <w:p>
      <w:pPr>
        <w:pStyle w:val="ListParagraph"/>
        <w:numPr>
          <w:ilvl w:val="0"/>
          <w:numId w:val="2"/>
        </w:numPr>
        <w:spacing w:after="80"/>
      </w:pPr>
      <w:r>
        <w:rPr>
          <w:rFonts w:ascii="Arial" w:cs="Arial" w:eastAsia="Arial" w:hAnsi="Arial"/>
          <w:color w:val="333333"/>
          <w:sz w:val="22"/>
          <w:szCs w:val="22"/>
        </w:rPr>
        <w:t xml:space="preserve">Integrate DWT cycle counter into your STM32 or ESP32-S3 project. Measure WCET of your 5 most critical functions under 10,000 iterations of worst-case inputs. Record maximum observed time for each.</w:t>
      </w:r>
    </w:p>
    <w:p>
      <w:pPr>
        <w:pStyle w:val="ListParagraph"/>
        <w:numPr>
          <w:ilvl w:val="0"/>
          <w:numId w:val="2"/>
        </w:numPr>
        <w:spacing w:after="80"/>
      </w:pPr>
      <w:r>
        <w:rPr>
          <w:rFonts w:ascii="Arial" w:cs="Arial" w:eastAsia="Arial" w:hAnsi="Arial"/>
          <w:color w:val="333333"/>
          <w:sz w:val="22"/>
          <w:szCs w:val="22"/>
        </w:rPr>
        <w:t xml:space="preserve">Enable FreeRTOS stack overflow detection (configCHECK_FOR_STACK_OVERFLOW=2). Run stress test for 30+ minutes. Call uxTaskGetStackHighWaterMark() for every task. Flag any with less than 25% margin.</w:t>
      </w:r>
    </w:p>
    <w:p>
      <w:pPr>
        <w:pStyle w:val="ListParagraph"/>
        <w:numPr>
          <w:ilvl w:val="0"/>
          <w:numId w:val="2"/>
        </w:numPr>
        <w:spacing w:after="80"/>
      </w:pPr>
      <w:r>
        <w:rPr>
          <w:rFonts w:ascii="Arial" w:cs="Arial" w:eastAsia="Arial" w:hAnsi="Arial"/>
          <w:color w:val="333333"/>
          <w:sz w:val="22"/>
          <w:szCs w:val="22"/>
        </w:rPr>
        <w:t xml:space="preserve">Install Segger SystemView. Record a 10-second trace under full load. Measure actual control task jitter, identify the 3 longest-running tasks, and check for priority inversions.</w:t>
      </w:r>
    </w:p>
    <w:p>
      <w:pPr>
        <w:pStyle w:val="ListParagraph"/>
        <w:numPr>
          <w:ilvl w:val="0"/>
          <w:numId w:val="2"/>
        </w:numPr>
        <w:spacing w:after="80"/>
      </w:pPr>
      <w:r>
        <w:rPr>
          <w:rFonts w:ascii="Arial" w:cs="Arial" w:eastAsia="Arial" w:hAnsi="Arial"/>
          <w:color w:val="333333"/>
          <w:sz w:val="22"/>
          <w:szCs w:val="22"/>
        </w:rPr>
        <w:t xml:space="preserve">Produce a WCET Budget Document in the format shown in Section 4.5. Every task and every ISR must appear. Include a CPU utilization estimate.</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5FA3" w:sz="1"/>
              <w:left w:val="single" w:color="2E5FA3" w:sz="1"/>
              <w:bottom w:val="single" w:color="2E5FA3" w:sz="1"/>
              <w:right w:val="single" w:color="2E5FA3" w:sz="1"/>
            </w:tcBorders>
            <w:shd w:fill="1B3A6B"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GOAL</w:t>
            </w:r>
          </w:p>
        </w:tc>
        <w:tc>
          <w:tcPr>
            <w:tcW w:type="dxa" w:w="8160"/>
            <w:tcBorders>
              <w:top w:val="single" w:color="2E5FA3" w:sz="1"/>
              <w:left w:val="single" w:color="2E5FA3" w:sz="1"/>
              <w:bottom w:val="single" w:color="2E5FA3" w:sz="1"/>
              <w:right w:val="single" w:color="2E5FA3" w:sz="1"/>
            </w:tcBorders>
            <w:shd w:fill="D0E4F7" w:val="clear"/>
            <w:tcMar>
              <w:top w:type="dxa" w:w="90"/>
              <w:left w:type="dxa" w:w="140"/>
              <w:bottom w:type="dxa" w:w="90"/>
              <w:right w:type="dxa" w:w="100"/>
            </w:tcMar>
          </w:tcPr>
          <w:p>
            <w:r>
              <w:rPr>
                <w:rFonts w:ascii="Arial" w:cs="Arial" w:eastAsia="Arial" w:hAnsi="Arial"/>
                <w:color w:val="333333"/>
                <w:sz w:val="20"/>
                <w:szCs w:val="20"/>
              </w:rPr>
              <w:t xml:space="preserve">WEEK 4 DELIVERABLE: WCET Budget Document with DWT measurements, stack budget table with pass/fail verdicts, and SystemView screenshot showing task timeline with measurements annotated.</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tabs>
        <w:tab w:val="right" w:pos="9360"/>
      </w:tabs>
      <w:spacing w:before="80"/>
    </w:pPr>
    <w:r>
      <w:rPr>
        <w:rFonts w:ascii="Arial" w:cs="Arial" w:eastAsia="Arial" w:hAnsi="Arial"/>
        <w:color w:val="333333"/>
        <w:sz w:val="16"/>
        <w:szCs w:val="16"/>
      </w:rPr>
      <w:t xml:space="preserve">MISRA-C · IEC 62304 · ISO 14971 · WCET  |  Confidential</w:t>
    </w:r>
    <w:r>
      <w:rPr>
        <w:rFonts w:ascii="Arial" w:cs="Arial" w:eastAsia="Arial" w:hAnsi="Arial"/>
        <w:color w:val="333333"/>
        <w:sz w:val="16"/>
        <w:szCs w:val="16"/>
      </w:rPr>
      <w:t xml:space="preserve">	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80"/>
    </w:pPr>
    <w:r>
      <w:rPr>
        <w:rFonts w:ascii="Arial" w:cs="Arial" w:eastAsia="Arial" w:hAnsi="Arial"/>
        <w:color w:val="2E5FA3"/>
        <w:sz w:val="16"/>
        <w:szCs w:val="16"/>
      </w:rPr>
      <w:t xml:space="preserve">Phase 1 — Regulatory &amp; Safety Foundation — Roy Roychowdhury  |  Medical Device Firmware Tutorial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2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B3A6B"/>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2026-04-14T19:19:54.385Z</dcterms:created>
  <dcterms:modified xsi:type="dcterms:W3CDTF">2026-04-14T19:19:54.386Z</dcterms:modified>
</cp:coreProperties>
</file>

<file path=docProps/custom.xml><?xml version="1.0" encoding="utf-8"?>
<Properties xmlns="http://schemas.openxmlformats.org/officeDocument/2006/custom-properties" xmlns:vt="http://schemas.openxmlformats.org/officeDocument/2006/docPropsVTypes"/>
</file>