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26" w:type="dxa"/>
        <w:tblLook w:val="04A0" w:firstRow="1" w:lastRow="0" w:firstColumn="1" w:lastColumn="0" w:noHBand="0" w:noVBand="1"/>
      </w:tblPr>
      <w:tblGrid>
        <w:gridCol w:w="1597"/>
        <w:gridCol w:w="1262"/>
        <w:gridCol w:w="2636"/>
        <w:gridCol w:w="236"/>
        <w:gridCol w:w="1953"/>
        <w:gridCol w:w="1498"/>
        <w:gridCol w:w="966"/>
        <w:gridCol w:w="778"/>
      </w:tblGrid>
      <w:tr w:rsidR="00384CFB" w14:paraId="5BBA09AC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  <w:hideMark/>
          </w:tcPr>
          <w:p w14:paraId="47A9E4C4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</w:tc>
      </w:tr>
      <w:tr w:rsidR="00384CFB" w14:paraId="481618A5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  <w:hideMark/>
          </w:tcPr>
          <w:p w14:paraId="0B11E1F5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phúc</w:t>
            </w:r>
          </w:p>
        </w:tc>
      </w:tr>
      <w:tr w:rsidR="00384CFB" w14:paraId="3C3584AE" w14:textId="77777777" w:rsidTr="00384CFB">
        <w:trPr>
          <w:trHeight w:val="300"/>
        </w:trPr>
        <w:tc>
          <w:tcPr>
            <w:tcW w:w="1597" w:type="dxa"/>
            <w:vAlign w:val="bottom"/>
          </w:tcPr>
          <w:p w14:paraId="12BC44F7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vAlign w:val="bottom"/>
          </w:tcPr>
          <w:p w14:paraId="5BAE7518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  <w:vAlign w:val="bottom"/>
          </w:tcPr>
          <w:p w14:paraId="4ECF10DB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78C6740D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vAlign w:val="bottom"/>
          </w:tcPr>
          <w:p w14:paraId="705F1666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98" w:type="dxa"/>
            <w:vAlign w:val="bottom"/>
          </w:tcPr>
          <w:p w14:paraId="0AEB34AE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gridSpan w:val="2"/>
            <w:vAlign w:val="bottom"/>
          </w:tcPr>
          <w:p w14:paraId="7C50A0CB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04D67605" w14:textId="77777777" w:rsidTr="00384CFB">
        <w:trPr>
          <w:gridAfter w:val="1"/>
          <w:wAfter w:w="778" w:type="dxa"/>
          <w:trHeight w:val="230"/>
        </w:trPr>
        <w:tc>
          <w:tcPr>
            <w:tcW w:w="10148" w:type="dxa"/>
            <w:gridSpan w:val="7"/>
            <w:vAlign w:val="bottom"/>
            <w:hideMark/>
          </w:tcPr>
          <w:p w14:paraId="6C2FE7A4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ĐIỀU LỆ</w:t>
            </w:r>
          </w:p>
        </w:tc>
      </w:tr>
      <w:tr w:rsidR="00384CFB" w14:paraId="16E71A71" w14:textId="77777777" w:rsidTr="00384CFB">
        <w:trPr>
          <w:gridAfter w:val="1"/>
          <w:wAfter w:w="778" w:type="dxa"/>
          <w:trHeight w:val="342"/>
        </w:trPr>
        <w:tc>
          <w:tcPr>
            <w:tcW w:w="10148" w:type="dxa"/>
            <w:gridSpan w:val="7"/>
            <w:vAlign w:val="bottom"/>
            <w:hideMark/>
          </w:tcPr>
          <w:p w14:paraId="327A3F9C" w14:textId="552B9A97" w:rsidR="00384CFB" w:rsidRDefault="008E0D6E" w:rsidP="00384CFB">
            <w:pPr>
              <w:tabs>
                <w:tab w:val="left" w:pos="90"/>
              </w:tabs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pacing w:val="-6"/>
                <w:sz w:val="24"/>
                <w:szCs w:val="24"/>
              </w:rPr>
            </w:pPr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{{company_name_vie</w:t>
            </w:r>
            <w:r w:rsidR="00BF4B6F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_2</w:t>
            </w:r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}</w:t>
            </w:r>
            <w:proofErr w:type="gramStart"/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}.upper</w:t>
            </w:r>
            <w:proofErr w:type="gramEnd"/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()</w:t>
            </w:r>
          </w:p>
        </w:tc>
      </w:tr>
      <w:tr w:rsidR="00384CFB" w14:paraId="5C8A7A36" w14:textId="77777777" w:rsidTr="00384CFB">
        <w:trPr>
          <w:gridAfter w:val="1"/>
          <w:wAfter w:w="778" w:type="dxa"/>
          <w:trHeight w:val="539"/>
        </w:trPr>
        <w:tc>
          <w:tcPr>
            <w:tcW w:w="10148" w:type="dxa"/>
            <w:gridSpan w:val="7"/>
            <w:vMerge w:val="restart"/>
            <w:vAlign w:val="bottom"/>
            <w:hideMark/>
          </w:tcPr>
          <w:p w14:paraId="3AEE2191" w14:textId="16D3ECC6" w:rsidR="00384CFB" w:rsidRDefault="00384CFB" w:rsidP="00DD15C4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−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Căn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bởi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15C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ngày</w:t>
            </w:r>
            <w:proofErr w:type="spellEnd"/>
            <w:r w:rsidRPr="00DD15C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bookmarkStart w:id="0" w:name="_Hlk208922987"/>
            <w:r w:rsidR="00633D4F" w:rsidRPr="009D0DA3">
              <w:rPr>
                <w:rFonts w:ascii="Times New Roman" w:hAnsi="Times New Roman"/>
                <w:i/>
                <w:iCs/>
                <w:sz w:val="25"/>
                <w:szCs w:val="25"/>
                <w:highlight w:val="yellow"/>
              </w:rPr>
              <w:t>{{day}}</w:t>
            </w:r>
            <w:bookmarkEnd w:id="0"/>
            <w:r w:rsidRPr="00DD15C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D15C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tháng</w:t>
            </w:r>
            <w:proofErr w:type="spellEnd"/>
            <w:r w:rsidRPr="00DD15C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bookmarkStart w:id="1" w:name="_Hlk208922996"/>
            <w:r w:rsidR="00633D4F" w:rsidRPr="009D0DA3">
              <w:rPr>
                <w:rFonts w:ascii="Times New Roman" w:hAnsi="Times New Roman"/>
                <w:i/>
                <w:iCs/>
                <w:sz w:val="25"/>
                <w:szCs w:val="25"/>
                <w:highlight w:val="yellow"/>
              </w:rPr>
              <w:t>{{month</w:t>
            </w:r>
            <w:proofErr w:type="gramStart"/>
            <w:r w:rsidR="00633D4F" w:rsidRPr="009D0DA3">
              <w:rPr>
                <w:rFonts w:ascii="Times New Roman" w:hAnsi="Times New Roman"/>
                <w:i/>
                <w:iCs/>
                <w:sz w:val="25"/>
                <w:szCs w:val="25"/>
                <w:highlight w:val="yellow"/>
              </w:rPr>
              <w:t>}}</w:t>
            </w:r>
            <w:bookmarkEnd w:id="1"/>
            <w:proofErr w:type="spellStart"/>
            <w:r w:rsidR="00DD15C4" w:rsidRPr="00DD15C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năm</w:t>
            </w:r>
            <w:bookmarkStart w:id="2" w:name="_Hlk208923008"/>
            <w:proofErr w:type="spellEnd"/>
            <w:proofErr w:type="gramEnd"/>
            <w:r w:rsidR="00633D4F" w:rsidRPr="009D0DA3">
              <w:rPr>
                <w:rFonts w:ascii="Times New Roman" w:hAnsi="Times New Roman"/>
                <w:i/>
                <w:iCs/>
                <w:sz w:val="25"/>
                <w:szCs w:val="25"/>
                <w:highlight w:val="yellow"/>
              </w:rPr>
              <w:t>{{year}}</w:t>
            </w:r>
            <w:bookmarkEnd w:id="2"/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Căn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Doanh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59/2020/QH14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Quốc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CHXHCN Việt Nam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17/06/2020;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76/2025/QH15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Doanh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384CFB" w14:paraId="7A009D84" w14:textId="77777777" w:rsidTr="00384CFB">
        <w:trPr>
          <w:gridAfter w:val="1"/>
          <w:wAfter w:w="778" w:type="dxa"/>
          <w:trHeight w:val="450"/>
        </w:trPr>
        <w:tc>
          <w:tcPr>
            <w:tcW w:w="0" w:type="auto"/>
            <w:gridSpan w:val="7"/>
            <w:vMerge/>
            <w:vAlign w:val="center"/>
            <w:hideMark/>
          </w:tcPr>
          <w:p w14:paraId="477F4ED8" w14:textId="77777777" w:rsidR="00384CFB" w:rsidRDefault="00384C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331B93C8" w14:textId="77777777" w:rsidTr="00384CFB">
        <w:trPr>
          <w:gridAfter w:val="1"/>
          <w:wAfter w:w="778" w:type="dxa"/>
          <w:trHeight w:val="450"/>
        </w:trPr>
        <w:tc>
          <w:tcPr>
            <w:tcW w:w="0" w:type="auto"/>
            <w:gridSpan w:val="7"/>
            <w:vMerge/>
            <w:vAlign w:val="center"/>
            <w:hideMark/>
          </w:tcPr>
          <w:p w14:paraId="04A7C41F" w14:textId="77777777" w:rsidR="00384CFB" w:rsidRDefault="00384C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7D3B77FD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  <w:hideMark/>
          </w:tcPr>
          <w:p w14:paraId="4401342D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CHƯƠNG I</w:t>
            </w:r>
          </w:p>
        </w:tc>
      </w:tr>
      <w:tr w:rsidR="00384CFB" w14:paraId="0CA154D6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  <w:hideMark/>
          </w:tcPr>
          <w:p w14:paraId="6D771659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QUY ĐỊNH CHUNG</w:t>
            </w:r>
          </w:p>
        </w:tc>
      </w:tr>
      <w:tr w:rsidR="00384CFB" w14:paraId="25FE8A71" w14:textId="77777777" w:rsidTr="00384CFB">
        <w:trPr>
          <w:trHeight w:val="161"/>
        </w:trPr>
        <w:tc>
          <w:tcPr>
            <w:tcW w:w="1597" w:type="dxa"/>
            <w:vAlign w:val="bottom"/>
          </w:tcPr>
          <w:p w14:paraId="24405D00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62" w:type="dxa"/>
            <w:vAlign w:val="bottom"/>
          </w:tcPr>
          <w:p w14:paraId="543C98DF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  <w:vAlign w:val="bottom"/>
          </w:tcPr>
          <w:p w14:paraId="33C194FB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247D1F3A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vAlign w:val="bottom"/>
          </w:tcPr>
          <w:p w14:paraId="6F23B6D4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98" w:type="dxa"/>
            <w:vAlign w:val="bottom"/>
          </w:tcPr>
          <w:p w14:paraId="4829DD26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gridSpan w:val="2"/>
            <w:vAlign w:val="bottom"/>
          </w:tcPr>
          <w:p w14:paraId="0915D7A5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15A6D2F0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  <w:hideMark/>
          </w:tcPr>
          <w:p w14:paraId="3111DF0D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ĐIỀU 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HÌNH THỨC, TÊN GỌI VÀ TRỤ SỞ </w:t>
            </w:r>
          </w:p>
        </w:tc>
      </w:tr>
      <w:tr w:rsidR="00384CFB" w14:paraId="0BDB7205" w14:textId="77777777" w:rsidTr="00384CFB">
        <w:trPr>
          <w:gridAfter w:val="1"/>
          <w:wAfter w:w="778" w:type="dxa"/>
          <w:trHeight w:val="450"/>
        </w:trPr>
        <w:tc>
          <w:tcPr>
            <w:tcW w:w="10148" w:type="dxa"/>
            <w:gridSpan w:val="7"/>
            <w:vMerge w:val="restart"/>
            <w:vAlign w:val="bottom"/>
            <w:hideMark/>
          </w:tcPr>
          <w:p w14:paraId="3BF6F32A" w14:textId="77777777" w:rsidR="00384CFB" w:rsidRDefault="00384CFB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1. 1. Công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Công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Doanh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hòa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xã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Việt Nam</w:t>
            </w:r>
          </w:p>
        </w:tc>
      </w:tr>
      <w:tr w:rsidR="00384CFB" w14:paraId="4F4C8EDD" w14:textId="77777777" w:rsidTr="00384CFB">
        <w:trPr>
          <w:gridAfter w:val="1"/>
          <w:wAfter w:w="778" w:type="dxa"/>
          <w:trHeight w:val="450"/>
        </w:trPr>
        <w:tc>
          <w:tcPr>
            <w:tcW w:w="0" w:type="auto"/>
            <w:gridSpan w:val="7"/>
            <w:vMerge/>
            <w:vAlign w:val="center"/>
            <w:hideMark/>
          </w:tcPr>
          <w:p w14:paraId="7CB1E289" w14:textId="77777777" w:rsidR="00384CFB" w:rsidRDefault="00384C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246E09C3" w14:textId="77777777" w:rsidTr="00384CFB">
        <w:trPr>
          <w:gridAfter w:val="1"/>
          <w:wAfter w:w="778" w:type="dxa"/>
          <w:trHeight w:val="450"/>
        </w:trPr>
        <w:tc>
          <w:tcPr>
            <w:tcW w:w="5495" w:type="dxa"/>
            <w:gridSpan w:val="3"/>
            <w:vMerge w:val="restart"/>
            <w:vAlign w:val="center"/>
            <w:hideMark/>
          </w:tcPr>
          <w:p w14:paraId="4711A01B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Việt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hoa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53" w:type="dxa"/>
            <w:gridSpan w:val="4"/>
            <w:vMerge w:val="restart"/>
            <w:vAlign w:val="center"/>
            <w:hideMark/>
          </w:tcPr>
          <w:p w14:paraId="0A381443" w14:textId="32393532" w:rsidR="00384CFB" w:rsidRPr="00DD15C4" w:rsidRDefault="00633D4F">
            <w:pPr>
              <w:tabs>
                <w:tab w:val="left" w:pos="90"/>
              </w:tabs>
              <w:spacing w:after="0" w:line="288" w:lineRule="auto"/>
              <w:rPr>
                <w:rFonts w:ascii="Times New Roman" w:eastAsia="Times New Roman" w:hAnsi="Times New Roman"/>
                <w:b/>
                <w:bCs/>
                <w:color w:val="000000"/>
                <w:spacing w:val="-6"/>
                <w:sz w:val="24"/>
                <w:szCs w:val="24"/>
                <w:highlight w:val="yellow"/>
              </w:rPr>
            </w:pPr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{{company_name_vie</w:t>
            </w:r>
            <w:r w:rsidR="00BF4B6F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_3</w:t>
            </w:r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}</w:t>
            </w:r>
            <w:proofErr w:type="gramStart"/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}.upper</w:t>
            </w:r>
            <w:proofErr w:type="gramEnd"/>
            <w:r w:rsidRPr="0016118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()</w:t>
            </w:r>
          </w:p>
        </w:tc>
      </w:tr>
      <w:tr w:rsidR="00384CFB" w14:paraId="269AC22D" w14:textId="77777777" w:rsidTr="00384CFB">
        <w:trPr>
          <w:gridAfter w:val="1"/>
          <w:wAfter w:w="778" w:type="dxa"/>
          <w:trHeight w:val="450"/>
        </w:trPr>
        <w:tc>
          <w:tcPr>
            <w:tcW w:w="0" w:type="auto"/>
            <w:gridSpan w:val="3"/>
            <w:vMerge/>
            <w:vAlign w:val="center"/>
            <w:hideMark/>
          </w:tcPr>
          <w:p w14:paraId="2C7932E4" w14:textId="77777777" w:rsidR="00384CFB" w:rsidRDefault="00384C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14:paraId="40A21F62" w14:textId="77777777" w:rsidR="00384CFB" w:rsidRPr="00DD15C4" w:rsidRDefault="00384C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pacing w:val="-6"/>
                <w:sz w:val="24"/>
                <w:szCs w:val="24"/>
                <w:highlight w:val="yellow"/>
              </w:rPr>
            </w:pPr>
          </w:p>
        </w:tc>
      </w:tr>
      <w:tr w:rsidR="00384CFB" w14:paraId="10379608" w14:textId="77777777" w:rsidTr="00384CFB">
        <w:trPr>
          <w:gridAfter w:val="1"/>
          <w:wAfter w:w="778" w:type="dxa"/>
          <w:trHeight w:val="450"/>
        </w:trPr>
        <w:tc>
          <w:tcPr>
            <w:tcW w:w="5495" w:type="dxa"/>
            <w:gridSpan w:val="3"/>
            <w:vMerge w:val="restart"/>
            <w:vAlign w:val="center"/>
            <w:hideMark/>
          </w:tcPr>
          <w:p w14:paraId="1A180E71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53" w:type="dxa"/>
            <w:gridSpan w:val="4"/>
            <w:vMerge w:val="restart"/>
            <w:vAlign w:val="center"/>
            <w:hideMark/>
          </w:tcPr>
          <w:p w14:paraId="27EED394" w14:textId="2D24E62F" w:rsidR="00384CFB" w:rsidRPr="00DD15C4" w:rsidRDefault="00633D4F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9D0DA3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  <w:lang w:val="vi-VN"/>
              </w:rPr>
              <w:t>{{company_name_foreign</w:t>
            </w:r>
            <w:r w:rsidR="00BF4B6F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_2</w:t>
            </w:r>
            <w:r w:rsidRPr="009D0DA3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  <w:lang w:val="vi-VN"/>
              </w:rPr>
              <w:t>}}</w:t>
            </w:r>
          </w:p>
        </w:tc>
      </w:tr>
      <w:tr w:rsidR="00384CFB" w14:paraId="1BA6FA1F" w14:textId="77777777" w:rsidTr="00384CFB">
        <w:trPr>
          <w:gridAfter w:val="1"/>
          <w:wAfter w:w="778" w:type="dxa"/>
          <w:trHeight w:val="450"/>
        </w:trPr>
        <w:tc>
          <w:tcPr>
            <w:tcW w:w="0" w:type="auto"/>
            <w:gridSpan w:val="3"/>
            <w:vMerge/>
            <w:vAlign w:val="center"/>
            <w:hideMark/>
          </w:tcPr>
          <w:p w14:paraId="3F836C66" w14:textId="77777777" w:rsidR="00384CFB" w:rsidRDefault="00384C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vAlign w:val="center"/>
            <w:hideMark/>
          </w:tcPr>
          <w:p w14:paraId="2FE26770" w14:textId="77777777" w:rsidR="00384CFB" w:rsidRDefault="00384CF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84CFB" w14:paraId="0A76B531" w14:textId="77777777" w:rsidTr="00384CFB">
        <w:trPr>
          <w:gridAfter w:val="1"/>
          <w:wAfter w:w="778" w:type="dxa"/>
          <w:trHeight w:val="390"/>
        </w:trPr>
        <w:tc>
          <w:tcPr>
            <w:tcW w:w="10148" w:type="dxa"/>
            <w:gridSpan w:val="7"/>
            <w:vAlign w:val="center"/>
            <w:hideMark/>
          </w:tcPr>
          <w:p w14:paraId="6FD64735" w14:textId="2AFA9B5E" w:rsidR="00384CFB" w:rsidRDefault="00384CFB" w:rsidP="00DD15C4">
            <w:pPr>
              <w:spacing w:after="0" w:line="288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):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/>
              </w:rPr>
              <w:t xml:space="preserve">   </w:t>
            </w:r>
            <w:r w:rsidR="00633D4F" w:rsidRPr="009D0DA3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  <w:lang w:val="vi-VN"/>
              </w:rPr>
              <w:t>{</w:t>
            </w:r>
            <w:proofErr w:type="gramEnd"/>
            <w:r w:rsidR="00633D4F" w:rsidRPr="009D0DA3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  <w:lang w:val="vi-VN"/>
              </w:rPr>
              <w:t>{company_name_abbreviated</w:t>
            </w:r>
            <w:r w:rsidR="00BF4B6F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</w:rPr>
              <w:t>_2</w:t>
            </w:r>
            <w:r w:rsidR="00633D4F" w:rsidRPr="009D0DA3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highlight w:val="yellow"/>
                <w:shd w:val="clear" w:color="auto" w:fill="FFFFFF"/>
                <w:lang w:val="vi-VN"/>
              </w:rPr>
              <w:t>}}</w:t>
            </w:r>
          </w:p>
        </w:tc>
      </w:tr>
      <w:tr w:rsidR="00384CFB" w14:paraId="3ACBC200" w14:textId="77777777" w:rsidTr="00384CFB">
        <w:trPr>
          <w:gridAfter w:val="1"/>
          <w:wAfter w:w="778" w:type="dxa"/>
          <w:trHeight w:val="450"/>
        </w:trPr>
        <w:tc>
          <w:tcPr>
            <w:tcW w:w="2859" w:type="dxa"/>
            <w:gridSpan w:val="2"/>
            <w:vMerge w:val="restart"/>
            <w:vAlign w:val="center"/>
            <w:hideMark/>
          </w:tcPr>
          <w:p w14:paraId="0711D2E0" w14:textId="77777777" w:rsidR="00384CFB" w:rsidRDefault="00384CFB">
            <w:pPr>
              <w:spacing w:after="0" w:line="288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1.3.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Trụ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289" w:type="dxa"/>
            <w:gridSpan w:val="5"/>
            <w:vMerge w:val="restart"/>
            <w:vAlign w:val="center"/>
            <w:hideMark/>
          </w:tcPr>
          <w:p w14:paraId="51D38615" w14:textId="401340E2" w:rsidR="00384CFB" w:rsidRPr="00BF4B6F" w:rsidRDefault="00633D4F">
            <w:pPr>
              <w:tabs>
                <w:tab w:val="left" w:leader="dot" w:pos="10260"/>
              </w:tabs>
              <w:spacing w:after="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9D0DA3">
              <w:rPr>
                <w:rFonts w:ascii="Times New Roman" w:hAnsi="Times New Roman"/>
                <w:sz w:val="25"/>
                <w:szCs w:val="25"/>
                <w:highlight w:val="yellow"/>
                <w:lang w:val="vi-VN"/>
              </w:rPr>
              <w:t>{{hq_</w:t>
            </w:r>
            <w:r w:rsidR="00BF4B6F">
              <w:rPr>
                <w:rFonts w:ascii="Times New Roman" w:hAnsi="Times New Roman"/>
                <w:sz w:val="25"/>
                <w:szCs w:val="25"/>
                <w:highlight w:val="yellow"/>
              </w:rPr>
              <w:t>full_</w:t>
            </w:r>
            <w:r w:rsidRPr="009D0DA3">
              <w:rPr>
                <w:rFonts w:ascii="Times New Roman" w:hAnsi="Times New Roman"/>
                <w:sz w:val="25"/>
                <w:szCs w:val="25"/>
                <w:highlight w:val="yellow"/>
                <w:lang w:val="vi-VN"/>
              </w:rPr>
              <w:t>address}}</w:t>
            </w:r>
          </w:p>
        </w:tc>
      </w:tr>
      <w:tr w:rsidR="00384CFB" w14:paraId="3D433681" w14:textId="77777777" w:rsidTr="00384CFB">
        <w:trPr>
          <w:gridAfter w:val="1"/>
          <w:wAfter w:w="778" w:type="dxa"/>
          <w:trHeight w:val="450"/>
        </w:trPr>
        <w:tc>
          <w:tcPr>
            <w:tcW w:w="0" w:type="auto"/>
            <w:gridSpan w:val="2"/>
            <w:vMerge/>
            <w:vAlign w:val="center"/>
            <w:hideMark/>
          </w:tcPr>
          <w:p w14:paraId="35DE42D5" w14:textId="77777777" w:rsidR="00384CFB" w:rsidRDefault="00384CF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14:paraId="2AB6AE23" w14:textId="77777777" w:rsidR="00384CFB" w:rsidRDefault="00384CF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84CFB" w14:paraId="62362349" w14:textId="77777777" w:rsidTr="00384CFB">
        <w:trPr>
          <w:gridAfter w:val="1"/>
          <w:wAfter w:w="778" w:type="dxa"/>
          <w:trHeight w:val="654"/>
        </w:trPr>
        <w:tc>
          <w:tcPr>
            <w:tcW w:w="10148" w:type="dxa"/>
            <w:gridSpan w:val="7"/>
            <w:vAlign w:val="bottom"/>
            <w:hideMark/>
          </w:tcPr>
          <w:p w14:paraId="568EB8C5" w14:textId="0DD1A833" w:rsidR="00384CFB" w:rsidRDefault="00384CFB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thoại</w:t>
            </w:r>
            <w:proofErr w:type="spellEnd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bookmarkStart w:id="3" w:name="_Hlk155690690"/>
            <w:r w:rsidR="00633D4F" w:rsidRPr="009D0DA3"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  <w:t>{</w:t>
            </w:r>
            <w:proofErr w:type="gramEnd"/>
            <w:r w:rsidR="00633D4F" w:rsidRPr="009D0DA3"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  <w:t>{hq_phone</w:t>
            </w:r>
            <w:r w:rsidR="00553CD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_2</w:t>
            </w:r>
            <w:proofErr w:type="gramStart"/>
            <w:r w:rsidR="00633D4F" w:rsidRPr="009D0DA3"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  <w:t>}}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</w:t>
            </w:r>
            <w:bookmarkEnd w:id="3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Fax:…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………………………….</w:t>
            </w:r>
          </w:p>
          <w:p w14:paraId="3C534977" w14:textId="3F735F39" w:rsidR="00384CFB" w:rsidRDefault="00384CFB" w:rsidP="00DD15C4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Email: </w:t>
            </w:r>
            <w:bookmarkStart w:id="4" w:name="_Hlk169083383"/>
            <w:r w:rsidR="00633D4F" w:rsidRPr="009D0DA3">
              <w:rPr>
                <w:rFonts w:ascii="Times New Roman" w:hAnsi="Times New Roman"/>
                <w:sz w:val="25"/>
                <w:szCs w:val="25"/>
                <w:highlight w:val="yellow"/>
                <w:lang w:val="vi-VN"/>
              </w:rPr>
              <w:t>{{hq_email</w:t>
            </w:r>
            <w:r w:rsidR="00553CD8">
              <w:rPr>
                <w:rFonts w:ascii="Times New Roman" w:hAnsi="Times New Roman"/>
                <w:sz w:val="25"/>
                <w:szCs w:val="25"/>
                <w:highlight w:val="yellow"/>
              </w:rPr>
              <w:t>_2</w:t>
            </w:r>
            <w:r w:rsidR="00633D4F" w:rsidRPr="009D0DA3">
              <w:rPr>
                <w:rFonts w:ascii="Times New Roman" w:hAnsi="Times New Roman"/>
                <w:sz w:val="25"/>
                <w:szCs w:val="25"/>
                <w:highlight w:val="yellow"/>
                <w:lang w:val="vi-VN"/>
              </w:rPr>
              <w:t>}}</w:t>
            </w:r>
            <w:r>
              <w:fldChar w:fldCharType="begin"/>
            </w:r>
            <w:r>
              <w:instrText>HYPERLINK "mailto:hn.goldenhomes@gmail.com"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</w:t>
            </w:r>
            <w:r w:rsidR="00DD15C4"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</w:t>
            </w:r>
            <w:bookmarkEnd w:id="4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Website:…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……………………</w:t>
            </w:r>
          </w:p>
        </w:tc>
      </w:tr>
      <w:tr w:rsidR="00384CFB" w14:paraId="2CA61180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  <w:hideMark/>
          </w:tcPr>
          <w:p w14:paraId="51F4852E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ĐIỀU 2: NGÀNH NGHỀ KINH DOANH</w:t>
            </w:r>
          </w:p>
        </w:tc>
      </w:tr>
      <w:tr w:rsidR="00384CFB" w14:paraId="08B9A618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  <w:hideMark/>
          </w:tcPr>
          <w:tbl>
            <w:tblPr>
              <w:tblW w:w="9814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4"/>
              <w:gridCol w:w="3490"/>
              <w:gridCol w:w="2449"/>
              <w:gridCol w:w="3141"/>
            </w:tblGrid>
            <w:tr w:rsidR="00384CFB" w14:paraId="4E031BFF" w14:textId="77777777" w:rsidTr="008E0D6E">
              <w:trPr>
                <w:trHeight w:val="624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79FA2287" w14:textId="77777777" w:rsidR="00384CFB" w:rsidRDefault="00384CFB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bookmarkStart w:id="5" w:name="_Hlk192064996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3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0C0B9CBE" w14:textId="77777777" w:rsidR="00384CFB" w:rsidRDefault="00384CFB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ngành</w:t>
                  </w:r>
                  <w:proofErr w:type="spellEnd"/>
                </w:p>
              </w:tc>
              <w:tc>
                <w:tcPr>
                  <w:tcW w:w="2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3488D6B4" w14:textId="77777777" w:rsidR="00384CFB" w:rsidRDefault="00384CFB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Mã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ngành</w:t>
                  </w:r>
                  <w:proofErr w:type="spellEnd"/>
                </w:p>
              </w:tc>
              <w:tc>
                <w:tcPr>
                  <w:tcW w:w="2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hideMark/>
                </w:tcPr>
                <w:p w14:paraId="00A17B48" w14:textId="77777777" w:rsidR="00384CFB" w:rsidRDefault="00384CFB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Ngành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nghề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chính</w:t>
                  </w:r>
                  <w:proofErr w:type="spellEnd"/>
                </w:p>
              </w:tc>
            </w:tr>
            <w:tr w:rsidR="008E0D6E" w14:paraId="2B7EDC74" w14:textId="77777777" w:rsidTr="008E0D6E">
              <w:trPr>
                <w:trHeight w:val="3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6855F13C" w14:textId="77777777" w:rsidR="008E0D6E" w:rsidRPr="00DD15C4" w:rsidRDefault="008E0D6E" w:rsidP="008E0D6E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  <w:highlight w:val="yellow"/>
                    </w:rPr>
                  </w:pPr>
                </w:p>
              </w:tc>
              <w:tc>
                <w:tcPr>
                  <w:tcW w:w="3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55BB724F" w14:textId="716459A8" w:rsidR="008E0D6E" w:rsidRPr="00633D4F" w:rsidRDefault="008E0D6E" w:rsidP="008E0D6E">
                  <w:pPr>
                    <w:spacing w:line="24" w:lineRule="atLeast"/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val="vi-VN" w:eastAsia="vi-VN"/>
                    </w:rPr>
                  </w:pPr>
                  <w:r w:rsidRPr="00E95C5D"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eastAsia="vi-VN"/>
                    </w:rPr>
                    <w:t>{{industry_name</w:t>
                  </w:r>
                  <w:r w:rsidR="004C01E5"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eastAsia="vi-VN"/>
                    </w:rPr>
                    <w:t>_2</w:t>
                  </w:r>
                  <w:r w:rsidRPr="00E95C5D"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eastAsia="vi-VN"/>
                    </w:rPr>
                    <w:t>}}</w:t>
                  </w:r>
                </w:p>
              </w:tc>
              <w:tc>
                <w:tcPr>
                  <w:tcW w:w="2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131D28C7" w14:textId="24DF439D" w:rsidR="008E0D6E" w:rsidRPr="00DD15C4" w:rsidRDefault="008E0D6E" w:rsidP="008E0D6E">
                  <w:pPr>
                    <w:spacing w:line="24" w:lineRule="atLeast"/>
                    <w:jc w:val="center"/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eastAsia="vi-VN"/>
                    </w:rPr>
                  </w:pPr>
                  <w:r w:rsidRPr="00E95C5D"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eastAsia="vi-VN"/>
                    </w:rPr>
                    <w:t>{{industry_code</w:t>
                  </w:r>
                  <w:r w:rsidR="004C01E5"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eastAsia="vi-VN"/>
                    </w:rPr>
                    <w:t>_2</w:t>
                  </w:r>
                  <w:r w:rsidRPr="00E95C5D">
                    <w:rPr>
                      <w:rFonts w:ascii="Times New Roman" w:hAnsi="Times New Roman"/>
                      <w:color w:val="000000"/>
                      <w:sz w:val="26"/>
                      <w:szCs w:val="26"/>
                      <w:highlight w:val="yellow"/>
                      <w:lang w:eastAsia="vi-VN"/>
                    </w:rPr>
                    <w:t>}}</w:t>
                  </w:r>
                </w:p>
              </w:tc>
              <w:tc>
                <w:tcPr>
                  <w:tcW w:w="2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0B2193B" w14:textId="221481CD" w:rsidR="00553CD8" w:rsidRPr="008E0D6E" w:rsidRDefault="008E0D6E" w:rsidP="00553CD8">
                  <w:pPr>
                    <w:spacing w:before="120" w:after="0"/>
                    <w:jc w:val="center"/>
                    <w:rPr>
                      <w:rFonts w:ascii="Times New Roman" w:hAnsi="Times New Roman"/>
                      <w:bCs/>
                      <w:sz w:val="25"/>
                      <w:szCs w:val="25"/>
                      <w:highlight w:val="yellow"/>
                    </w:rPr>
                  </w:pPr>
                  <w:r w:rsidRPr="00E95C5D">
                    <w:rPr>
                      <w:rFonts w:ascii="Times New Roman" w:hAnsi="Times New Roman"/>
                      <w:bCs/>
                      <w:sz w:val="25"/>
                      <w:szCs w:val="25"/>
                      <w:highlight w:val="yellow"/>
                    </w:rPr>
                    <w:t>{{main_business_sector</w:t>
                  </w:r>
                  <w:r w:rsidR="004C01E5">
                    <w:rPr>
                      <w:rFonts w:ascii="Times New Roman" w:hAnsi="Times New Roman"/>
                      <w:bCs/>
                      <w:sz w:val="25"/>
                      <w:szCs w:val="25"/>
                      <w:highlight w:val="yellow"/>
                    </w:rPr>
                    <w:t>_2</w:t>
                  </w:r>
                  <w:r w:rsidRPr="00E95C5D">
                    <w:rPr>
                      <w:rFonts w:ascii="Times New Roman" w:hAnsi="Times New Roman"/>
                      <w:bCs/>
                      <w:sz w:val="25"/>
                      <w:szCs w:val="25"/>
                      <w:highlight w:val="yellow"/>
                    </w:rPr>
                    <w:t>}}</w:t>
                  </w:r>
                </w:p>
              </w:tc>
            </w:tr>
            <w:bookmarkEnd w:id="5"/>
          </w:tbl>
          <w:p w14:paraId="13C85D8D" w14:textId="77777777" w:rsidR="00384CFB" w:rsidRDefault="00384CFB">
            <w:pPr>
              <w:spacing w:after="0" w:line="288" w:lineRule="auto"/>
              <w:ind w:right="105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1F59D92C" w14:textId="77777777" w:rsidTr="00384CFB">
        <w:trPr>
          <w:gridAfter w:val="1"/>
          <w:wAfter w:w="778" w:type="dxa"/>
          <w:trHeight w:val="300"/>
        </w:trPr>
        <w:tc>
          <w:tcPr>
            <w:tcW w:w="10148" w:type="dxa"/>
            <w:gridSpan w:val="7"/>
            <w:vAlign w:val="bottom"/>
          </w:tcPr>
          <w:p w14:paraId="55259F37" w14:textId="77777777" w:rsidR="00384CFB" w:rsidRDefault="00384CF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54ED3ECE" w14:textId="77777777" w:rsidR="00384CFB" w:rsidRDefault="00384CFB" w:rsidP="00384CFB">
      <w:pPr>
        <w:spacing w:after="0"/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570"/>
        <w:gridCol w:w="1338"/>
        <w:gridCol w:w="1085"/>
        <w:gridCol w:w="911"/>
        <w:gridCol w:w="1368"/>
        <w:gridCol w:w="1428"/>
      </w:tblGrid>
      <w:tr w:rsidR="00384CFB" w14:paraId="1069AD3E" w14:textId="77777777" w:rsidTr="00384CFB">
        <w:trPr>
          <w:trHeight w:val="450"/>
        </w:trPr>
        <w:tc>
          <w:tcPr>
            <w:tcW w:w="969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8F4C2A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2. 2. Công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khuôn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nhằm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</w:p>
        </w:tc>
      </w:tr>
      <w:tr w:rsidR="00384CFB" w14:paraId="3430017A" w14:textId="77777777" w:rsidTr="00384CFB">
        <w:trPr>
          <w:trHeight w:val="450"/>
        </w:trPr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7F007" w14:textId="77777777" w:rsidR="00384CFB" w:rsidRDefault="00384CF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341079C2" w14:textId="77777777" w:rsidTr="00384CFB">
        <w:trPr>
          <w:trHeight w:val="30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5835B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D1253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5F34D2F1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D4AC2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9BAD6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16CB8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4CBE7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F1689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384CFB" w14:paraId="5D09B4CA" w14:textId="77777777" w:rsidTr="00384CFB">
        <w:trPr>
          <w:trHeight w:val="300"/>
        </w:trPr>
        <w:tc>
          <w:tcPr>
            <w:tcW w:w="3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1BE835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ĐIỀU 3. VỐN ĐIỀU LỆ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82634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E5090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57C95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9128E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3864E613" w14:textId="77777777" w:rsidTr="00384CFB">
        <w:trPr>
          <w:gridAfter w:val="3"/>
          <w:wAfter w:w="3871" w:type="dxa"/>
          <w:trHeight w:val="300"/>
        </w:trPr>
        <w:tc>
          <w:tcPr>
            <w:tcW w:w="33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69961A" w14:textId="73763EF3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1.Vốn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ty</w:t>
            </w:r>
            <w:r w:rsidR="00633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B052C9" w14:textId="25929068" w:rsidR="00384CFB" w:rsidRDefault="00384CFB" w:rsidP="00DD15C4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21D02933" w14:textId="77777777" w:rsidTr="00384CFB">
        <w:trPr>
          <w:trHeight w:val="8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DB46D0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81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386039" w14:textId="2E905173" w:rsidR="00384CFB" w:rsidRDefault="00633D4F">
            <w:pPr>
              <w:spacing w:after="0" w:line="288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/>
              </w:rPr>
            </w:pPr>
            <w:r w:rsidRPr="00515EF9">
              <w:rPr>
                <w:rFonts w:ascii="Times New Roman" w:hAnsi="Times New Roman"/>
                <w:b/>
                <w:iCs/>
                <w:sz w:val="25"/>
                <w:szCs w:val="25"/>
                <w:highlight w:val="yellow"/>
                <w:lang w:val="vi-VN"/>
              </w:rPr>
              <w:t>{{charter_capital_amount</w:t>
            </w:r>
            <w:r w:rsidR="00553CD8">
              <w:rPr>
                <w:rFonts w:ascii="Times New Roman" w:hAnsi="Times New Roman"/>
                <w:b/>
                <w:iCs/>
                <w:sz w:val="25"/>
                <w:szCs w:val="25"/>
                <w:highlight w:val="yellow"/>
              </w:rPr>
              <w:t>_2</w:t>
            </w:r>
            <w:r w:rsidRPr="00515EF9">
              <w:rPr>
                <w:rFonts w:ascii="Times New Roman" w:hAnsi="Times New Roman"/>
                <w:b/>
                <w:iCs/>
                <w:sz w:val="25"/>
                <w:szCs w:val="25"/>
                <w:highlight w:val="yellow"/>
                <w:lang w:val="vi-VN"/>
              </w:rPr>
              <w:t>}}</w:t>
            </w:r>
            <w:r>
              <w:rPr>
                <w:rFonts w:ascii="Times New Roman" w:hAnsi="Times New Roman"/>
                <w:b/>
                <w:iCs/>
                <w:sz w:val="25"/>
                <w:szCs w:val="25"/>
                <w:highlight w:val="yellow"/>
              </w:rPr>
              <w:t>.</w:t>
            </w:r>
            <w:proofErr w:type="spellStart"/>
            <w:r>
              <w:rPr>
                <w:rFonts w:ascii="Times New Roman" w:hAnsi="Times New Roman"/>
                <w:b/>
                <w:iCs/>
                <w:sz w:val="25"/>
                <w:szCs w:val="25"/>
                <w:highlight w:val="yellow"/>
              </w:rPr>
              <w:t>isalpha</w:t>
            </w:r>
            <w:proofErr w:type="spellEnd"/>
            <w:r>
              <w:rPr>
                <w:rFonts w:ascii="Times New Roman" w:hAnsi="Times New Roman"/>
                <w:b/>
                <w:iCs/>
                <w:sz w:val="25"/>
                <w:szCs w:val="25"/>
                <w:highlight w:val="yellow"/>
              </w:rPr>
              <w:t xml:space="preserve">() </w:t>
            </w:r>
            <w:r w:rsidRPr="00F829C2">
              <w:rPr>
                <w:rFonts w:ascii="Times New Roman" w:hAnsi="Times New Roman"/>
                <w:b/>
                <w:iCs/>
                <w:sz w:val="25"/>
                <w:szCs w:val="25"/>
                <w:highlight w:val="yellow"/>
                <w:lang w:val="vi-VN"/>
              </w:rPr>
              <w:t>đồng</w:t>
            </w:r>
          </w:p>
        </w:tc>
      </w:tr>
    </w:tbl>
    <w:p w14:paraId="49C94FBC" w14:textId="77777777" w:rsidR="00384CFB" w:rsidRDefault="00384CFB" w:rsidP="00384CFB">
      <w:pPr>
        <w:spacing w:after="0"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góp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tiền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mặt</w:t>
      </w:r>
      <w:proofErr w:type="spellEnd"/>
      <w:r>
        <w:rPr>
          <w:rFonts w:ascii="Times New Roman" w:hAnsi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792"/>
        <w:gridCol w:w="39"/>
        <w:gridCol w:w="3837"/>
        <w:gridCol w:w="3321"/>
        <w:gridCol w:w="2235"/>
        <w:gridCol w:w="996"/>
      </w:tblGrid>
      <w:tr w:rsidR="00384CFB" w14:paraId="6101818A" w14:textId="77777777" w:rsidTr="00553CD8">
        <w:trPr>
          <w:trHeight w:val="300"/>
        </w:trPr>
        <w:tc>
          <w:tcPr>
            <w:tcW w:w="1712" w:type="dxa"/>
            <w:gridSpan w:val="2"/>
            <w:vAlign w:val="bottom"/>
            <w:hideMark/>
          </w:tcPr>
          <w:p w14:paraId="4B04C0B4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37" w:type="dxa"/>
            <w:vAlign w:val="center"/>
            <w:hideMark/>
          </w:tcPr>
          <w:p w14:paraId="10619854" w14:textId="73501B78" w:rsidR="00384CFB" w:rsidRDefault="00633D4F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C479A">
              <w:rPr>
                <w:rFonts w:ascii="Times New Roman" w:hAnsi="Times New Roman"/>
                <w:bCs/>
                <w:sz w:val="25"/>
                <w:szCs w:val="25"/>
                <w:highlight w:val="yellow"/>
              </w:rPr>
              <w:t>{{total_quantity</w:t>
            </w:r>
            <w:r w:rsidR="00553CD8">
              <w:rPr>
                <w:rFonts w:ascii="Times New Roman" w:hAnsi="Times New Roman"/>
                <w:bCs/>
                <w:sz w:val="25"/>
                <w:szCs w:val="25"/>
                <w:highlight w:val="yellow"/>
              </w:rPr>
              <w:t>_2</w:t>
            </w:r>
            <w:r w:rsidRPr="004C479A">
              <w:rPr>
                <w:rFonts w:ascii="Times New Roman" w:hAnsi="Times New Roman"/>
                <w:bCs/>
                <w:sz w:val="25"/>
                <w:szCs w:val="25"/>
                <w:highlight w:val="yellow"/>
              </w:rPr>
              <w:t>}}</w:t>
            </w:r>
          </w:p>
        </w:tc>
        <w:tc>
          <w:tcPr>
            <w:tcW w:w="2680" w:type="dxa"/>
            <w:gridSpan w:val="2"/>
            <w:vAlign w:val="center"/>
            <w:hideMark/>
          </w:tcPr>
          <w:p w14:paraId="0B1D8751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425" w:type="dxa"/>
            <w:vAlign w:val="bottom"/>
          </w:tcPr>
          <w:p w14:paraId="06DCD5C4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5CD50EA7" w14:textId="77777777" w:rsidTr="00553CD8">
        <w:trPr>
          <w:trHeight w:val="300"/>
        </w:trPr>
        <w:tc>
          <w:tcPr>
            <w:tcW w:w="1712" w:type="dxa"/>
            <w:gridSpan w:val="2"/>
            <w:vAlign w:val="bottom"/>
            <w:hideMark/>
          </w:tcPr>
          <w:p w14:paraId="11D373F6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Mệnh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37" w:type="dxa"/>
            <w:vAlign w:val="center"/>
            <w:hideMark/>
          </w:tcPr>
          <w:p w14:paraId="78145C43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10.000</w:t>
            </w:r>
          </w:p>
        </w:tc>
        <w:tc>
          <w:tcPr>
            <w:tcW w:w="2680" w:type="dxa"/>
            <w:gridSpan w:val="2"/>
            <w:vAlign w:val="center"/>
            <w:hideMark/>
          </w:tcPr>
          <w:p w14:paraId="40246383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425" w:type="dxa"/>
            <w:vAlign w:val="bottom"/>
          </w:tcPr>
          <w:p w14:paraId="4F0A6517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14D03CF9" w14:textId="77777777" w:rsidTr="00384CFB">
        <w:trPr>
          <w:trHeight w:val="300"/>
        </w:trPr>
        <w:tc>
          <w:tcPr>
            <w:tcW w:w="9654" w:type="dxa"/>
            <w:gridSpan w:val="6"/>
            <w:vAlign w:val="bottom"/>
          </w:tcPr>
          <w:p w14:paraId="749FFAB3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3861A3A8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mua</w:t>
            </w:r>
            <w:proofErr w:type="spellEnd"/>
          </w:p>
        </w:tc>
      </w:tr>
      <w:tr w:rsidR="00384CFB" w14:paraId="575BDD93" w14:textId="77777777" w:rsidTr="00553CD8">
        <w:trPr>
          <w:trHeight w:val="600"/>
        </w:trPr>
        <w:tc>
          <w:tcPr>
            <w:tcW w:w="1712" w:type="dxa"/>
            <w:gridSpan w:val="2"/>
            <w:vAlign w:val="bottom"/>
            <w:hideMark/>
          </w:tcPr>
          <w:p w14:paraId="13BFE73D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37" w:type="dxa"/>
            <w:vAlign w:val="center"/>
            <w:hideMark/>
          </w:tcPr>
          <w:p w14:paraId="4416CD47" w14:textId="7BED6A40" w:rsidR="00384CFB" w:rsidRPr="008E0D6E" w:rsidRDefault="008E0D6E" w:rsidP="008E0D6E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E0D6E">
              <w:rPr>
                <w:rFonts w:ascii="Times New Roman" w:hAnsi="Times New Roman"/>
                <w:sz w:val="24"/>
                <w:szCs w:val="24"/>
                <w:highlight w:val="yellow"/>
              </w:rPr>
              <w:t>{{</w:t>
            </w:r>
            <w:proofErr w:type="spellStart"/>
            <w:r w:rsidRPr="008E0D6E">
              <w:rPr>
                <w:rFonts w:ascii="Times New Roman" w:hAnsi="Times New Roman"/>
                <w:sz w:val="24"/>
                <w:szCs w:val="24"/>
                <w:highlight w:val="yellow"/>
              </w:rPr>
              <w:t>total_share_quantity</w:t>
            </w:r>
            <w:proofErr w:type="spellEnd"/>
            <w:r w:rsidRPr="008E0D6E">
              <w:rPr>
                <w:rFonts w:ascii="Times New Roman" w:hAnsi="Times New Roman"/>
                <w:sz w:val="24"/>
                <w:szCs w:val="24"/>
                <w:highlight w:val="yellow"/>
              </w:rPr>
              <w:t>}}</w:t>
            </w:r>
          </w:p>
        </w:tc>
        <w:tc>
          <w:tcPr>
            <w:tcW w:w="2680" w:type="dxa"/>
            <w:gridSpan w:val="2"/>
            <w:vAlign w:val="center"/>
            <w:hideMark/>
          </w:tcPr>
          <w:p w14:paraId="39CDE686" w14:textId="77777777" w:rsidR="00384CFB" w:rsidRDefault="00384CFB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425" w:type="dxa"/>
            <w:vAlign w:val="bottom"/>
          </w:tcPr>
          <w:p w14:paraId="2B117254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4CFB" w14:paraId="73E0F69E" w14:textId="77777777" w:rsidTr="00384CFB">
        <w:trPr>
          <w:trHeight w:val="300"/>
        </w:trPr>
        <w:tc>
          <w:tcPr>
            <w:tcW w:w="9654" w:type="dxa"/>
            <w:gridSpan w:val="6"/>
            <w:vAlign w:val="bottom"/>
            <w:hideMark/>
          </w:tcPr>
          <w:p w14:paraId="7A50412B" w14:textId="77777777" w:rsidR="00384CFB" w:rsidRDefault="00384CFB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53CD8" w14:paraId="3C4987C4" w14:textId="77777777" w:rsidTr="00553CD8">
        <w:trPr>
          <w:trHeight w:val="300"/>
        </w:trPr>
        <w:tc>
          <w:tcPr>
            <w:tcW w:w="1712" w:type="dxa"/>
            <w:gridSpan w:val="2"/>
            <w:vAlign w:val="bottom"/>
            <w:hideMark/>
          </w:tcPr>
          <w:p w14:paraId="18621019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−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37" w:type="dxa"/>
            <w:vAlign w:val="center"/>
            <w:hideMark/>
          </w:tcPr>
          <w:p w14:paraId="05105CF0" w14:textId="1B13EF39" w:rsidR="00553CD8" w:rsidRPr="00553CD8" w:rsidRDefault="00553CD8" w:rsidP="00553CD8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553CD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{{total_common_share_quantity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_2</w:t>
            </w:r>
            <w:r w:rsidRPr="00553CD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}}</w:t>
            </w:r>
          </w:p>
        </w:tc>
        <w:tc>
          <w:tcPr>
            <w:tcW w:w="2680" w:type="dxa"/>
            <w:gridSpan w:val="2"/>
            <w:vAlign w:val="center"/>
            <w:hideMark/>
          </w:tcPr>
          <w:p w14:paraId="5FCA0C19" w14:textId="77777777" w:rsidR="00553CD8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425" w:type="dxa"/>
            <w:vAlign w:val="bottom"/>
          </w:tcPr>
          <w:p w14:paraId="653EFBAA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14:paraId="266D14FA" w14:textId="77777777" w:rsidTr="00553CD8">
        <w:trPr>
          <w:trHeight w:val="300"/>
        </w:trPr>
        <w:tc>
          <w:tcPr>
            <w:tcW w:w="1712" w:type="dxa"/>
            <w:gridSpan w:val="2"/>
            <w:vAlign w:val="bottom"/>
            <w:hideMark/>
          </w:tcPr>
          <w:p w14:paraId="6BEA5054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−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ưu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đãi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3837" w:type="dxa"/>
            <w:vAlign w:val="bottom"/>
            <w:hideMark/>
          </w:tcPr>
          <w:p w14:paraId="17189676" w14:textId="77777777" w:rsidR="00553CD8" w:rsidRDefault="00553CD8" w:rsidP="00553CD8">
            <w:pPr>
              <w:spacing w:after="0" w:line="288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680" w:type="dxa"/>
            <w:gridSpan w:val="2"/>
            <w:vAlign w:val="bottom"/>
          </w:tcPr>
          <w:p w14:paraId="2550EEBB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25" w:type="dxa"/>
            <w:vAlign w:val="bottom"/>
          </w:tcPr>
          <w:p w14:paraId="2CE348D0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14:paraId="6E7E7482" w14:textId="77777777" w:rsidTr="00384CFB">
        <w:trPr>
          <w:trHeight w:val="300"/>
        </w:trPr>
        <w:tc>
          <w:tcPr>
            <w:tcW w:w="9654" w:type="dxa"/>
            <w:gridSpan w:val="6"/>
            <w:vAlign w:val="bottom"/>
          </w:tcPr>
          <w:p w14:paraId="41CA8440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11406564" w14:textId="38E520C9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chào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562F64">
              <w:rPr>
                <w:rFonts w:ascii="Times New Roman" w:hAnsi="Times New Roman"/>
                <w:bCs/>
                <w:sz w:val="25"/>
                <w:szCs w:val="25"/>
                <w:highlight w:val="yellow"/>
              </w:rPr>
              <w:t>{{total_investment_amount</w:t>
            </w:r>
            <w:r>
              <w:rPr>
                <w:rFonts w:ascii="Times New Roman" w:hAnsi="Times New Roman"/>
                <w:bCs/>
                <w:sz w:val="25"/>
                <w:szCs w:val="25"/>
                <w:highlight w:val="yellow"/>
              </w:rPr>
              <w:t>_2</w:t>
            </w:r>
            <w:r w:rsidRPr="00562F64">
              <w:rPr>
                <w:rFonts w:ascii="Times New Roman" w:hAnsi="Times New Roman"/>
                <w:bCs/>
                <w:sz w:val="25"/>
                <w:szCs w:val="25"/>
                <w:highlight w:val="yellow"/>
              </w:rPr>
              <w:t>}}</w:t>
            </w:r>
          </w:p>
        </w:tc>
      </w:tr>
      <w:tr w:rsidR="00553CD8" w14:paraId="6E8F6DEF" w14:textId="77777777" w:rsidTr="00384CFB">
        <w:trPr>
          <w:trHeight w:val="300"/>
        </w:trPr>
        <w:tc>
          <w:tcPr>
            <w:tcW w:w="9654" w:type="dxa"/>
            <w:gridSpan w:val="6"/>
            <w:vAlign w:val="bottom"/>
            <w:hideMark/>
          </w:tcPr>
          <w:p w14:paraId="04488E80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4.Vốn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</w:p>
        </w:tc>
      </w:tr>
      <w:tr w:rsidR="00553CD8" w14:paraId="75D1E84F" w14:textId="77777777" w:rsidTr="00553CD8">
        <w:trPr>
          <w:trHeight w:val="300"/>
        </w:trPr>
        <w:tc>
          <w:tcPr>
            <w:tcW w:w="8229" w:type="dxa"/>
            <w:gridSpan w:val="5"/>
            <w:vAlign w:val="bottom"/>
          </w:tcPr>
          <w:p w14:paraId="0F7954D3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25" w:type="dxa"/>
            <w:vAlign w:val="bottom"/>
          </w:tcPr>
          <w:p w14:paraId="3CB7E4D1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14:paraId="34AE9A10" w14:textId="77777777" w:rsidTr="00384CFB">
        <w:trPr>
          <w:trHeight w:val="300"/>
        </w:trPr>
        <w:tc>
          <w:tcPr>
            <w:tcW w:w="96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CA1C5B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ĐIỀU 4: CƠ CẤU VÀ PHƯƠNG THỨC HUY ĐỘNG VỐN</w:t>
            </w:r>
          </w:p>
        </w:tc>
      </w:tr>
      <w:tr w:rsidR="00553CD8" w14:paraId="0F8DC821" w14:textId="77777777" w:rsidTr="00553CD8">
        <w:trPr>
          <w:trHeight w:val="30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92AD6" w14:textId="77777777" w:rsidR="00553CD8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4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D111B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62FF2" w14:textId="77777777" w:rsidR="00553CD8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vốn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(VNĐ)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2968" w14:textId="77777777" w:rsidR="00553CD8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37A76" w14:textId="77777777" w:rsidR="00553CD8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Tỷ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553CD8" w14:paraId="124F4D9E" w14:textId="77777777" w:rsidTr="00553CD8">
        <w:trPr>
          <w:trHeight w:val="49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34380" w14:textId="77777777" w:rsidR="00553CD8" w:rsidRDefault="00553CD8" w:rsidP="00553CD8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511B" w14:textId="31498B1E" w:rsidR="00553CD8" w:rsidRP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553CD8">
              <w:rPr>
                <w:color w:val="000000" w:themeColor="text1"/>
                <w:sz w:val="24"/>
                <w:szCs w:val="24"/>
                <w:highlight w:val="yellow"/>
              </w:rPr>
              <w:t>{{founding_community_name</w:t>
            </w:r>
            <w:r>
              <w:rPr>
                <w:color w:val="000000" w:themeColor="text1"/>
                <w:sz w:val="24"/>
                <w:szCs w:val="24"/>
                <w:highlight w:val="yellow"/>
              </w:rPr>
              <w:t>_2</w:t>
            </w:r>
            <w:r w:rsidRPr="00553CD8">
              <w:rPr>
                <w:color w:val="000000" w:themeColor="text1"/>
                <w:sz w:val="24"/>
                <w:szCs w:val="24"/>
                <w:highlight w:val="yellow"/>
              </w:rPr>
              <w:t>}}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36DA" w14:textId="3F236523" w:rsidR="00553CD8" w:rsidRPr="00553CD8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553CD8">
              <w:rPr>
                <w:color w:val="000000"/>
                <w:sz w:val="24"/>
                <w:szCs w:val="24"/>
                <w:highlight w:val="yellow"/>
              </w:rPr>
              <w:t>{{asset_type_quantity_value_2}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20BF5" w14:textId="54DDECCD" w:rsidR="00553CD8" w:rsidRPr="00553CD8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553CD8">
              <w:rPr>
                <w:sz w:val="24"/>
                <w:szCs w:val="24"/>
                <w:highlight w:val="yellow"/>
              </w:rPr>
              <w:t>{{share_quantity</w:t>
            </w:r>
            <w:r w:rsidR="00117319">
              <w:rPr>
                <w:sz w:val="24"/>
                <w:szCs w:val="24"/>
                <w:highlight w:val="yellow"/>
              </w:rPr>
              <w:t>_2</w:t>
            </w:r>
            <w:r w:rsidRPr="00553CD8">
              <w:rPr>
                <w:sz w:val="24"/>
                <w:szCs w:val="24"/>
                <w:highlight w:val="yellow"/>
              </w:rPr>
              <w:t>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89C6" w14:textId="77777777" w:rsidR="00553CD8" w:rsidRPr="00DD15C4" w:rsidRDefault="00553CD8" w:rsidP="00553CD8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DD15C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……….</w:t>
            </w:r>
          </w:p>
        </w:tc>
      </w:tr>
      <w:tr w:rsidR="00553CD8" w14:paraId="237ED03F" w14:textId="77777777" w:rsidTr="00384CFB">
        <w:trPr>
          <w:trHeight w:val="300"/>
        </w:trPr>
        <w:tc>
          <w:tcPr>
            <w:tcW w:w="96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5B45DC9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ĐIỀU 5: TĂNG, GIẢM VỐN ĐIỀU LỆ</w:t>
            </w:r>
          </w:p>
        </w:tc>
      </w:tr>
      <w:tr w:rsidR="00553CD8" w14:paraId="603DEE6E" w14:textId="77777777" w:rsidTr="00384CFB">
        <w:trPr>
          <w:trHeight w:val="525"/>
        </w:trPr>
        <w:tc>
          <w:tcPr>
            <w:tcW w:w="9654" w:type="dxa"/>
            <w:gridSpan w:val="6"/>
            <w:vMerge w:val="restart"/>
            <w:vAlign w:val="bottom"/>
            <w:hideMark/>
          </w:tcPr>
          <w:p w14:paraId="5307CDD6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5.1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quyết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vốn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Công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thấy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5.2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nhuận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Công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5.3    Các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vốn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sung;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5.4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5.5   Công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vốn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6D70797C" w14:textId="77777777" w:rsidR="00553CD8" w:rsidRDefault="00553CD8" w:rsidP="00553CD8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5.5.1. Theo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vốn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tỷ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hữu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02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kể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</w:p>
          <w:p w14:paraId="0EF175B9" w14:textId="77777777" w:rsidR="00553CD8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5.5.2. Công ty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132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133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doanh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2020;</w:t>
            </w:r>
          </w:p>
        </w:tc>
      </w:tr>
      <w:tr w:rsidR="00553CD8" w14:paraId="2E3F812F" w14:textId="77777777" w:rsidTr="00384CFB">
        <w:trPr>
          <w:trHeight w:val="450"/>
        </w:trPr>
        <w:tc>
          <w:tcPr>
            <w:tcW w:w="0" w:type="auto"/>
            <w:gridSpan w:val="6"/>
            <w:vMerge/>
            <w:vAlign w:val="center"/>
            <w:hideMark/>
          </w:tcPr>
          <w:p w14:paraId="42F0E2F4" w14:textId="77777777" w:rsidR="00553CD8" w:rsidRDefault="00553CD8" w:rsidP="00553C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14:paraId="552D2D42" w14:textId="77777777" w:rsidTr="00384CFB">
        <w:trPr>
          <w:trHeight w:val="450"/>
        </w:trPr>
        <w:tc>
          <w:tcPr>
            <w:tcW w:w="0" w:type="auto"/>
            <w:gridSpan w:val="6"/>
            <w:vMerge/>
            <w:vAlign w:val="center"/>
            <w:hideMark/>
          </w:tcPr>
          <w:p w14:paraId="554BBA0B" w14:textId="77777777" w:rsidR="00553CD8" w:rsidRDefault="00553CD8" w:rsidP="00553C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14:paraId="21B7EFE2" w14:textId="77777777" w:rsidTr="00384CFB">
        <w:trPr>
          <w:trHeight w:val="450"/>
        </w:trPr>
        <w:tc>
          <w:tcPr>
            <w:tcW w:w="0" w:type="auto"/>
            <w:gridSpan w:val="6"/>
            <w:vMerge/>
            <w:vAlign w:val="center"/>
            <w:hideMark/>
          </w:tcPr>
          <w:p w14:paraId="412E2115" w14:textId="77777777" w:rsidR="00553CD8" w:rsidRDefault="00553CD8" w:rsidP="00553C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14:paraId="7C00E175" w14:textId="77777777" w:rsidTr="00384CFB">
        <w:trPr>
          <w:trHeight w:val="450"/>
        </w:trPr>
        <w:tc>
          <w:tcPr>
            <w:tcW w:w="0" w:type="auto"/>
            <w:gridSpan w:val="6"/>
            <w:vMerge/>
            <w:vAlign w:val="center"/>
            <w:hideMark/>
          </w:tcPr>
          <w:p w14:paraId="287A6EFE" w14:textId="77777777" w:rsidR="00553CD8" w:rsidRDefault="00553CD8" w:rsidP="00553C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14:paraId="5F905EAC" w14:textId="77777777" w:rsidTr="00384CFB">
        <w:trPr>
          <w:trHeight w:val="1305"/>
        </w:trPr>
        <w:tc>
          <w:tcPr>
            <w:tcW w:w="0" w:type="auto"/>
            <w:gridSpan w:val="6"/>
            <w:vMerge/>
            <w:vAlign w:val="center"/>
            <w:hideMark/>
          </w:tcPr>
          <w:p w14:paraId="48D647E1" w14:textId="77777777" w:rsidR="00553CD8" w:rsidRDefault="00553CD8" w:rsidP="00553C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53CD8" w:rsidRPr="000E5C1D" w14:paraId="78A61603" w14:textId="77777777" w:rsidTr="00384CFB">
        <w:trPr>
          <w:trHeight w:val="464"/>
        </w:trPr>
        <w:tc>
          <w:tcPr>
            <w:tcW w:w="9654" w:type="dxa"/>
            <w:gridSpan w:val="6"/>
            <w:vAlign w:val="bottom"/>
            <w:hideMark/>
          </w:tcPr>
          <w:p w14:paraId="408CE7D1" w14:textId="77777777" w:rsidR="00553CD8" w:rsidRPr="000E5C1D" w:rsidRDefault="00553CD8" w:rsidP="00553CD8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E5C1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ĐIỀU 6: CỔ ĐÔNG SÁNG LẬP CÔNG TY</w:t>
            </w:r>
          </w:p>
        </w:tc>
      </w:tr>
    </w:tbl>
    <w:p w14:paraId="16A7702C" w14:textId="77777777" w:rsidR="00384CFB" w:rsidRPr="000E5C1D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tbl>
      <w:tblPr>
        <w:tblW w:w="10838" w:type="dxa"/>
        <w:tblInd w:w="93" w:type="dxa"/>
        <w:tblLook w:val="04A0" w:firstRow="1" w:lastRow="0" w:firstColumn="1" w:lastColumn="0" w:noHBand="0" w:noVBand="1"/>
      </w:tblPr>
      <w:tblGrid>
        <w:gridCol w:w="2436"/>
        <w:gridCol w:w="4187"/>
        <w:gridCol w:w="624"/>
        <w:gridCol w:w="1269"/>
        <w:gridCol w:w="2562"/>
      </w:tblGrid>
      <w:tr w:rsidR="00384CFB" w:rsidRPr="000E5C1D" w14:paraId="1B8EFFD8" w14:textId="77777777" w:rsidTr="00553CD8">
        <w:trPr>
          <w:trHeight w:val="316"/>
        </w:trPr>
        <w:tc>
          <w:tcPr>
            <w:tcW w:w="2436" w:type="dxa"/>
            <w:noWrap/>
            <w:vAlign w:val="bottom"/>
            <w:hideMark/>
          </w:tcPr>
          <w:p w14:paraId="3086FDDC" w14:textId="77777777" w:rsidR="00384CFB" w:rsidRPr="000E5C1D" w:rsidRDefault="00384CFB">
            <w:pPr>
              <w:spacing w:after="0" w:line="288" w:lineRule="auto"/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</w:pPr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 xml:space="preserve">1. </w:t>
            </w:r>
            <w:proofErr w:type="spellStart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Họ</w:t>
            </w:r>
            <w:proofErr w:type="spellEnd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và</w:t>
            </w:r>
            <w:proofErr w:type="spellEnd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tên</w:t>
            </w:r>
            <w:proofErr w:type="spellEnd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4811" w:type="dxa"/>
            <w:gridSpan w:val="2"/>
            <w:noWrap/>
            <w:vAlign w:val="bottom"/>
            <w:hideMark/>
          </w:tcPr>
          <w:p w14:paraId="45C5AB67" w14:textId="120AB5DA" w:rsidR="00384CFB" w:rsidRPr="000E5C1D" w:rsidRDefault="000E5C1D">
            <w:p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  <w:r w:rsidRPr="00DD6FB7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{{founding_community_name</w:t>
            </w:r>
            <w:r w:rsidR="00117319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_3</w:t>
            </w:r>
            <w:r w:rsidRPr="000E5C1D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}}</w:t>
            </w:r>
          </w:p>
        </w:tc>
        <w:tc>
          <w:tcPr>
            <w:tcW w:w="1269" w:type="dxa"/>
            <w:noWrap/>
            <w:vAlign w:val="bottom"/>
            <w:hideMark/>
          </w:tcPr>
          <w:p w14:paraId="4B4D5706" w14:textId="77777777" w:rsidR="00384CFB" w:rsidRPr="000E5C1D" w:rsidRDefault="00384CFB">
            <w:pPr>
              <w:spacing w:after="0" w:line="288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</w:pPr>
            <w:proofErr w:type="spellStart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Giới</w:t>
            </w:r>
            <w:proofErr w:type="spellEnd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tính</w:t>
            </w:r>
            <w:proofErr w:type="spellEnd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2322" w:type="dxa"/>
            <w:noWrap/>
            <w:vAlign w:val="bottom"/>
            <w:hideMark/>
          </w:tcPr>
          <w:p w14:paraId="71105B64" w14:textId="7F720077" w:rsidR="00384CFB" w:rsidRPr="000E5C1D" w:rsidRDefault="000E5C1D">
            <w:pPr>
              <w:spacing w:after="0" w:line="288" w:lineRule="auto"/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</w:pPr>
            <w:r w:rsidRPr="000E5C1D">
              <w:rPr>
                <w:rFonts w:ascii="Times New Roman" w:hAnsi="Times New Roman"/>
                <w:sz w:val="24"/>
                <w:szCs w:val="24"/>
                <w:highlight w:val="yellow"/>
              </w:rPr>
              <w:t>{{</w:t>
            </w:r>
            <w:r w:rsidRPr="000E5C1D">
              <w:rPr>
                <w:sz w:val="24"/>
                <w:szCs w:val="24"/>
                <w:highlight w:val="yellow"/>
              </w:rPr>
              <w:t>founding_</w:t>
            </w:r>
            <w:r w:rsidRPr="000E5C1D">
              <w:rPr>
                <w:rFonts w:ascii="Times New Roman" w:hAnsi="Times New Roman"/>
                <w:sz w:val="24"/>
                <w:szCs w:val="24"/>
                <w:highlight w:val="yellow"/>
              </w:rPr>
              <w:t>gender</w:t>
            </w:r>
            <w:r w:rsidR="00117319">
              <w:rPr>
                <w:rFonts w:ascii="Times New Roman" w:hAnsi="Times New Roman"/>
                <w:sz w:val="24"/>
                <w:szCs w:val="24"/>
                <w:highlight w:val="yellow"/>
              </w:rPr>
              <w:t>_2</w:t>
            </w:r>
            <w:r w:rsidRPr="000E5C1D">
              <w:rPr>
                <w:rFonts w:ascii="Times New Roman" w:hAnsi="Times New Roman"/>
                <w:sz w:val="24"/>
                <w:szCs w:val="24"/>
                <w:highlight w:val="yellow"/>
              </w:rPr>
              <w:t>}}</w:t>
            </w:r>
          </w:p>
        </w:tc>
      </w:tr>
      <w:tr w:rsidR="00384CFB" w:rsidRPr="000E5C1D" w14:paraId="6DD83F83" w14:textId="77777777" w:rsidTr="00553CD8">
        <w:trPr>
          <w:gridAfter w:val="3"/>
          <w:wAfter w:w="4215" w:type="dxa"/>
          <w:trHeight w:val="300"/>
        </w:trPr>
        <w:tc>
          <w:tcPr>
            <w:tcW w:w="2436" w:type="dxa"/>
            <w:noWrap/>
            <w:vAlign w:val="center"/>
            <w:hideMark/>
          </w:tcPr>
          <w:p w14:paraId="57F9C654" w14:textId="77777777" w:rsidR="00384CFB" w:rsidRPr="000E5C1D" w:rsidRDefault="00384CFB">
            <w:pPr>
              <w:spacing w:after="0" w:line="288" w:lineRule="auto"/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</w:pPr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 xml:space="preserve">Sinh </w:t>
            </w:r>
            <w:proofErr w:type="spellStart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ngày</w:t>
            </w:r>
            <w:proofErr w:type="spellEnd"/>
            <w:r w:rsidRPr="000E5C1D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4187" w:type="dxa"/>
            <w:noWrap/>
            <w:vAlign w:val="center"/>
            <w:hideMark/>
          </w:tcPr>
          <w:p w14:paraId="243A5B96" w14:textId="403D9A01" w:rsidR="00384CFB" w:rsidRPr="000E5C1D" w:rsidRDefault="000E5C1D">
            <w:pPr>
              <w:spacing w:after="0" w:line="288" w:lineRule="auto"/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</w:pPr>
            <w:r w:rsidRPr="000E5C1D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{{</w:t>
            </w:r>
            <w:r w:rsidRPr="000E5C1D">
              <w:rPr>
                <w:bCs/>
                <w:sz w:val="24"/>
                <w:szCs w:val="24"/>
                <w:highlight w:val="yellow"/>
              </w:rPr>
              <w:t>founding_</w:t>
            </w:r>
            <w:r w:rsidRPr="000E5C1D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birth_date</w:t>
            </w:r>
            <w:r w:rsidR="00117319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_2</w:t>
            </w:r>
            <w:r w:rsidRPr="000E5C1D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}}</w:t>
            </w:r>
          </w:p>
        </w:tc>
      </w:tr>
      <w:tr w:rsidR="00384CFB" w:rsidRPr="000E5C1D" w14:paraId="3B92D357" w14:textId="77777777" w:rsidTr="00553CD8">
        <w:trPr>
          <w:gridAfter w:val="3"/>
          <w:wAfter w:w="4215" w:type="dxa"/>
          <w:trHeight w:val="300"/>
        </w:trPr>
        <w:tc>
          <w:tcPr>
            <w:tcW w:w="2436" w:type="dxa"/>
            <w:noWrap/>
            <w:vAlign w:val="bottom"/>
            <w:hideMark/>
          </w:tcPr>
          <w:p w14:paraId="1C09835F" w14:textId="77777777" w:rsidR="00384CFB" w:rsidRPr="000E5C1D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Số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định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danh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cá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nhân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4187" w:type="dxa"/>
            <w:noWrap/>
            <w:vAlign w:val="bottom"/>
            <w:hideMark/>
          </w:tcPr>
          <w:p w14:paraId="340193E0" w14:textId="63A2432B" w:rsidR="00384CFB" w:rsidRPr="000E5C1D" w:rsidRDefault="000E5C1D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DD6FB7">
              <w:rPr>
                <w:color w:val="000000" w:themeColor="text1"/>
                <w:sz w:val="24"/>
                <w:szCs w:val="24"/>
                <w:highlight w:val="yellow"/>
              </w:rPr>
              <w:t>{{</w:t>
            </w:r>
            <w:r w:rsidRPr="000E5C1D">
              <w:rPr>
                <w:color w:val="000000" w:themeColor="text1"/>
                <w:sz w:val="24"/>
                <w:szCs w:val="24"/>
                <w:highlight w:val="yellow"/>
              </w:rPr>
              <w:t>founding_</w:t>
            </w:r>
            <w:r w:rsidRPr="00DD6FB7">
              <w:rPr>
                <w:color w:val="000000" w:themeColor="text1"/>
                <w:sz w:val="24"/>
                <w:szCs w:val="24"/>
                <w:highlight w:val="yellow"/>
              </w:rPr>
              <w:t>personal_id_number</w:t>
            </w:r>
            <w:r w:rsidR="00117319">
              <w:rPr>
                <w:color w:val="000000" w:themeColor="text1"/>
                <w:sz w:val="24"/>
                <w:szCs w:val="24"/>
                <w:highlight w:val="yellow"/>
              </w:rPr>
              <w:t>_2</w:t>
            </w:r>
            <w:r w:rsidRPr="00DD6FB7">
              <w:rPr>
                <w:color w:val="000000" w:themeColor="text1"/>
                <w:sz w:val="24"/>
                <w:szCs w:val="24"/>
                <w:highlight w:val="yellow"/>
              </w:rPr>
              <w:t>}}</w:t>
            </w:r>
          </w:p>
        </w:tc>
      </w:tr>
      <w:tr w:rsidR="00384CFB" w:rsidRPr="000E5C1D" w14:paraId="3D1401B7" w14:textId="77777777" w:rsidTr="00553CD8">
        <w:trPr>
          <w:trHeight w:val="317"/>
        </w:trPr>
        <w:tc>
          <w:tcPr>
            <w:tcW w:w="2436" w:type="dxa"/>
            <w:noWrap/>
            <w:vAlign w:val="center"/>
            <w:hideMark/>
          </w:tcPr>
          <w:p w14:paraId="0AC277B7" w14:textId="77777777" w:rsidR="00384CFB" w:rsidRPr="000E5C1D" w:rsidRDefault="00384CFB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Địa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chỉ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liên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lạc</w:t>
            </w:r>
            <w:proofErr w:type="spellEnd"/>
            <w:r w:rsidRPr="000E5C1D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8402" w:type="dxa"/>
            <w:gridSpan w:val="4"/>
            <w:hideMark/>
          </w:tcPr>
          <w:p w14:paraId="6177696A" w14:textId="523CEDBC" w:rsidR="00384CFB" w:rsidRPr="000E5C1D" w:rsidRDefault="000E5C1D">
            <w:pPr>
              <w:spacing w:after="0" w:line="288" w:lineRule="auto"/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</w:pPr>
            <w:r w:rsidRPr="000E5C1D">
              <w:rPr>
                <w:rFonts w:ascii="Times New Roman" w:hAnsi="Times New Roman"/>
                <w:sz w:val="24"/>
                <w:szCs w:val="24"/>
                <w:highlight w:val="yellow"/>
                <w:lang w:val="pt-BR"/>
              </w:rPr>
              <w:t>{{</w:t>
            </w:r>
            <w:r w:rsidRPr="000E5C1D">
              <w:rPr>
                <w:sz w:val="24"/>
                <w:szCs w:val="24"/>
                <w:highlight w:val="yellow"/>
                <w:lang w:val="pt-BR"/>
              </w:rPr>
              <w:t>founding_</w:t>
            </w:r>
            <w:r w:rsidRPr="000E5C1D">
              <w:rPr>
                <w:rFonts w:ascii="Times New Roman" w:hAnsi="Times New Roman"/>
                <w:sz w:val="24"/>
                <w:szCs w:val="24"/>
                <w:highlight w:val="yellow"/>
                <w:lang w:val="pt-BR"/>
              </w:rPr>
              <w:t>address</w:t>
            </w:r>
            <w:r w:rsidR="00117319">
              <w:rPr>
                <w:rFonts w:ascii="Times New Roman" w:hAnsi="Times New Roman"/>
                <w:sz w:val="24"/>
                <w:szCs w:val="24"/>
                <w:highlight w:val="yellow"/>
                <w:lang w:val="pt-BR"/>
              </w:rPr>
              <w:t>_2</w:t>
            </w:r>
            <w:r w:rsidRPr="000E5C1D">
              <w:rPr>
                <w:rFonts w:ascii="Times New Roman" w:hAnsi="Times New Roman"/>
                <w:sz w:val="24"/>
                <w:szCs w:val="24"/>
                <w:highlight w:val="yellow"/>
                <w:lang w:val="pt-BR"/>
              </w:rPr>
              <w:t>}}</w:t>
            </w:r>
          </w:p>
        </w:tc>
      </w:tr>
    </w:tbl>
    <w:p w14:paraId="6E37ADEA" w14:textId="77777777" w:rsidR="00553CD8" w:rsidRDefault="00553CD8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1ED19456" w14:textId="4B82A66E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: Trong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90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nghiệp</w:t>
      </w:r>
      <w:proofErr w:type="spellEnd"/>
    </w:p>
    <w:p w14:paraId="693457A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133BD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7: CON DẤU DOANH NGHIỆP</w:t>
      </w:r>
    </w:p>
    <w:p w14:paraId="34EAA9D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2981E8E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7CFE8C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E225A2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(3,6 cm),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6EA9DF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01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1BA949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DE38E3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8: CÁC LOẠI CỔ PHẦN </w:t>
      </w:r>
      <w:r>
        <w:rPr>
          <w:rFonts w:ascii="Times New Roman" w:eastAsia="Times New Roman" w:hAnsi="Times New Roman"/>
          <w:b/>
          <w:sz w:val="24"/>
          <w:szCs w:val="24"/>
        </w:rPr>
        <w:tab/>
      </w:r>
    </w:p>
    <w:p w14:paraId="3DD2DB1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D2D0EA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2496EC3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CF0B68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997038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16F2B8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60E4EF6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9C1C9D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A6A160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2DADB5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11E3EB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058308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9: CỔ PHIẾU</w:t>
      </w:r>
    </w:p>
    <w:p w14:paraId="324B245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bút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7BD909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0E5FF3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213138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Mệnh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mệnh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0DFFA6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B971B2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5EF8EB0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E5C49D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116, 117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588747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sót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sót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ra.</w:t>
      </w:r>
      <w:proofErr w:type="spellEnd"/>
    </w:p>
    <w:p w14:paraId="5EE828F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B7910C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Thông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E859C3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Cam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6C63EA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E5F26C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ĐIỀU 10: SỔ ĐĂNG KÝ CỔ ĐÔNG</w:t>
      </w:r>
    </w:p>
    <w:p w14:paraId="435F4F0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 </w:t>
      </w:r>
    </w:p>
    <w:p w14:paraId="3A68666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22CB47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181309A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D66F54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1DCB74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B6FFCC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240496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74D1E2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489C1C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53DC282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11: QUYỀN CỦA CỔ ĐÔNG PHỔ THÔNG</w:t>
      </w:r>
    </w:p>
    <w:p w14:paraId="3FFCCB0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0060FE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Tham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39DFA5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E9AF15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592986D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120,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927106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Xem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AADADB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Xem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3ED2A7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Khi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4C82851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4638EB9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Xem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10B2119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11.3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A588CC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21D11A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403BBE7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F07946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0D623B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11.3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2240E1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C3CC18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1D9FF1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1CBA8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2D83D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12: NGHĨA VỤ CỦA CỔ ĐÔNG</w:t>
      </w:r>
    </w:p>
    <w:p w14:paraId="6D27E06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Thanh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DD854E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rút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rút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rút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ra.</w:t>
      </w:r>
      <w:proofErr w:type="spellEnd"/>
    </w:p>
    <w:p w14:paraId="5F3D35C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Tuân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4A45A8D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6A9F0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Bảo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E64FEA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38B395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F23C08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Tiến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chức,cá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99DFA0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Thanh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1C8E73A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13: CỔ PHẦN ƯU ĐÃI BIỂU QUYẾT VÀ QUYỀN CỦA CỔ ĐÔNG ƯU ĐÃI BIỂU QUYẾT </w:t>
      </w:r>
    </w:p>
    <w:p w14:paraId="1FF6B61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Quyền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Sau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6B4589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FB7503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68DA3D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Quyền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2D2BEE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9F36BC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14: CỔ PHẦN ƯU ĐÃI CỔ TỨC VÀ QUYỀN CỦA CỔ ĐÔNG ƯU ĐÃI CỔ TỨC</w:t>
      </w:r>
    </w:p>
    <w:p w14:paraId="0A7B924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ổn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1A7A2E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721747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97D354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3717B9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Quyền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9E724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</w:t>
      </w:r>
    </w:p>
    <w:p w14:paraId="70929FE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40E1F4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15: CỔ PHẦN ƯU ĐÃI HOÀN LẠI VÀ QUYỀN CỦA CỔ ĐÔNG ƯU ĐÃI HOÀN LẠI</w:t>
      </w:r>
    </w:p>
    <w:p w14:paraId="6CD32BC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C435F9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FB6E5B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</w:t>
      </w:r>
    </w:p>
    <w:p w14:paraId="669790C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9AAA7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16: CỔ PHẦN PHỔ THÔNG CỦA CỔ ĐÔNG SÁNG LẬP</w:t>
      </w:r>
    </w:p>
    <w:p w14:paraId="4B8B691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E4B252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3DCC01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Trong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6C2801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EB983C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E00EEF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4DD324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4DDD96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ĐIỀU 17: CHÀO BÁN VÀ CHUYỂN NHƯỢNG CỔ PHẦN</w:t>
      </w:r>
    </w:p>
    <w:p w14:paraId="3DEB276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6" w:name="dieu_122"/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bookmarkEnd w:id="6"/>
      <w:proofErr w:type="spellEnd"/>
    </w:p>
    <w:p w14:paraId="015471F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FA4E3C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3C2207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964EAF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F969A2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FA47D8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470A4C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06DF5A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</w:p>
    <w:p w14:paraId="0575EA9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17B4DA4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025A2B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EE01BA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692837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DCAD20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8E880A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3A9B86E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Sau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B93A47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</w:p>
    <w:p w14:paraId="6A191A7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018E16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58B2F2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</w:p>
    <w:p w14:paraId="379C36F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EF4A49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0A5B74C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19AA44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49CBF9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C6EB32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Bán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</w:p>
    <w:p w14:paraId="5DDB10C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82015B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1EEACE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C6C116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8E577E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636F70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7" w:name="dieu_126"/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bookmarkEnd w:id="7"/>
      <w:proofErr w:type="spellEnd"/>
    </w:p>
    <w:p w14:paraId="35B05E6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A23582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8F8F6B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121D35E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5A8AE1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332B686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351B65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h)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10CC65B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C6810D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18: TRÁI PHIẾU RIÊNG LẺ</w:t>
      </w:r>
    </w:p>
    <w:p w14:paraId="0F5A509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</w:p>
    <w:p w14:paraId="16D24D7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CF329F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79EEBF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6CF0B6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FF5D38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1.3.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4C18D3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053F57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FFB9DD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Bảo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2E2CD8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1F42D5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</w:p>
    <w:p w14:paraId="0F7BD5A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CBFE48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2.2.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8AEC16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2.3.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33E1BE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0C243F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7B53D2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</w:p>
    <w:p w14:paraId="2EF801D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B6AAA6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46183EC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Báo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B2E5BC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3.2.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C82925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34F94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19: MUA CỔ PHẦN, TRÁI PHIẾU</w:t>
      </w:r>
    </w:p>
    <w:p w14:paraId="134C2BA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C33801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EC66ED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20: MUA LẠI CỔ PHẦN THEO YÊU CẦU CỦA CỔ ĐÔNG</w:t>
      </w:r>
    </w:p>
    <w:p w14:paraId="6D97F33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95A8A8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90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18044B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0D8EFD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21: MUA LẠI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CỔ  PHẦN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THEO QUYẾT ĐỊNH CỦA CÔNG TY</w:t>
      </w:r>
    </w:p>
    <w:p w14:paraId="2D757F9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FABB89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9D452D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179E1F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BDF540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1A704C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Văn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hóặc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F6F32B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22: ĐIỀU KIỆN THANH TOÁN VÀ XỬ LÝ CÁC CỔ PHẦN ĐƯỢC MUA LẠI</w:t>
      </w:r>
    </w:p>
    <w:p w14:paraId="57F96A0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665565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mệnh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8AD887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4582C2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Sau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5A354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23: TRẢ CỔ TỨC</w:t>
      </w:r>
    </w:p>
    <w:p w14:paraId="65F334C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E3C934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ròng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4EAF49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4B630F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đắp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4C81C4C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Ngay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966FDF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F29568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FEA420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8F4DD0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4D0AD2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490DB4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43958F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71790B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E1890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F72496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123, 124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mệnh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E76120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24: THU HỒI TIỀN THANH TOÁN CỔ PHẦN MUA LẠI HOẶC CỔ TỨC</w:t>
      </w:r>
    </w:p>
    <w:p w14:paraId="029ED08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1B22B5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CHƯƠNG II:</w:t>
      </w:r>
    </w:p>
    <w:p w14:paraId="4B35D58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CƠ   CẤU TỔ CHỨC VÀ QUẢN LÝ CÔNG TY</w:t>
      </w:r>
    </w:p>
    <w:p w14:paraId="6B4E08A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25:  CƠ CẤU TỔ CHỨC QUẢN LÝ CÔNG TY CỔ PHẦN</w:t>
      </w:r>
    </w:p>
    <w:p w14:paraId="2BAF536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020453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10BB61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26: NGƯỜI ĐẠI DIỆN THEO PHÁP LUẬT CỦA CÔNG TY </w:t>
      </w:r>
    </w:p>
    <w:p w14:paraId="6955F7F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  <w:r w:rsidR="00DD15C4" w:rsidRPr="00DD15C4">
        <w:rPr>
          <w:rFonts w:ascii="Times New Roman" w:eastAsia="Times New Roman" w:hAnsi="Times New Roman"/>
          <w:sz w:val="24"/>
          <w:szCs w:val="24"/>
          <w:highlight w:val="yellow"/>
        </w:rPr>
        <w:t>……….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</w:p>
    <w:p w14:paraId="22166B9D" w14:textId="4E0F1C18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33D4F" w:rsidRPr="004C479A">
        <w:rPr>
          <w:rFonts w:ascii="Times New Roman" w:hAnsi="Times New Roman"/>
          <w:sz w:val="25"/>
          <w:szCs w:val="25"/>
          <w:highlight w:val="yellow"/>
        </w:rPr>
        <w:t>{{legal_representative_</w:t>
      </w:r>
      <w:r w:rsidR="00633D4F">
        <w:rPr>
          <w:rFonts w:ascii="Times New Roman" w:hAnsi="Times New Roman"/>
          <w:sz w:val="25"/>
          <w:szCs w:val="25"/>
          <w:highlight w:val="yellow"/>
        </w:rPr>
        <w:t>full_</w:t>
      </w:r>
      <w:r w:rsidR="00633D4F" w:rsidRPr="0016118B">
        <w:rPr>
          <w:rFonts w:ascii="Times New Roman" w:hAnsi="Times New Roman"/>
          <w:sz w:val="25"/>
          <w:szCs w:val="25"/>
          <w:highlight w:val="yellow"/>
        </w:rPr>
        <w:t>name</w:t>
      </w:r>
      <w:r w:rsidR="006A660D">
        <w:rPr>
          <w:rFonts w:ascii="Times New Roman" w:hAnsi="Times New Roman"/>
          <w:sz w:val="25"/>
          <w:szCs w:val="25"/>
          <w:highlight w:val="yellow"/>
        </w:rPr>
        <w:t>_5</w:t>
      </w:r>
      <w:r w:rsidR="00633D4F" w:rsidRPr="0016118B">
        <w:rPr>
          <w:rFonts w:ascii="Times New Roman" w:hAnsi="Times New Roman"/>
          <w:sz w:val="25"/>
          <w:szCs w:val="25"/>
          <w:highlight w:val="yellow"/>
        </w:rPr>
        <w:t>}}</w:t>
      </w:r>
    </w:p>
    <w:p w14:paraId="512B384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21BF31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Nam. Khi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54A4CC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E70D68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9E1B34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2A84E2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DCB00B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27: TRÁCH NHIỆM CỦA NGƯỜI QUẢN LÝ CÔNG TY</w:t>
      </w:r>
    </w:p>
    <w:p w14:paraId="3FE6C30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2D4131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CEDE03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nhằm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CBF0C3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Trung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844BEB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10568FB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28: CHẤP THUẬN HỢP ĐỒNG, GIAO DỊCH GIỮA CÔNG TY VỚI NGƯỜI CÓ LIÊN QUAN</w:t>
      </w:r>
    </w:p>
    <w:p w14:paraId="63D4094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875435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5A5F45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A9B983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164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</w:t>
      </w:r>
    </w:p>
    <w:p w14:paraId="6E2BD51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29BB6E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4AC41E5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0CC134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51%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00D067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</w:t>
      </w:r>
    </w:p>
    <w:p w14:paraId="5EBE552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vô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6D69DE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27478BE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48D1F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29: QUYỀN VÀ NGHĨA VỤ CỦA ĐẠI HỘI ĐỒNG CỔ ĐÔNG</w:t>
      </w:r>
    </w:p>
    <w:p w14:paraId="39AC9CE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E0BC9B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545769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Thông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24E3A99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CEEEAA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4AD548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0891621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4C6BEC8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Thông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35E0CB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A1BF87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h) Xem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0E16E6F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1FA7320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k)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C36F50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363207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CE1C9C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30: THẨM QUYỀN TRIỆU TẬP HỌP ĐẠI HỘI ĐỒNG CỔ ĐÔNG </w:t>
      </w:r>
    </w:p>
    <w:p w14:paraId="5D07A36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Nam.</w:t>
      </w:r>
    </w:p>
    <w:p w14:paraId="091374E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A79031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F7820C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5E8F796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Báo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131DE0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Báo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11EA7E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Báo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01D079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Báo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4B8F32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6564F4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82C531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77CCD1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59D57BA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DF545E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Theo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75887EE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Theo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079035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D80F21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26D4815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1730C1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5A4E47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2020.</w:t>
      </w:r>
    </w:p>
    <w:p w14:paraId="51DD95F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8.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CCE7AB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845DC5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Cung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B2237F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AC8DF9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736387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620DED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61174A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56B544B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h) Công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1A321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9.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5, 6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EFF8D3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CDA5FE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31: DANH SÁCH CỔ ĐÔNG CÓ QUYỀN DỰ HỌP ĐẠI HỘI ĐỒNG CỔ ĐÔNG </w:t>
      </w:r>
    </w:p>
    <w:p w14:paraId="709E5D0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Danh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Danh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6650C7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Danh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9C59E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</w:t>
      </w:r>
    </w:p>
    <w:p w14:paraId="22317B2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4EAD2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32: CHƯƠNG TRÌNH VÀ NỘI DUNG HỌP ĐẠI HỘI ĐỒNG CỔ ĐÔNG </w:t>
      </w:r>
    </w:p>
    <w:p w14:paraId="6854D80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9EF725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2020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202FE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7F00E3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dung;</w:t>
      </w:r>
    </w:p>
    <w:p w14:paraId="6F5EC4C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1B0BE5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4840A8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94592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33: MỜI HỌP ĐẠI HỘI ĐỒNG CỔ ĐÔNG </w:t>
      </w:r>
    </w:p>
    <w:p w14:paraId="5E2CCF8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823891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64F705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09618A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93D282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A39ECF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45355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91C5AD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D5DD4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34:  THƯC HIỆN QUYỀN DỰ HỌP ĐẠI HỘI ĐỒNG CỔ ĐÔNG  </w:t>
      </w:r>
    </w:p>
    <w:p w14:paraId="3A9680E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ADADEE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Văn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9A703D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74BFFF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Tham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9A86A7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D0A5EF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c) Tham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1E9A82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fax,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BE4E77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79181E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35: ĐIỀU KIỆN TIẾN HÀNH HỌP ĐẠI HỘI ĐỒNG CỔ ĐÔNG:</w:t>
      </w:r>
    </w:p>
    <w:p w14:paraId="44313D1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001110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33%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3F69DB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70E735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Đại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</w:t>
      </w:r>
    </w:p>
    <w:p w14:paraId="206AB67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8E74E2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36: THỂ THỨC TIẾN HÀNH HỌP VÀ BIỂU QUYẾT TẠI ĐẠI HỘI ĐỒNG CỔ ĐÔNG </w:t>
      </w:r>
    </w:p>
    <w:p w14:paraId="1CAEBE6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6CA8B9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35B1A5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90D813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624365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645630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EF4B89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D5A69C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098A08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A524B1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218274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3A7617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7525B6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D88B10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FFBCE6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2A29369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A20AA5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Phương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2343AE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8C5761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9.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A4FD14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31B8B5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37: HÌNH THỨC THÔNG QUA NGHỊ QUYẾT ĐẠI HỘI ĐỒNG CỔ ĐÔNG, ĐIỀU KIỆN ĐỂ NGHỊ QUYẾT ĐẠI HỘI ĐỒNG CỔ ĐÔNG ĐƯỢC THÔNG QUA</w:t>
      </w:r>
    </w:p>
    <w:p w14:paraId="12BD9BE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F133DE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03A448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663835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Sửa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32B2CFD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Định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10DD25A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EFA65B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1DD6F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ECD346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160F9E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e) Thông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05F4D7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532B732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</w:t>
      </w:r>
    </w:p>
    <w:p w14:paraId="44EE278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F6EC63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7B664C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Thay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lĩnh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B45D10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Thay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1071017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5A51F8B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15C0419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2.2.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2.1, 2.3, 2.4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2.6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BA0993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dồn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dồn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2B22B3A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2.4.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525A3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B5AEBC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75%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75%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A152E2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99872B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38: THẨM QUYỀN VÀ THỂ THỨC LẤY Ý KIẾN CỔ ĐÔNG BẰNG VĂN BẢN ĐỂ THÔNG QUA QUYẾT ĐỊNH CỦA ĐẠI HỘI ĐỒNG CỔ ĐÔNG </w:t>
      </w:r>
    </w:p>
    <w:p w14:paraId="4875F3E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01AD6C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50AFA0A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143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7CB2542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053F65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01E909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F9CFB8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469E5E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qua;</w:t>
      </w:r>
    </w:p>
    <w:p w14:paraId="2DA6690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Phương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417E04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304AAA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512FFB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fax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24E7DFE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E86618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fax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458A7D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fax,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82B289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AC0E1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49D915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BDEAAD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84D2FA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42A1E5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EDBC9E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0DE516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BE5C11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482EA0E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3FDF5AD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6ACC84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8CA51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39: BIÊN BẢN HỌP ĐẠI HỘI ĐỒNG CỔ ĐÔNG </w:t>
      </w:r>
    </w:p>
    <w:p w14:paraId="77A60D8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8624B1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DE770D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2DFFC5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5E1279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9B9BC3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575EEA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8508B3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4FA09C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h)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755419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CC1860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73FD4D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6D4560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AF621C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F7B1FF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118641E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669B792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583FAD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40: YÊU CẦU HỦY BỎ QUYẾT ĐỊNH CỦA ĐẠI HỘI ĐỒNG CỔ ĐÔNG </w:t>
      </w:r>
    </w:p>
    <w:p w14:paraId="633B58A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90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6C6032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2574816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195452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5689CE5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BEBBA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41: HỘI ĐỒNG QUẢN TRỊ </w:t>
      </w:r>
    </w:p>
    <w:p w14:paraId="5331A9E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34F80E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C10AEB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70AFD3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BA202C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1522CD8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8F212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45F6AD7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236A0DE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6A3C53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3D26DB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h) Thông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35%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138,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167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7AC87E1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89A2C6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k)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4DA6ECA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con,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7D165D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73B974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42874C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F14261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03073F7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81A87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CD3003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42: NHIỆM KỲ VÀ SỐ LƯỢNG THÀNH VIÊN HỘI ĐỒNG QUẢN TRỊ </w:t>
      </w:r>
    </w:p>
    <w:p w14:paraId="05BB1F3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6A9121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F26D98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074420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714BCB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43: TIÊU CHUẨN VÀ ĐIỀU KIỆN LÀM THÀNH VIÊN HỘI ĐỒNG QUẢN TRỊ </w:t>
      </w:r>
    </w:p>
    <w:p w14:paraId="619778B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.1.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AFFCB7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122D882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lĩnh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7CCCD3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6E934F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88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BA1789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.2.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C9C0DA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9C5710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68CEDF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5791AB7E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6CD24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01%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0BCC791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E4D314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.3.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268622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44: CHỦ TỊCH HỘI ĐỒNG QUẢN TRỊ </w:t>
      </w:r>
    </w:p>
    <w:p w14:paraId="698A91E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40CA1B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3A5A06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40894D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84215A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A46827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E06CE7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62A910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A0A9A9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Khi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Thư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3D8DBD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177547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9F07FB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2A60A6E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8F0162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D8ECA6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45:  CUỘC HỌP HỘI ĐỒNG QUẢN TRỊ </w:t>
      </w:r>
    </w:p>
    <w:p w14:paraId="39F6E0E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F1DD1F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60C830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90AF03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3AE5DE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3560ED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783008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7B71E8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71A9CF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305C3D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fax,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F36195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97623F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44DEDE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CAD965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9.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A6D10A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Tham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5256F8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833533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Tham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40D783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fax,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3CAD2F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10.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70D266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11.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E8705E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CF92E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46: BIÊN BẢN HỌP HỘI ĐỒNG QUẢN TRỊ</w:t>
      </w:r>
    </w:p>
    <w:p w14:paraId="5E7F930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1.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F3990D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E76ABF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9B052C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C65C9D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do;</w:t>
      </w:r>
    </w:p>
    <w:p w14:paraId="57FDBDA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C61D3D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008919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3C6D17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D5F444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ACB6DD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a, b, c, d, đ, e, 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942FD9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A088F1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4566F08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Việt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92720B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47:  QUYỀN ĐƯỢC CUNG CẤP THÔNG TIN CỦA THÀNH VIÊN HỘI ĐỒNG QUẢN TRỊ</w:t>
      </w:r>
    </w:p>
    <w:p w14:paraId="0D1F285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F5B178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64A256E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48:  MIỄN NHIỆM, BÃI NHIỆM VÀ BỔ SUNG THÀNH VIÊN HỘI ĐỒNG QUẢN TRỊ </w:t>
      </w:r>
    </w:p>
    <w:p w14:paraId="42EDCDF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804417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16507B4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8960EB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FC0282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9D027B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3. Khi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18FA9D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F7440B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9E3F74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137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1993868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B9C303F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1F3C6D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49: TỔNG GIÁM ĐỐC CÔNG TY</w:t>
      </w:r>
    </w:p>
    <w:p w14:paraId="4020EE4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A627D3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F69F21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E78E05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E42C20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21AFD6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079523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69538EA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4594568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6C7C21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86EF3A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385558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D30224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 Quyền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A9F8A4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lastRenderedPageBreak/>
        <w:t>ty.</w:t>
      </w:r>
    </w:p>
    <w:p w14:paraId="7589B8F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50:  BAN KIỂM SOÁT, TIÊU CHUẨN VÀ ĐIỀU KIỆN LÀM THÀNH VIÊN BAN KIỂM SOÁT, QUYỀN VÀ NHIỆN VỤ CỦA BAN KIỂM SOÁT, MIỄN NHIỆM, BÃI NHIỆM BAN KIỂM SOÁT </w:t>
      </w:r>
    </w:p>
    <w:p w14:paraId="3F8A95E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</w:p>
    <w:p w14:paraId="42A5B09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1.1.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974330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1.2.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Quyền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ở Việt Nam.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9D6406D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7267D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1.3.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F079A6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8" w:name="dieu_164"/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bookmarkEnd w:id="8"/>
      <w:proofErr w:type="spellEnd"/>
    </w:p>
    <w:p w14:paraId="31BBF4D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2AD445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C2260D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cha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cha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DEAFA2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A8B1A9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587A85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052B04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9" w:name="dieu_165"/>
      <w:r>
        <w:rPr>
          <w:rFonts w:ascii="Times New Roman" w:eastAsia="Times New Roman" w:hAnsi="Times New Roman"/>
          <w:sz w:val="24"/>
          <w:szCs w:val="24"/>
        </w:rPr>
        <w:t xml:space="preserve">3. Quyền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bookmarkEnd w:id="9"/>
      <w:proofErr w:type="spellEnd"/>
    </w:p>
    <w:p w14:paraId="2F41928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3.1.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19DF1F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3589D2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9917D6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rủi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7D85433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3.5. Xem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2020  .</w:t>
      </w:r>
      <w:proofErr w:type="gramEnd"/>
    </w:p>
    <w:p w14:paraId="7C70157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3.6. Khi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Trong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2F46A4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259EA70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3.7.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527A5AA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3.8. Khi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165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2020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AF5CCA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3.9.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2BA18A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3.10.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84FEE7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3.11.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7D4A5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3.12.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A99D20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0" w:name="dieu_166"/>
      <w:r>
        <w:rPr>
          <w:rFonts w:ascii="Times New Roman" w:eastAsia="Times New Roman" w:hAnsi="Times New Roman"/>
          <w:sz w:val="24"/>
          <w:szCs w:val="24"/>
        </w:rPr>
        <w:t xml:space="preserve">4. Quyền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bookmarkEnd w:id="10"/>
      <w:proofErr w:type="spellEnd"/>
    </w:p>
    <w:p w14:paraId="7A1B626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4.1. Thông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79C1AF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4.2.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AC312B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4.3. Báo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8B24EB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B82F14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</w:t>
      </w:r>
      <w:bookmarkStart w:id="11" w:name="dieu_168"/>
      <w:r>
        <w:rPr>
          <w:rFonts w:ascii="Times New Roman" w:eastAsia="Times New Roman" w:hAnsi="Times New Roman"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96F74E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bookmarkEnd w:id="11"/>
      <w:proofErr w:type="spellEnd"/>
    </w:p>
    <w:p w14:paraId="63E3C33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5.1. Tuân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3C4E8E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nhằm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2427AA2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5.3. Trung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0B86C6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5.4.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5E2335A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5.5.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1, 2, 3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07CF4FF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5.6.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73C9FD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2" w:name="dieu_169"/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bookmarkEnd w:id="12"/>
      <w:proofErr w:type="spellEnd"/>
    </w:p>
    <w:p w14:paraId="2BCBAE8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FF435B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169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16BD3C7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4C587A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8F21D7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B61F5C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81F14C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2020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3B6C302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Theo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080A55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5475B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CHƯƠNG III</w:t>
      </w:r>
    </w:p>
    <w:p w14:paraId="1D33D4C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CĂN CỨ, PHƯƠNG PHÁP XÁC ĐỊNH THÙ LAO, TIỀN LƯƠNG VÀ THƯỞNG CHO NGƯỜI QUẢN LÝ VÀ KIỂM SOÁT VIÊN</w:t>
      </w:r>
    </w:p>
    <w:p w14:paraId="6876A91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B41A62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51: THÙ LAO, TIỀN LƯƠNG VÀ LỢI ÍCH KHÁC CỦA THÀNH VIÊN HỘI ĐỒNG QUẢN TRỊ, TỔNG GIÁM ĐỐC</w:t>
      </w:r>
    </w:p>
    <w:p w14:paraId="10910FD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819C93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048B3C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a)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0256B4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ở,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6914D0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F45ADC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F294746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A00C1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13" w:name="dieu_167"/>
      <w:r>
        <w:rPr>
          <w:rFonts w:ascii="Times New Roman" w:eastAsia="Times New Roman" w:hAnsi="Times New Roman"/>
          <w:b/>
          <w:sz w:val="24"/>
          <w:szCs w:val="24"/>
        </w:rPr>
        <w:t>ĐIỀU 52. TIỀN LƯƠNG VÀ LỢI ÍCH KHÁC CỦA KIỂM SOÁT VIÊN</w:t>
      </w:r>
      <w:bookmarkEnd w:id="13"/>
    </w:p>
    <w:p w14:paraId="5FFCA90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AECF66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FB612E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ở,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70106C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3D6EFEA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53: CÔNG KHAI CÁC LỢI ÍCH LIÊN QUAN</w:t>
      </w:r>
    </w:p>
    <w:p w14:paraId="662C232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464CC0B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23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098A25D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3DB730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4D8313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54E5509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C50A3F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3CB00E8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492A475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Danh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760040A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2BC40C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ty;</w:t>
      </w:r>
    </w:p>
    <w:p w14:paraId="0B0DAF2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Thành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</w:t>
      </w:r>
    </w:p>
    <w:p w14:paraId="2704CF4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CHƯƠNG IV</w:t>
      </w:r>
    </w:p>
    <w:p w14:paraId="7E91718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TÀI CHÍNH</w:t>
      </w:r>
    </w:p>
    <w:p w14:paraId="2CBE7F8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54: THỂ LỆ QUYẾT TOÁN.</w:t>
      </w:r>
    </w:p>
    <w:p w14:paraId="232F815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31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Trong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90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Tóm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080AC0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54A42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55: LẬP QUỸ</w:t>
      </w:r>
    </w:p>
    <w:p w14:paraId="312AE9C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Hằng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65831B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+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5%</w:t>
      </w:r>
    </w:p>
    <w:p w14:paraId="1077337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+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phúc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5%</w:t>
      </w:r>
    </w:p>
    <w:p w14:paraId="47FD04E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+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10%</w:t>
      </w:r>
    </w:p>
    <w:p w14:paraId="50B150F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+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thưởng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5%</w:t>
      </w:r>
    </w:p>
    <w:p w14:paraId="3D7B8E5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56: PHÂN CHIA LỢI NHUẬN VÀ XỬ LÝ LỖ TRONG KINH DOANH</w:t>
      </w:r>
    </w:p>
    <w:p w14:paraId="4810501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Công ty chia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đắp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ty. Ngay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4DD237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Nguyên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tắc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2A6BDBD" w14:textId="77777777" w:rsidR="00384CFB" w:rsidRDefault="00384CFB" w:rsidP="00384CFB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1C9BAE6" w14:textId="77777777" w:rsidR="00384CFB" w:rsidRDefault="00384CFB" w:rsidP="00384CFB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313EF15" w14:textId="77777777" w:rsidR="00384CFB" w:rsidRDefault="00384CFB" w:rsidP="00384CFB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nhuận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0EC7D74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lỗ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39A0EF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83DDE1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bookmarkStart w:id="14" w:name="_TOC174499202"/>
      <w:bookmarkStart w:id="15" w:name="_TOC133493864"/>
      <w:r>
        <w:rPr>
          <w:rFonts w:ascii="Times New Roman" w:eastAsia="Times New Roman" w:hAnsi="Times New Roman"/>
          <w:b/>
          <w:sz w:val="24"/>
          <w:szCs w:val="24"/>
        </w:rPr>
        <w:t xml:space="preserve">CHƯƠNG </w:t>
      </w:r>
      <w:bookmarkEnd w:id="14"/>
      <w:r>
        <w:rPr>
          <w:rFonts w:ascii="Times New Roman" w:eastAsia="Times New Roman" w:hAnsi="Times New Roman"/>
          <w:b/>
          <w:sz w:val="24"/>
          <w:szCs w:val="24"/>
        </w:rPr>
        <w:t>V</w:t>
      </w:r>
    </w:p>
    <w:p w14:paraId="287E24E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bookmarkStart w:id="16" w:name="_Toc174499203"/>
      <w:r>
        <w:rPr>
          <w:rFonts w:ascii="Times New Roman" w:eastAsia="Times New Roman" w:hAnsi="Times New Roman"/>
          <w:b/>
          <w:sz w:val="24"/>
          <w:szCs w:val="24"/>
        </w:rPr>
        <w:t>GIẢI QUYẾT TRANH CHẤP NỘI BỘ</w:t>
      </w:r>
      <w:bookmarkEnd w:id="15"/>
      <w:bookmarkEnd w:id="16"/>
    </w:p>
    <w:p w14:paraId="0A5B424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17" w:name="_TOC174499204"/>
      <w:bookmarkStart w:id="18" w:name="_TOC133493865"/>
      <w:r>
        <w:rPr>
          <w:rFonts w:ascii="Times New Roman" w:eastAsia="Times New Roman" w:hAnsi="Times New Roman"/>
          <w:b/>
          <w:sz w:val="24"/>
          <w:szCs w:val="24"/>
        </w:rPr>
        <w:t>ĐIỀU 57: GIẢI QUYẾT TRANH CHẤP NỘI BỘ</w:t>
      </w:r>
      <w:bookmarkEnd w:id="17"/>
      <w:bookmarkEnd w:id="18"/>
    </w:p>
    <w:p w14:paraId="6A0AA81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Công ty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 </w:t>
      </w:r>
    </w:p>
    <w:p w14:paraId="35E01FD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Công ty; </w:t>
      </w:r>
    </w:p>
    <w:p w14:paraId="7232B45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cỏn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</w:p>
    <w:p w14:paraId="1E3CD4F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gắng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tiễn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 </w:t>
      </w:r>
    </w:p>
    <w:p w14:paraId="1EC277C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sáu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579A65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Các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mình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Các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6EE64E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A1552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CHƯƠNG VI</w:t>
      </w:r>
    </w:p>
    <w:p w14:paraId="424C4FD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KHOẢN CUỐI CÙNG</w:t>
      </w:r>
    </w:p>
    <w:p w14:paraId="04A0F947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E87D56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ĐIỀU 58: CÁC TRƯỜNG HỢP VÀ ĐIỀU KIỆN GIẢI THỂ DOANH NGHIỆP </w:t>
      </w:r>
    </w:p>
    <w:p w14:paraId="2C12F4F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6E4C56B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Theo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1A759B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Công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C28793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7BE5F3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D577D1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Doanh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0677F3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59: TRÌNH TỰ, THỦ TỤC GIẢI THỂ DOANH NGHIỆP</w:t>
      </w:r>
    </w:p>
    <w:p w14:paraId="6D89241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a, 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413B194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Thông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1346A06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78350F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Lý do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3C55E7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5C582B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Phương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534D35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69C8C2B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2EBA261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Trong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654EDDE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Trường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Phương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336347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01888D4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6E9FDB8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5B630A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Các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9761F4F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5. Sau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039BF7F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1845F2D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E440DC7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60: CÁC HOẠT ĐỘNG BỊ CẤM KỂ TỪ KHI CÓ QUYẾT ĐỊNH GIẢI THỂ</w:t>
      </w:r>
    </w:p>
    <w:p w14:paraId="33D1494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EF44B2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CF32F3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bớt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đòi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86839E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7182782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5479E0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đ)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1787093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;</w:t>
      </w:r>
    </w:p>
    <w:p w14:paraId="3278D760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g) Huy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0EB3C4A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B74C87C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3C2294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61: PHÁ SẢN DOANH NGHIỆP</w:t>
      </w:r>
    </w:p>
    <w:p w14:paraId="40073FF6" w14:textId="77777777" w:rsidR="00E97DD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712DA30C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ĐIỀU 62: ĐIỀU KHOẢN CUỐI CÙNG</w:t>
      </w:r>
    </w:p>
    <w:p w14:paraId="7ED4E5A9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qua;</w:t>
      </w:r>
    </w:p>
    <w:p w14:paraId="487B9096" w14:textId="77777777" w:rsidR="00097DD0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62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</w:t>
      </w:r>
      <w:r w:rsidR="00097DD0">
        <w:rPr>
          <w:rFonts w:ascii="Times New Roman" w:eastAsia="Times New Roman" w:hAnsi="Times New Roman"/>
          <w:sz w:val="24"/>
          <w:szCs w:val="24"/>
        </w:rPr>
        <w:t>hứng</w:t>
      </w:r>
      <w:proofErr w:type="spellEnd"/>
      <w:r w:rsidR="00097D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7DD0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="00097D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7DD0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097D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7DD0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097D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7DD0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097D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7DD0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097DD0">
        <w:rPr>
          <w:rFonts w:ascii="Times New Roman" w:eastAsia="Times New Roman" w:hAnsi="Times New Roman"/>
          <w:sz w:val="24"/>
          <w:szCs w:val="24"/>
        </w:rPr>
        <w:t>.</w:t>
      </w:r>
    </w:p>
    <w:p w14:paraId="47669EA3" w14:textId="77777777" w:rsidR="00E97DDB" w:rsidRDefault="00E97DD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6E0AC6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CHỮ KÝ CỦA CÁC CỔ ĐÔNG SÁNG LẬP</w:t>
      </w:r>
    </w:p>
    <w:tbl>
      <w:tblPr>
        <w:tblStyle w:val="TableGrid"/>
        <w:tblW w:w="3225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</w:tblGrid>
      <w:tr w:rsidR="004749BE" w14:paraId="564B6548" w14:textId="77777777" w:rsidTr="004749BE">
        <w:tc>
          <w:tcPr>
            <w:tcW w:w="3225" w:type="dxa"/>
            <w:vAlign w:val="bottom"/>
          </w:tcPr>
          <w:p w14:paraId="424C9D55" w14:textId="77777777" w:rsidR="004749BE" w:rsidRDefault="004749BE" w:rsidP="00DD15C4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7E3E84BD" w14:textId="77777777" w:rsidR="004749BE" w:rsidRDefault="004749BE" w:rsidP="00DD15C4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  <w:p w14:paraId="6E0ACB7A" w14:textId="77777777" w:rsidR="004749BE" w:rsidRDefault="004749BE" w:rsidP="00A71672">
            <w:pPr>
              <w:widowControl w:val="0"/>
              <w:autoSpaceDE w:val="0"/>
              <w:autoSpaceDN w:val="0"/>
              <w:spacing w:after="0" w:line="288" w:lineRule="auto"/>
              <w:ind w:right="113"/>
              <w:rPr>
                <w:b/>
                <w:bCs/>
                <w:color w:val="000000" w:themeColor="text1"/>
                <w:sz w:val="22"/>
                <w:highlight w:val="yellow"/>
              </w:rPr>
            </w:pPr>
          </w:p>
          <w:p w14:paraId="696D40B4" w14:textId="77777777" w:rsidR="004749BE" w:rsidRDefault="004749BE" w:rsidP="00A71672">
            <w:pPr>
              <w:widowControl w:val="0"/>
              <w:autoSpaceDE w:val="0"/>
              <w:autoSpaceDN w:val="0"/>
              <w:spacing w:after="0" w:line="288" w:lineRule="auto"/>
              <w:ind w:right="113"/>
              <w:rPr>
                <w:b/>
                <w:bCs/>
                <w:color w:val="000000" w:themeColor="text1"/>
                <w:sz w:val="22"/>
                <w:highlight w:val="yellow"/>
              </w:rPr>
            </w:pPr>
          </w:p>
          <w:p w14:paraId="141F8AFE" w14:textId="77777777" w:rsidR="004749BE" w:rsidRDefault="004749BE" w:rsidP="00A71672">
            <w:pPr>
              <w:widowControl w:val="0"/>
              <w:autoSpaceDE w:val="0"/>
              <w:autoSpaceDN w:val="0"/>
              <w:spacing w:after="0" w:line="288" w:lineRule="auto"/>
              <w:ind w:right="113"/>
              <w:rPr>
                <w:b/>
                <w:bCs/>
                <w:color w:val="000000" w:themeColor="text1"/>
                <w:sz w:val="22"/>
                <w:highlight w:val="yellow"/>
              </w:rPr>
            </w:pPr>
          </w:p>
          <w:p w14:paraId="3F7C59D6" w14:textId="1F5828BD" w:rsidR="004749BE" w:rsidRPr="00DD6FB7" w:rsidRDefault="004749BE" w:rsidP="00A71672">
            <w:pPr>
              <w:widowControl w:val="0"/>
              <w:autoSpaceDE w:val="0"/>
              <w:autoSpaceDN w:val="0"/>
              <w:spacing w:after="0" w:line="288" w:lineRule="auto"/>
              <w:ind w:right="113"/>
              <w:rPr>
                <w:b/>
                <w:bCs/>
                <w:color w:val="000000" w:themeColor="text1"/>
                <w:sz w:val="22"/>
                <w:highlight w:val="yellow"/>
              </w:rPr>
            </w:pPr>
            <w:r w:rsidRPr="00DD6FB7">
              <w:rPr>
                <w:b/>
                <w:bCs/>
                <w:color w:val="000000" w:themeColor="text1"/>
                <w:sz w:val="22"/>
                <w:highlight w:val="yellow"/>
              </w:rPr>
              <w:t>{{</w:t>
            </w:r>
            <w:proofErr w:type="spellStart"/>
            <w:r w:rsidRPr="00DD6FB7">
              <w:rPr>
                <w:b/>
                <w:bCs/>
                <w:color w:val="000000" w:themeColor="text1"/>
                <w:sz w:val="22"/>
                <w:highlight w:val="yellow"/>
              </w:rPr>
              <w:t>founding_community_name</w:t>
            </w:r>
            <w:proofErr w:type="spellEnd"/>
            <w:r w:rsidRPr="00DD6FB7">
              <w:rPr>
                <w:b/>
                <w:bCs/>
                <w:color w:val="000000" w:themeColor="text1"/>
                <w:sz w:val="22"/>
                <w:highlight w:val="yellow"/>
              </w:rPr>
              <w:t>}}</w:t>
            </w:r>
          </w:p>
          <w:p w14:paraId="3441E4EC" w14:textId="24BB4615" w:rsidR="004749BE" w:rsidRPr="00DD15C4" w:rsidRDefault="004749BE" w:rsidP="00DD15C4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25796CAD" w14:textId="77777777" w:rsidR="00384CFB" w:rsidRPr="00352E3F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E4AE371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vi-VN"/>
        </w:rPr>
        <w:t xml:space="preserve">CHỮ KÝ </w:t>
      </w:r>
      <w:r>
        <w:rPr>
          <w:rFonts w:ascii="Times New Roman" w:eastAsia="Times New Roman" w:hAnsi="Times New Roman"/>
          <w:b/>
          <w:bCs/>
          <w:sz w:val="24"/>
          <w:szCs w:val="24"/>
          <w:lang w:val="vi-VN"/>
        </w:rPr>
        <w:t>NGƯỜI ĐẠI DIỆN THEO PHÁP LUẬT</w:t>
      </w:r>
    </w:p>
    <w:p w14:paraId="5A044189" w14:textId="77777777" w:rsidR="00384CFB" w:rsidRPr="00DD15C4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  <w:highlight w:val="yellow"/>
        </w:rPr>
      </w:pPr>
    </w:p>
    <w:p w14:paraId="70531CA7" w14:textId="77777777" w:rsidR="00384CFB" w:rsidRPr="00DD15C4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  <w:highlight w:val="yellow"/>
        </w:rPr>
      </w:pPr>
    </w:p>
    <w:p w14:paraId="3F7F247C" w14:textId="77777777" w:rsidR="00097DD0" w:rsidRPr="00DD15C4" w:rsidRDefault="00097DD0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  <w:highlight w:val="yellow"/>
        </w:rPr>
      </w:pPr>
    </w:p>
    <w:p w14:paraId="0BA77F98" w14:textId="77777777" w:rsidR="00097DD0" w:rsidRPr="00DD15C4" w:rsidRDefault="00097DD0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  <w:highlight w:val="yellow"/>
        </w:rPr>
      </w:pPr>
    </w:p>
    <w:p w14:paraId="33D695D4" w14:textId="77777777" w:rsidR="00097DD0" w:rsidRPr="00DD15C4" w:rsidRDefault="00097DD0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  <w:highlight w:val="yellow"/>
        </w:rPr>
      </w:pPr>
    </w:p>
    <w:p w14:paraId="4A3EB4EA" w14:textId="77777777" w:rsidR="00097DD0" w:rsidRPr="00DD15C4" w:rsidRDefault="00097DD0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  <w:highlight w:val="yellow"/>
        </w:rPr>
      </w:pPr>
    </w:p>
    <w:p w14:paraId="7BFA7AC8" w14:textId="39ABE423" w:rsidR="00097DD0" w:rsidRDefault="00A71672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E74423">
        <w:rPr>
          <w:rFonts w:ascii="Times New Roman" w:hAnsi="Times New Roman"/>
          <w:highlight w:val="yellow"/>
        </w:rPr>
        <w:t>{{legal_representative_full_name</w:t>
      </w:r>
      <w:r w:rsidR="00117319">
        <w:rPr>
          <w:rFonts w:ascii="Times New Roman" w:hAnsi="Times New Roman"/>
          <w:highlight w:val="yellow"/>
        </w:rPr>
        <w:t>_3</w:t>
      </w:r>
      <w:r w:rsidRPr="00E74423">
        <w:rPr>
          <w:rFonts w:ascii="Times New Roman" w:hAnsi="Times New Roman"/>
          <w:highlight w:val="yellow"/>
        </w:rPr>
        <w:t>}</w:t>
      </w:r>
      <w:proofErr w:type="gramStart"/>
      <w:r w:rsidRPr="00E74423">
        <w:rPr>
          <w:rFonts w:ascii="Times New Roman" w:hAnsi="Times New Roman"/>
          <w:highlight w:val="yellow"/>
        </w:rPr>
        <w:t>}</w:t>
      </w:r>
      <w:r w:rsidRPr="00E74423">
        <w:rPr>
          <w:highlight w:val="yellow"/>
        </w:rPr>
        <w:t>.upper</w:t>
      </w:r>
      <w:proofErr w:type="gramEnd"/>
      <w:r w:rsidRPr="00E74423">
        <w:rPr>
          <w:highlight w:val="yellow"/>
        </w:rPr>
        <w:t>()</w:t>
      </w:r>
    </w:p>
    <w:p w14:paraId="5345554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5E539C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5E5FE26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4353F1DD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6728102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rPr>
          <w:rFonts w:ascii="Times New Roman" w:eastAsia="Times New Roman" w:hAnsi="Times New Roman"/>
          <w:b/>
          <w:sz w:val="24"/>
          <w:szCs w:val="24"/>
          <w:lang w:val="vi-VN"/>
        </w:rPr>
      </w:pPr>
    </w:p>
    <w:p w14:paraId="71CBD56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rPr>
          <w:rFonts w:ascii="Times New Roman" w:eastAsia="Times New Roman" w:hAnsi="Times New Roman"/>
          <w:b/>
          <w:sz w:val="24"/>
          <w:szCs w:val="24"/>
          <w:lang w:val="vi-VN"/>
        </w:rPr>
      </w:pPr>
    </w:p>
    <w:p w14:paraId="33C6F303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rPr>
          <w:rFonts w:ascii="Times New Roman" w:eastAsia="Times New Roman" w:hAnsi="Times New Roman"/>
          <w:b/>
          <w:sz w:val="24"/>
          <w:szCs w:val="24"/>
          <w:lang w:val="vi-VN"/>
        </w:rPr>
      </w:pPr>
    </w:p>
    <w:p w14:paraId="72659A38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rPr>
          <w:rFonts w:ascii="Times New Roman" w:eastAsia="Times New Roman" w:hAnsi="Times New Roman"/>
          <w:b/>
          <w:sz w:val="24"/>
          <w:szCs w:val="24"/>
          <w:lang w:val="vi-VN"/>
        </w:rPr>
      </w:pPr>
    </w:p>
    <w:p w14:paraId="3EDA5845" w14:textId="77777777" w:rsidR="00384CFB" w:rsidRDefault="00384CFB" w:rsidP="00384CFB">
      <w:pPr>
        <w:widowControl w:val="0"/>
        <w:tabs>
          <w:tab w:val="left" w:pos="851"/>
          <w:tab w:val="left" w:pos="5245"/>
        </w:tabs>
        <w:spacing w:after="0" w:line="288" w:lineRule="auto"/>
        <w:rPr>
          <w:rFonts w:ascii="Times New Roman" w:eastAsia="Times New Roman" w:hAnsi="Times New Roman"/>
          <w:b/>
          <w:sz w:val="24"/>
          <w:szCs w:val="24"/>
          <w:lang w:val="vi-VN"/>
        </w:rPr>
      </w:pPr>
    </w:p>
    <w:p w14:paraId="597927B5" w14:textId="77777777" w:rsidR="00CF6A57" w:rsidRDefault="00CF6A57"/>
    <w:sectPr w:rsidR="00CF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BBDA7" w14:textId="77777777" w:rsidR="00174A1F" w:rsidRDefault="00174A1F" w:rsidP="00A71672">
      <w:pPr>
        <w:spacing w:after="0" w:line="240" w:lineRule="auto"/>
      </w:pPr>
      <w:r>
        <w:separator/>
      </w:r>
    </w:p>
  </w:endnote>
  <w:endnote w:type="continuationSeparator" w:id="0">
    <w:p w14:paraId="2FF4EE9C" w14:textId="77777777" w:rsidR="00174A1F" w:rsidRDefault="00174A1F" w:rsidP="00A7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0B356" w14:textId="77777777" w:rsidR="00174A1F" w:rsidRDefault="00174A1F" w:rsidP="00A71672">
      <w:pPr>
        <w:spacing w:after="0" w:line="240" w:lineRule="auto"/>
      </w:pPr>
      <w:r>
        <w:separator/>
      </w:r>
    </w:p>
  </w:footnote>
  <w:footnote w:type="continuationSeparator" w:id="0">
    <w:p w14:paraId="67C57C1C" w14:textId="77777777" w:rsidR="00174A1F" w:rsidRDefault="00174A1F" w:rsidP="00A71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96A"/>
    <w:multiLevelType w:val="multilevel"/>
    <w:tmpl w:val="00FB496A"/>
    <w:lvl w:ilvl="0">
      <w:start w:val="225"/>
      <w:numFmt w:val="decimal"/>
      <w:pStyle w:val="Da"/>
      <w:lvlText w:val="Đ3fáp án 3.2.%b."/>
      <w:lvlJc w:val="left"/>
      <w:pPr>
        <w:tabs>
          <w:tab w:val="num" w:pos="-1384"/>
        </w:tabs>
        <w:ind w:left="0" w:firstLine="0"/>
      </w:pPr>
      <w:rPr>
        <w:rFonts w:ascii="Times New Roman" w:hAnsi="Times New Roman" w:cs="Times New Roman" w:hint="default"/>
        <w:b/>
        <w:i w:val="0"/>
        <w:sz w:val="28"/>
        <w:u w:val="single"/>
      </w:rPr>
    </w:lvl>
    <w:lvl w:ilvl="1">
      <w:start w:val="1"/>
      <w:numFmt w:val="lowerLetter"/>
      <w:lvlText w:val="%2."/>
      <w:lvlJc w:val="left"/>
      <w:pPr>
        <w:tabs>
          <w:tab w:val="num" w:pos="-1744"/>
        </w:tabs>
        <w:ind w:left="-174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-1024"/>
        </w:tabs>
        <w:ind w:left="-102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-304"/>
        </w:tabs>
        <w:ind w:left="-30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"/>
        </w:tabs>
        <w:ind w:left="41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1136"/>
        </w:tabs>
        <w:ind w:left="113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1856"/>
        </w:tabs>
        <w:ind w:left="185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76"/>
        </w:tabs>
        <w:ind w:left="257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296"/>
        </w:tabs>
        <w:ind w:left="3296" w:hanging="180"/>
      </w:pPr>
      <w:rPr>
        <w:rFonts w:cs="Times New Roman"/>
      </w:rPr>
    </w:lvl>
  </w:abstractNum>
  <w:abstractNum w:abstractNumId="1" w15:restartNumberingAfterBreak="0">
    <w:nsid w:val="02F061C5"/>
    <w:multiLevelType w:val="multilevel"/>
    <w:tmpl w:val="02F061C5"/>
    <w:lvl w:ilvl="0">
      <w:start w:val="1"/>
      <w:numFmt w:val="decimal"/>
      <w:pStyle w:val="Dieu"/>
      <w:lvlText w:val="Đ3fiề%df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decimal"/>
      <w:pStyle w:val="dieu1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230"/>
        </w:tabs>
        <w:ind w:left="223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cs="Times New Roman"/>
      </w:rPr>
    </w:lvl>
  </w:abstractNum>
  <w:abstractNum w:abstractNumId="2" w15:restartNumberingAfterBreak="0">
    <w:nsid w:val="108E5D74"/>
    <w:multiLevelType w:val="multilevel"/>
    <w:tmpl w:val="108E5D74"/>
    <w:lvl w:ilvl="0">
      <w:start w:val="4"/>
      <w:numFmt w:val="decimal"/>
      <w:pStyle w:val="Style1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decimalZero"/>
      <w:lvlText w:val="%1.%2.%3"/>
      <w:lvlJc w:val="left"/>
      <w:pPr>
        <w:tabs>
          <w:tab w:val="num" w:pos="4460"/>
        </w:tabs>
        <w:ind w:left="44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6330"/>
        </w:tabs>
        <w:ind w:left="6330" w:hanging="720"/>
      </w:pPr>
      <w:rPr>
        <w:rFonts w:cs="Times New Roman"/>
      </w:rPr>
    </w:lvl>
    <w:lvl w:ilvl="4">
      <w:start w:val="1"/>
      <w:numFmt w:val="decimal"/>
      <w:lvlText w:val="%Ѡ%˟%1%Ѡ%Ѡ"/>
      <w:lvlJc w:val="left"/>
      <w:pPr>
        <w:tabs>
          <w:tab w:val="num" w:pos="8560"/>
        </w:tabs>
        <w:ind w:left="85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430"/>
        </w:tabs>
        <w:ind w:left="10430" w:hanging="1080"/>
      </w:pPr>
      <w:rPr>
        <w:rFonts w:cs="Times New Roman"/>
      </w:rPr>
    </w:lvl>
    <w:lvl w:ilvl="6">
      <w:start w:val="1"/>
      <w:numFmt w:val="decimal"/>
      <w:lvlText w:val="%˟%Ѡ%Ѡ%1%˟%Ѡ"/>
      <w:lvlJc w:val="left"/>
      <w:pPr>
        <w:tabs>
          <w:tab w:val="num" w:pos="12660"/>
        </w:tabs>
        <w:ind w:left="126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530"/>
        </w:tabs>
        <w:ind w:left="1453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6760"/>
        </w:tabs>
        <w:ind w:left="16760" w:hanging="1800"/>
      </w:pPr>
      <w:rPr>
        <w:rFonts w:cs="Times New Roman"/>
      </w:rPr>
    </w:lvl>
  </w:abstractNum>
  <w:abstractNum w:abstractNumId="3" w15:restartNumberingAfterBreak="0">
    <w:nsid w:val="25753765"/>
    <w:multiLevelType w:val="singleLevel"/>
    <w:tmpl w:val="25753765"/>
    <w:lvl w:ilvl="0">
      <w:numFmt w:val="bullet"/>
      <w:pStyle w:val="nganhnghe"/>
      <w:lvlText w:val="-"/>
      <w:lvlJc w:val="left"/>
      <w:pPr>
        <w:tabs>
          <w:tab w:val="num" w:pos="927"/>
        </w:tabs>
        <w:ind w:left="284" w:firstLine="283"/>
      </w:pPr>
      <w:rPr>
        <w:rFonts w:ascii="Arial" w:hAnsi="Arial" w:cs="Times New Roman" w:hint="default"/>
      </w:rPr>
    </w:lvl>
  </w:abstractNum>
  <w:abstractNum w:abstractNumId="4" w15:restartNumberingAfterBreak="0">
    <w:nsid w:val="37100E2D"/>
    <w:multiLevelType w:val="hybridMultilevel"/>
    <w:tmpl w:val="D1DC8EB8"/>
    <w:lvl w:ilvl="0" w:tplc="C494F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20402"/>
    <w:multiLevelType w:val="multilevel"/>
    <w:tmpl w:val="65C2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9485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101808">
    <w:abstractNumId w:val="3"/>
  </w:num>
  <w:num w:numId="3" w16cid:durableId="1128939906">
    <w:abstractNumId w:val="0"/>
    <w:lvlOverride w:ilvl="0">
      <w:startOverride w:val="2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081634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62996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8671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FB"/>
    <w:rsid w:val="00097DD0"/>
    <w:rsid w:val="000D5FE3"/>
    <w:rsid w:val="000E5C1D"/>
    <w:rsid w:val="00117319"/>
    <w:rsid w:val="00174A1F"/>
    <w:rsid w:val="00183A98"/>
    <w:rsid w:val="00234514"/>
    <w:rsid w:val="00237244"/>
    <w:rsid w:val="002A5F80"/>
    <w:rsid w:val="002C0DB9"/>
    <w:rsid w:val="00352E3F"/>
    <w:rsid w:val="00384CFB"/>
    <w:rsid w:val="004749BE"/>
    <w:rsid w:val="004C01E5"/>
    <w:rsid w:val="004C2FEB"/>
    <w:rsid w:val="00553CD8"/>
    <w:rsid w:val="00633D4F"/>
    <w:rsid w:val="006A660D"/>
    <w:rsid w:val="008A70BD"/>
    <w:rsid w:val="008E0D6E"/>
    <w:rsid w:val="00A71672"/>
    <w:rsid w:val="00B05878"/>
    <w:rsid w:val="00BF4B6F"/>
    <w:rsid w:val="00CD34B7"/>
    <w:rsid w:val="00CF6A57"/>
    <w:rsid w:val="00DD15C4"/>
    <w:rsid w:val="00E97DDB"/>
    <w:rsid w:val="00E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9633"/>
  <w15:chartTrackingRefBased/>
  <w15:docId w15:val="{8CD99980-59F1-4377-9C81-C3BCC37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F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84CFB"/>
    <w:pPr>
      <w:keepNext/>
      <w:widowControl w:val="0"/>
      <w:tabs>
        <w:tab w:val="left" w:pos="7380"/>
      </w:tabs>
      <w:spacing w:after="120" w:line="312" w:lineRule="auto"/>
      <w:ind w:right="-360"/>
      <w:jc w:val="center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84CFB"/>
    <w:pPr>
      <w:keepNext/>
      <w:widowControl w:val="0"/>
      <w:tabs>
        <w:tab w:val="left" w:pos="720"/>
        <w:tab w:val="left" w:pos="7380"/>
      </w:tabs>
      <w:spacing w:after="12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84CFB"/>
    <w:pPr>
      <w:keepNext/>
      <w:widowControl w:val="0"/>
      <w:spacing w:after="120" w:line="240" w:lineRule="auto"/>
      <w:jc w:val="center"/>
      <w:outlineLvl w:val="2"/>
    </w:pPr>
    <w:rPr>
      <w:rFonts w:ascii="Times New Roman" w:eastAsia="Times New Roman" w:hAnsi="Times New Roman"/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84CFB"/>
    <w:pPr>
      <w:keepNext/>
      <w:widowControl w:val="0"/>
      <w:spacing w:after="120" w:line="240" w:lineRule="auto"/>
      <w:jc w:val="center"/>
      <w:outlineLvl w:val="3"/>
    </w:pPr>
    <w:rPr>
      <w:rFonts w:ascii="Times New Roman" w:eastAsia="Times New Roman" w:hAnsi="Times New Roman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84CFB"/>
    <w:pPr>
      <w:keepNext/>
      <w:widowControl w:val="0"/>
      <w:tabs>
        <w:tab w:val="left" w:pos="7380"/>
      </w:tabs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6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84CFB"/>
    <w:pPr>
      <w:keepNext/>
      <w:widowControl w:val="0"/>
      <w:spacing w:after="120" w:line="240" w:lineRule="auto"/>
      <w:jc w:val="both"/>
      <w:outlineLvl w:val="5"/>
    </w:pPr>
    <w:rPr>
      <w:rFonts w:ascii="Times New Roman" w:eastAsia="Times New Roman" w:hAnsi="Times New Roman"/>
      <w:b/>
      <w:sz w:val="26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84CFB"/>
    <w:pPr>
      <w:keepNext/>
      <w:widowControl w:val="0"/>
      <w:spacing w:after="120" w:line="240" w:lineRule="auto"/>
      <w:jc w:val="center"/>
      <w:outlineLvl w:val="6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384CFB"/>
    <w:pPr>
      <w:keepNext/>
      <w:widowControl w:val="0"/>
      <w:tabs>
        <w:tab w:val="left" w:pos="935"/>
      </w:tabs>
      <w:spacing w:after="0" w:line="240" w:lineRule="auto"/>
      <w:jc w:val="center"/>
      <w:outlineLvl w:val="7"/>
    </w:pPr>
    <w:rPr>
      <w:rFonts w:ascii="Times New Roman" w:eastAsia="Times New Roman" w:hAnsi="Times New Roman"/>
      <w:color w:val="FFFFFF"/>
      <w:sz w:val="28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384CFB"/>
    <w:pPr>
      <w:keepNext/>
      <w:widowControl w:val="0"/>
      <w:spacing w:after="0" w:line="240" w:lineRule="auto"/>
      <w:jc w:val="center"/>
      <w:outlineLvl w:val="8"/>
    </w:pPr>
    <w:rPr>
      <w:rFonts w:ascii="Times New Roman" w:eastAsia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CF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384CF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84CFB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84CFB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84CFB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84CFB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84CF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84CFB"/>
    <w:rPr>
      <w:rFonts w:ascii="Times New Roman" w:eastAsia="Times New Roman" w:hAnsi="Times New Roman" w:cs="Times New Roman"/>
      <w:color w:val="FFFFFF"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84CFB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uiPriority w:val="99"/>
    <w:unhideWhenUsed/>
    <w:rsid w:val="00384CF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CF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C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4C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C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CFB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4CFB"/>
    <w:pPr>
      <w:widowControl w:val="0"/>
      <w:tabs>
        <w:tab w:val="center" w:pos="4320"/>
        <w:tab w:val="right" w:pos="8640"/>
      </w:tabs>
      <w:spacing w:after="12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4CF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84CFB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4CFB"/>
    <w:rPr>
      <w:rFonts w:ascii="Times New Roman" w:eastAsia="Times New Roman" w:hAnsi="Times New Roman" w:cs="Times New Roman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384CFB"/>
    <w:pPr>
      <w:widowControl w:val="0"/>
      <w:tabs>
        <w:tab w:val="left" w:pos="7380"/>
      </w:tabs>
      <w:spacing w:after="120" w:line="240" w:lineRule="auto"/>
      <w:jc w:val="center"/>
    </w:pPr>
    <w:rPr>
      <w:rFonts w:ascii="Times New Roman" w:eastAsia="Times New Roman" w:hAnsi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384CF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384CFB"/>
    <w:pPr>
      <w:widowControl w:val="0"/>
      <w:spacing w:after="120" w:line="240" w:lineRule="auto"/>
      <w:jc w:val="both"/>
    </w:pPr>
    <w:rPr>
      <w:rFonts w:ascii="Times New Roman" w:eastAsia="Times New Roman" w:hAnsi="Times New Roman"/>
      <w:bCs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4CFB"/>
    <w:rPr>
      <w:rFonts w:ascii="Times New Roman" w:eastAsia="Times New Roman" w:hAnsi="Times New Roman" w:cs="Times New Roman"/>
      <w:bCs/>
      <w:i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4CFB"/>
    <w:pPr>
      <w:spacing w:before="120" w:after="0" w:line="240" w:lineRule="auto"/>
      <w:ind w:left="600" w:hanging="60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4CFB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4CFB"/>
    <w:pPr>
      <w:tabs>
        <w:tab w:val="left" w:pos="73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4CFB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84CFB"/>
    <w:pPr>
      <w:widowControl w:val="0"/>
      <w:tabs>
        <w:tab w:val="left" w:pos="7380"/>
      </w:tabs>
      <w:spacing w:after="120" w:line="360" w:lineRule="auto"/>
      <w:jc w:val="center"/>
    </w:pPr>
    <w:rPr>
      <w:rFonts w:ascii="Times New Roman" w:eastAsia="Times New Roman" w:hAnsi="Times New Roman"/>
      <w:sz w:val="48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4CFB"/>
    <w:rPr>
      <w:rFonts w:ascii="Times New Roman" w:eastAsia="Times New Roman" w:hAnsi="Times New Roman" w:cs="Times New Roman"/>
      <w:sz w:val="48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4CFB"/>
    <w:pPr>
      <w:widowControl w:val="0"/>
      <w:spacing w:after="120" w:line="240" w:lineRule="auto"/>
      <w:ind w:left="833" w:hanging="329"/>
      <w:jc w:val="both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4CFB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4CFB"/>
    <w:pPr>
      <w:widowControl w:val="0"/>
      <w:spacing w:after="0" w:line="240" w:lineRule="auto"/>
      <w:ind w:left="567"/>
      <w:jc w:val="both"/>
    </w:pPr>
    <w:rPr>
      <w:rFonts w:ascii="Times New Roman" w:eastAsia="Times New Roman" w:hAnsi="Times New Roman"/>
      <w:sz w:val="25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4CFB"/>
    <w:rPr>
      <w:rFonts w:ascii="Times New Roman" w:eastAsia="Times New Roman" w:hAnsi="Times New Roman" w:cs="Times New Roman"/>
      <w:sz w:val="25"/>
      <w:szCs w:val="20"/>
    </w:rPr>
  </w:style>
  <w:style w:type="paragraph" w:styleId="BlockText">
    <w:name w:val="Block Text"/>
    <w:basedOn w:val="Normal"/>
    <w:uiPriority w:val="99"/>
    <w:semiHidden/>
    <w:unhideWhenUsed/>
    <w:rsid w:val="00384CFB"/>
    <w:pPr>
      <w:tabs>
        <w:tab w:val="left" w:pos="-168"/>
      </w:tabs>
      <w:spacing w:after="0" w:line="240" w:lineRule="auto"/>
      <w:ind w:left="-28" w:right="-178" w:hanging="140"/>
      <w:jc w:val="center"/>
    </w:pPr>
    <w:rPr>
      <w:rFonts w:ascii="Times New Roman" w:eastAsia="Times New Roman" w:hAnsi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CFB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CFB"/>
    <w:pPr>
      <w:spacing w:before="60"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F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CFB"/>
    <w:pPr>
      <w:ind w:left="720"/>
      <w:contextualSpacing/>
    </w:pPr>
  </w:style>
  <w:style w:type="paragraph" w:customStyle="1" w:styleId="Dieu">
    <w:name w:val="Dieu"/>
    <w:basedOn w:val="Normal"/>
    <w:uiPriority w:val="99"/>
    <w:rsid w:val="00384CFB"/>
    <w:pPr>
      <w:keepLines/>
      <w:widowControl w:val="0"/>
      <w:numPr>
        <w:numId w:val="1"/>
      </w:numPr>
      <w:tabs>
        <w:tab w:val="left" w:pos="1080"/>
        <w:tab w:val="left" w:pos="7380"/>
      </w:tabs>
      <w:spacing w:after="0" w:line="240" w:lineRule="auto"/>
      <w:jc w:val="both"/>
    </w:pPr>
    <w:rPr>
      <w:rFonts w:ascii="Times New Roman" w:eastAsia="Times New Roman" w:hAnsi="Times New Roman"/>
      <w:b/>
      <w:i/>
      <w:sz w:val="26"/>
      <w:szCs w:val="20"/>
    </w:rPr>
  </w:style>
  <w:style w:type="paragraph" w:customStyle="1" w:styleId="dieu1">
    <w:name w:val="dieu 1"/>
    <w:basedOn w:val="Normal"/>
    <w:next w:val="Normal"/>
    <w:uiPriority w:val="99"/>
    <w:rsid w:val="00384CFB"/>
    <w:pPr>
      <w:widowControl w:val="0"/>
      <w:numPr>
        <w:ilvl w:val="1"/>
        <w:numId w:val="1"/>
      </w:numPr>
      <w:tabs>
        <w:tab w:val="left" w:pos="567"/>
      </w:tabs>
      <w:spacing w:after="12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paragraph" w:customStyle="1" w:styleId="dieu2">
    <w:name w:val="dieu 2"/>
    <w:basedOn w:val="dieu1"/>
    <w:uiPriority w:val="99"/>
    <w:rsid w:val="00384CFB"/>
    <w:pPr>
      <w:widowControl/>
      <w:numPr>
        <w:ilvl w:val="0"/>
        <w:numId w:val="0"/>
      </w:numPr>
      <w:tabs>
        <w:tab w:val="clear" w:pos="567"/>
      </w:tabs>
      <w:spacing w:after="0"/>
      <w:ind w:left="561" w:hanging="561"/>
    </w:pPr>
    <w:rPr>
      <w:szCs w:val="24"/>
    </w:rPr>
  </w:style>
  <w:style w:type="paragraph" w:customStyle="1" w:styleId="nganhnghe">
    <w:name w:val="nganh nghe"/>
    <w:basedOn w:val="Normal"/>
    <w:uiPriority w:val="99"/>
    <w:rsid w:val="00384CFB"/>
    <w:pPr>
      <w:widowControl w:val="0"/>
      <w:numPr>
        <w:numId w:val="2"/>
      </w:numPr>
      <w:spacing w:after="60" w:line="240" w:lineRule="auto"/>
      <w:ind w:left="851" w:hanging="567"/>
      <w:jc w:val="both"/>
    </w:pPr>
    <w:rPr>
      <w:rFonts w:ascii="Times New Roman" w:eastAsia="Times New Roman" w:hAnsi="Times New Roman"/>
      <w:b/>
      <w:i/>
      <w:sz w:val="24"/>
      <w:szCs w:val="20"/>
    </w:rPr>
  </w:style>
  <w:style w:type="paragraph" w:customStyle="1" w:styleId="Da">
    <w:name w:val="Da"/>
    <w:uiPriority w:val="99"/>
    <w:rsid w:val="00384CFB"/>
    <w:pPr>
      <w:numPr>
        <w:numId w:val="3"/>
      </w:numPr>
      <w:tabs>
        <w:tab w:val="left" w:pos="1800"/>
      </w:tabs>
      <w:spacing w:after="0" w:line="360" w:lineRule="auto"/>
    </w:pPr>
    <w:rPr>
      <w:rFonts w:ascii="Times New Roman" w:eastAsia="Times New Roman" w:hAnsi="Times New Roman" w:cs="Times New Roman"/>
      <w:b/>
      <w:sz w:val="26"/>
      <w:szCs w:val="20"/>
      <w:u w:val="single"/>
    </w:rPr>
  </w:style>
  <w:style w:type="paragraph" w:customStyle="1" w:styleId="Than">
    <w:name w:val="Than"/>
    <w:basedOn w:val="Normal"/>
    <w:uiPriority w:val="99"/>
    <w:rsid w:val="00384CFB"/>
    <w:pPr>
      <w:spacing w:before="120" w:after="0" w:line="240" w:lineRule="auto"/>
      <w:ind w:firstLine="567"/>
      <w:jc w:val="both"/>
    </w:pPr>
    <w:rPr>
      <w:rFonts w:ascii="PdTime" w:eastAsia="Times New Roman" w:hAnsi="PdTime"/>
      <w:sz w:val="24"/>
      <w:szCs w:val="20"/>
      <w:lang w:val="en-GB"/>
    </w:rPr>
  </w:style>
  <w:style w:type="paragraph" w:customStyle="1" w:styleId="Default">
    <w:name w:val="Default"/>
    <w:uiPriority w:val="99"/>
    <w:rsid w:val="00384CFB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harCharCharCharCharCharCharCharChar">
    <w:name w:val="Char Char Char Char Char Char Char Char Char"/>
    <w:basedOn w:val="Normal"/>
    <w:uiPriority w:val="99"/>
    <w:semiHidden/>
    <w:rsid w:val="00384CFB"/>
    <w:pPr>
      <w:spacing w:after="160" w:line="240" w:lineRule="exact"/>
    </w:pPr>
    <w:rPr>
      <w:rFonts w:ascii="Arial" w:eastAsia="Times New Roman" w:hAnsi="Arial" w:cs="Arial"/>
    </w:rPr>
  </w:style>
  <w:style w:type="paragraph" w:customStyle="1" w:styleId="CM40">
    <w:name w:val="CM40"/>
    <w:basedOn w:val="Normal"/>
    <w:next w:val="BodyText"/>
    <w:uiPriority w:val="99"/>
    <w:rsid w:val="00384CF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1Char">
    <w:name w:val="1 Char"/>
    <w:basedOn w:val="Normal"/>
    <w:uiPriority w:val="99"/>
    <w:rsid w:val="00384CFB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yle1">
    <w:name w:val="Style1"/>
    <w:basedOn w:val="Normal"/>
    <w:uiPriority w:val="99"/>
    <w:rsid w:val="00384CFB"/>
    <w:pPr>
      <w:numPr>
        <w:numId w:val="4"/>
      </w:numPr>
      <w:tabs>
        <w:tab w:val="left" w:pos="360"/>
      </w:tabs>
      <w:spacing w:before="60" w:after="0" w:line="240" w:lineRule="auto"/>
      <w:jc w:val="both"/>
    </w:pPr>
    <w:rPr>
      <w:rFonts w:ascii=".VnTime" w:eastAsia="Times New Roman" w:hAnsi=".VnTime"/>
      <w:sz w:val="24"/>
      <w:szCs w:val="20"/>
    </w:rPr>
  </w:style>
  <w:style w:type="paragraph" w:customStyle="1" w:styleId="TableParagraph">
    <w:name w:val="Table Paragraph"/>
    <w:basedOn w:val="Normal"/>
    <w:uiPriority w:val="1"/>
    <w:qFormat/>
    <w:rsid w:val="00384C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customStyle="1" w:styleId="wwrowfilter">
    <w:name w:val="wwrowfilter"/>
    <w:basedOn w:val="Normal"/>
    <w:uiPriority w:val="99"/>
    <w:rsid w:val="00384C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84CFB"/>
    <w:rPr>
      <w:sz w:val="16"/>
      <w:szCs w:val="16"/>
    </w:rPr>
  </w:style>
  <w:style w:type="character" w:styleId="PageNumber">
    <w:name w:val="page number"/>
    <w:semiHidden/>
    <w:unhideWhenUsed/>
    <w:rsid w:val="00384CFB"/>
    <w:rPr>
      <w:rFonts w:ascii="Times New Roman" w:hAnsi="Times New Roman" w:cs="Times New Roman" w:hint="default"/>
    </w:rPr>
  </w:style>
  <w:style w:type="character" w:customStyle="1" w:styleId="dieuChar">
    <w:name w:val="dieu Char"/>
    <w:rsid w:val="00384CFB"/>
    <w:rPr>
      <w:rFonts w:ascii="Times New Roman" w:hAnsi="Times New Roman" w:cs="Times New Roman" w:hint="default"/>
      <w:b/>
      <w:bCs w:val="0"/>
      <w:color w:val="0000FF"/>
      <w:sz w:val="26"/>
      <w:lang w:val="en-US" w:eastAsia="en-US" w:bidi="ar-SA"/>
    </w:rPr>
  </w:style>
  <w:style w:type="character" w:customStyle="1" w:styleId="normal1">
    <w:name w:val="normal1"/>
    <w:rsid w:val="00384CFB"/>
    <w:rPr>
      <w:rFonts w:ascii="Arial" w:hAnsi="Arial" w:cs="Arial" w:hint="default"/>
      <w:sz w:val="18"/>
      <w:szCs w:val="18"/>
    </w:rPr>
  </w:style>
  <w:style w:type="character" w:customStyle="1" w:styleId="UnresolvedMention1">
    <w:name w:val="Unresolved Mention1"/>
    <w:uiPriority w:val="99"/>
    <w:semiHidden/>
    <w:rsid w:val="00384CFB"/>
    <w:rPr>
      <w:color w:val="605E5C"/>
      <w:shd w:val="clear" w:color="auto" w:fill="E1DFDD"/>
    </w:rPr>
  </w:style>
  <w:style w:type="character" w:customStyle="1" w:styleId="viewinput">
    <w:name w:val="viewinput"/>
    <w:rsid w:val="00384CFB"/>
  </w:style>
  <w:style w:type="character" w:customStyle="1" w:styleId="y2iqfc">
    <w:name w:val="y2iqfc"/>
    <w:rsid w:val="00384CFB"/>
  </w:style>
  <w:style w:type="table" w:styleId="TableGrid">
    <w:name w:val="Table Grid"/>
    <w:basedOn w:val="TableNormal"/>
    <w:uiPriority w:val="39"/>
    <w:rsid w:val="0038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41</Pages>
  <Words>15754</Words>
  <Characters>89798</Characters>
  <Application>Microsoft Office Word</Application>
  <DocSecurity>0</DocSecurity>
  <Lines>748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Huu Vuong</cp:lastModifiedBy>
  <cp:revision>20</cp:revision>
  <cp:lastPrinted>2025-08-21T09:53:00Z</cp:lastPrinted>
  <dcterms:created xsi:type="dcterms:W3CDTF">2025-08-11T08:18:00Z</dcterms:created>
  <dcterms:modified xsi:type="dcterms:W3CDTF">2025-09-22T04:22:00Z</dcterms:modified>
</cp:coreProperties>
</file>