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TNI AKHIRNYA BUKA SUARA. "TANYA POLRI APA MEREKA KEBERATAN KEWENANGANNYA DIAMBIL"</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https://www.youtube.com/watch?v=6oTuZra-_xg</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 Overview</w:t>
      </w:r>
    </w:p>
    <w:p>
      <w:pPr>
        <w:spacing w:after="60"/>
      </w:pPr>
      <w:r>
        <w:rPr>
          <w:rFonts w:ascii="Arial" w:cs="Arial" w:eastAsia="Arial" w:hAnsi="Arial"/>
          <w:sz w:val="22"/>
          <w:szCs w:val="22"/>
        </w:rPr>
        <w:t xml:space="preserve">This video features a discussion between host Akbar Faisal and TNI (Indonesian National Armed Forces) spokesperson Major General Kris Tomesianturi regarding the TNI's involvement in civilian roles and the public's perception of potential remilitarization. The core of the discussion revolves around clarifying that the TNI's current involvement is based on requests from civilian ministries and institutions, not an expansion of its own authority. It also addresses concerns about the military justice system and the TNI's commitment to its role within a democratic framework.</w:t>
      </w:r>
    </w:p>
    <w:p>
      <w:pPr>
        <w:spacing w:after="60"/>
      </w:pPr>
      <w:r>
        <w:rPr>
          <w:rFonts w:ascii="Arial" w:cs="Arial" w:eastAsia="Arial" w:hAnsi="Arial"/>
          <w:sz w:val="22"/>
          <w:szCs w:val="22"/>
        </w:rPr>
        <w:t xml:space="preserve">### Key Highlights</w:t>
      </w:r>
    </w:p>
    <w:p>
      <w:pPr>
        <w:spacing w:after="60"/>
      </w:pPr>
      <w:r>
        <w:rPr>
          <w:rFonts w:ascii="Arial" w:cs="Arial" w:eastAsia="Arial" w:hAnsi="Arial"/>
          <w:sz w:val="22"/>
          <w:szCs w:val="22"/>
        </w:rPr>
        <w:t xml:space="preserve">The conversation aims to address public concerns and civil society criticisms about the TNI's expanding role, particularly its involvement in civilian sectors and the perception of a return to a more dominant military presence. Major General Kris Tomesianturi emphasizes that the TNI is not seeking to broaden its authority but is responding to requests for assistance from various ministries and agencies that require military support to fulfill their duties. He cites numerous Memoranda of Understanding (MoUs) and legal frameworks, including the TNI Law, as the basis for this assistance. The discussion highlights the importance of clear communication to prevent misperceptions and reiterates the TNI's adherence to its vision of being professional, responsive, integrative, modern, and adaptive.</w:t>
      </w:r>
    </w:p>
    <w:p>
      <w:pPr>
        <w:spacing w:after="60"/>
      </w:pPr>
      <w:r>
        <w:rPr>
          <w:rFonts w:ascii="Arial" w:cs="Arial" w:eastAsia="Arial" w:hAnsi="Arial"/>
          <w:sz w:val="22"/>
          <w:szCs w:val="22"/>
        </w:rPr>
        <w:t xml:space="preserve">A significant portion of the dialogue focuses on the legal basis and public perception surrounding the TNI's involvement with institutions like the Attorney General's Office. Major General Tomesianturi explains that the cooperation with the Attorney General's Office, for instance, is based on MoUs dating back to 2018 and updated subsequently, referencing legal provisions that permit TNI assistance in specific contexts, such as protecting national vital objects or aiding local government functions. He clarifies that the TNI acts upon these requests and operates within the framework of existing laws, including the TNI Law and the Attorney General's Office Law. The discussion also touches upon the military justice system, with Major General Tomesianturi asserting its seriousness and capability, citing examples of severe sentences for corruption within the military justice system, and arguing that legislative changes, not the TNI's actions, would be necessary if a shift to the general judiciary were mandated.</w:t>
      </w:r>
    </w:p>
    <w:p>
      <w:pPr>
        <w:spacing w:after="60"/>
      </w:pPr>
      <w:r>
        <w:rPr>
          <w:rFonts w:ascii="Arial" w:cs="Arial" w:eastAsia="Arial" w:hAnsi="Arial"/>
          <w:sz w:val="22"/>
          <w:szCs w:val="22"/>
        </w:rPr>
        <w:t xml:space="preserve">### Implications</w:t>
      </w:r>
    </w:p>
    <w:p>
      <w:pPr>
        <w:spacing w:after="60"/>
      </w:pPr>
      <w:r>
        <w:rPr>
          <w:rFonts w:ascii="Arial" w:cs="Arial" w:eastAsia="Arial" w:hAnsi="Arial"/>
          <w:sz w:val="22"/>
          <w:szCs w:val="22"/>
        </w:rPr>
        <w:t xml:space="preserve">The discussion is crucial for managing public perception regarding the TNI's role in Indonesian society. It attempts to reassure civil society and the public that the TNI is committed to its constitutional mandate and is acting within legal frameworks, rather than overstepping into civilian domains. The emphasis on communication and adherence to democratic principles is vital for maintaining trust and preventing anxieties about potential remilitarization.</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political commentator and former member of the Indonesian House of Representatives (DPR).</w:t>
      </w:r>
    </w:p>
    <w:p>
      <w:pPr>
        <w:spacing w:after="60"/>
      </w:pPr>
      <w:r>
        <w:rPr>
          <w:rFonts w:ascii="Arial" w:cs="Arial" w:eastAsia="Arial" w:hAnsi="Arial"/>
          <w:sz w:val="22"/>
          <w:szCs w:val="22"/>
        </w:rPr>
        <w:t xml:space="preserve">*   **Major General Kris Tomesianturi:** Spokesperson for the TNI (Tentara Nasional Indonesia - Indonesian National Armed Forces).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Clarification on TNI's Role:** The TNI spokesperson clarifies that the military is not expanding its authority but is asked to assist. He dismisses fears of remilitarization as excessive, stating that the TNI itself knows its current needs best.</w:t>
      </w:r>
    </w:p>
    <w:p>
      <w:pPr>
        <w:spacing w:after="60"/>
      </w:pPr>
      <w:r>
        <w:rPr>
          <w:rFonts w:ascii="Arial" w:cs="Arial" w:eastAsia="Arial" w:hAnsi="Arial"/>
          <w:sz w:val="22"/>
          <w:szCs w:val="22"/>
        </w:rPr>
        <w:t xml:space="preserve">*   **[01:00] Positive Environment for State Institutions:** The TNI official notes a positive environment where civil society is active and state institutions, including the TNI, are seeking their best form of service. He expresses confidence in the TNI's maturity and willingness to discuss issues.</w:t>
      </w:r>
    </w:p>
    <w:p>
      <w:pPr>
        <w:spacing w:after="60"/>
      </w:pPr>
      <w:r>
        <w:rPr>
          <w:rFonts w:ascii="Arial" w:cs="Arial" w:eastAsia="Arial" w:hAnsi="Arial"/>
          <w:sz w:val="22"/>
          <w:szCs w:val="22"/>
        </w:rPr>
        <w:t xml:space="preserve">*   **[01:30] TNI's Openness to Dialogue:** Akbar Faisal praises the TNI's willingness to engage in dialogue, citing the presence of the TNI Information Center Head (Kapuspen TNI), Major General Kris Tomesianturi, as a positive development compared to the past.</w:t>
      </w:r>
    </w:p>
    <w:p>
      <w:pPr>
        <w:spacing w:after="60"/>
      </w:pPr>
      <w:r>
        <w:rPr>
          <w:rFonts w:ascii="Arial" w:cs="Arial" w:eastAsia="Arial" w:hAnsi="Arial"/>
          <w:sz w:val="22"/>
          <w:szCs w:val="22"/>
        </w:rPr>
        <w:t xml:space="preserve">*   **[02:33] Addressing Civil Society Concerns:** Tomesianturi acknowledges that civil society concerns about the TNI's expanding role are valid and emphasizes the need for clear communication to avoid misperceptions, citing a former superior's saying, "God knows everything, but humans need to be informed."</w:t>
      </w:r>
    </w:p>
    <w:p>
      <w:pPr>
        <w:spacing w:after="60"/>
      </w:pPr>
      <w:r>
        <w:rPr>
          <w:rFonts w:ascii="Arial" w:cs="Arial" w:eastAsia="Arial" w:hAnsi="Arial"/>
          <w:sz w:val="22"/>
          <w:szCs w:val="22"/>
        </w:rPr>
        <w:t xml:space="preserve">*   **[03:03] TNI's Readiness to Answer:** As the TNI spokesperson, Tomesianturi states his readiness to answer public doubts and questions, urging against a priori assumptions or misperceptions.</w:t>
      </w:r>
    </w:p>
    <w:p>
      <w:pPr>
        <w:spacing w:after="60"/>
      </w:pPr>
      <w:r>
        <w:rPr>
          <w:rFonts w:ascii="Arial" w:cs="Arial" w:eastAsia="Arial" w:hAnsi="Arial"/>
          <w:sz w:val="22"/>
          <w:szCs w:val="22"/>
        </w:rPr>
        <w:t xml:space="preserve">*   **[04:04] TNI's Vision:** The discussion links the TNI's actions to the vision of the Commander-in-Chief: Prima (Professional, Responsive, Integrative, Modern, and Adaptive).</w:t>
      </w:r>
    </w:p>
    <w:p>
      <w:pPr>
        <w:spacing w:after="60"/>
      </w:pPr>
      <w:r>
        <w:rPr>
          <w:rFonts w:ascii="Arial" w:cs="Arial" w:eastAsia="Arial" w:hAnsi="Arial"/>
          <w:sz w:val="22"/>
          <w:szCs w:val="22"/>
        </w:rPr>
        <w:t xml:space="preserve">*   **[04:34] Civil Society's Grievance on TNI's Expanded Role:** A key concern raised is the perception that the TNI is suddenly taking on a very broad role. While acknowledging a legal basis likely exists, a need for explanation is expressed.</w:t>
      </w:r>
    </w:p>
    <w:p>
      <w:pPr>
        <w:spacing w:after="60"/>
      </w:pPr>
      <w:r>
        <w:rPr>
          <w:rFonts w:ascii="Arial" w:cs="Arial" w:eastAsia="Arial" w:hAnsi="Arial"/>
          <w:sz w:val="22"/>
          <w:szCs w:val="22"/>
        </w:rPr>
        <w:t xml:space="preserve">*   **[05:08] Legal Basis and Appointments:** The discussion touches upon the revision of the TNI Law, increasing the number of authorized TNI posts in certain institutions, and the appointment of a retired Colonel as CEO of PT Timah, questioning the absence of civilian professionals.</w:t>
      </w:r>
    </w:p>
    <w:p>
      <w:pPr>
        <w:spacing w:after="60"/>
      </w:pPr>
      <w:r>
        <w:rPr>
          <w:rFonts w:ascii="Arial" w:cs="Arial" w:eastAsia="Arial" w:hAnsi="Arial"/>
          <w:sz w:val="22"/>
          <w:szCs w:val="22"/>
        </w:rPr>
        <w:t xml:space="preserve">*   **[05:39] Recent Controversies:** Mentions of past events like the Kuntoro case and a recent surat telegram (telegram letter) from the TNI Commander regarding the security of prosecutor's offices are brought up.</w:t>
      </w:r>
    </w:p>
    <w:p>
      <w:pPr>
        <w:spacing w:after="60"/>
      </w:pPr>
      <w:r>
        <w:rPr>
          <w:rFonts w:ascii="Arial" w:cs="Arial" w:eastAsia="Arial" w:hAnsi="Arial"/>
          <w:sz w:val="22"/>
          <w:szCs w:val="22"/>
        </w:rPr>
        <w:t xml:space="preserve">*   **[06:12] Security of Prosecutor's Offices:** The telegram detailing the deployment of armed TNI personnel to guard prosecutor's offices, estimated at around 6,000 troops, is presented as a significant point of concern.</w:t>
      </w:r>
    </w:p>
    <w:p>
      <w:pPr>
        <w:spacing w:after="60"/>
      </w:pPr>
      <w:r>
        <w:rPr>
          <w:rFonts w:ascii="Arial" w:cs="Arial" w:eastAsia="Arial" w:hAnsi="Arial"/>
          <w:sz w:val="22"/>
          <w:szCs w:val="22"/>
        </w:rPr>
        <w:t xml:space="preserve">*   **[07:15] TNI's Stance: Assistance, Not Authority Expansion:** Tomesianturi firmly reiterates that the TNI is *asked to assist*, not expanding its authority. All collaborations and MoUs stem from requests by ministries and agencies needing TNI's help.</w:t>
      </w:r>
    </w:p>
    <w:p>
      <w:pPr>
        <w:spacing w:after="60"/>
      </w:pPr>
      <w:r>
        <w:rPr>
          <w:rFonts w:ascii="Arial" w:cs="Arial" w:eastAsia="Arial" w:hAnsi="Arial"/>
          <w:sz w:val="22"/>
          <w:szCs w:val="22"/>
        </w:rPr>
        <w:t xml:space="preserve">*   **[07:15] Examples of Assistance:** He cites ministries like Agriculture, Environment and Forestry (KHLK), and Transmigration as examples of entities needing TNI support.</w:t>
      </w:r>
    </w:p>
    <w:p>
      <w:pPr>
        <w:spacing w:after="60"/>
      </w:pPr>
      <w:r>
        <w:rPr>
          <w:rFonts w:ascii="Arial" w:cs="Arial" w:eastAsia="Arial" w:hAnsi="Arial"/>
          <w:sz w:val="22"/>
          <w:szCs w:val="22"/>
        </w:rPr>
        <w:t xml:space="preserve">*   **[07:46] Cooperation with Attorney General's Office:** The cooperation with the Attorney General's Office is detailed, with MoUs existing since 2018, updated in 2020, and a new one in 2023 concerning legal enforcement cooperation.</w:t>
      </w:r>
    </w:p>
    <w:p>
      <w:pPr>
        <w:spacing w:after="60"/>
      </w:pPr>
      <w:r>
        <w:rPr>
          <w:rFonts w:ascii="Arial" w:cs="Arial" w:eastAsia="Arial" w:hAnsi="Arial"/>
          <w:sz w:val="22"/>
          <w:szCs w:val="22"/>
        </w:rPr>
        <w:t xml:space="preserve">*   **[08:22] Legal Basis for Assistance:** Tomesianturi cites the TNI Law (No. 34/2004, revised by Law No. 3/2025) which allows for the placement of active TNI personnel in civilian institutions like the Attorney General's Office. He also refers to Article 7 of the revised TNI Law, stating TNI's duty to protect all elements of the nation, including ministries and agencies.</w:t>
      </w:r>
    </w:p>
    <w:p>
      <w:pPr>
        <w:spacing w:after="60"/>
      </w:pPr>
      <w:r>
        <w:rPr>
          <w:rFonts w:ascii="Arial" w:cs="Arial" w:eastAsia="Arial" w:hAnsi="Arial"/>
          <w:sz w:val="22"/>
          <w:szCs w:val="22"/>
        </w:rPr>
        <w:t xml:space="preserve">*   **[09:25] Protecting National Vital Objects &amp; Debates:** He mentions Article 5 of the TNI Law regarding securing strategic national vital objects, noting the debate about whether the Attorney General's Office fits this definition according to a Presidential Decree from 2004.</w:t>
      </w:r>
    </w:p>
    <w:p>
      <w:pPr>
        <w:spacing w:after="60"/>
      </w:pPr>
      <w:r>
        <w:rPr>
          <w:rFonts w:ascii="Arial" w:cs="Arial" w:eastAsia="Arial" w:hAnsi="Arial"/>
          <w:sz w:val="22"/>
          <w:szCs w:val="22"/>
        </w:rPr>
        <w:t xml:space="preserve">*   **[09:57] Assisting Regional Government:** He also points to the provision of assisting regional government tasks, arguing that the Attorney General's Office, being a government institution in prosecution, falls under this category.</w:t>
      </w:r>
    </w:p>
    <w:p>
      <w:pPr>
        <w:spacing w:after="60"/>
      </w:pPr>
      <w:r>
        <w:rPr>
          <w:rFonts w:ascii="Arial" w:cs="Arial" w:eastAsia="Arial" w:hAnsi="Arial"/>
          <w:sz w:val="22"/>
          <w:szCs w:val="22"/>
        </w:rPr>
        <w:t xml:space="preserve">*   **[10:27] Need for Staffing:** Tomesianturi highlights the practical need for support staff (like drivers or assistants) for leaders within institutions like the Attorney General's Office, implying TNI personnel fill these roles.</w:t>
      </w:r>
    </w:p>
    <w:p>
      <w:pPr>
        <w:spacing w:after="60"/>
      </w:pPr>
      <w:r>
        <w:rPr>
          <w:rFonts w:ascii="Arial" w:cs="Arial" w:eastAsia="Arial" w:hAnsi="Arial"/>
          <w:sz w:val="22"/>
          <w:szCs w:val="22"/>
        </w:rPr>
        <w:t xml:space="preserve">*   **[10:57] Urgency is Questioned by Attorney General's Office:** When asked about the urgency, Tomesianturi states that the urgency should be questioned from the Attorney General's Office itself, as the TNI acts based on the MoU.</w:t>
      </w:r>
    </w:p>
    <w:p>
      <w:pPr>
        <w:spacing w:after="60"/>
      </w:pPr>
      <w:r>
        <w:rPr>
          <w:rFonts w:ascii="Arial" w:cs="Arial" w:eastAsia="Arial" w:hAnsi="Arial"/>
          <w:sz w:val="22"/>
          <w:szCs w:val="22"/>
        </w:rPr>
        <w:t xml:space="preserve">*   **[11:28] Reiterating "Responsive, Adaptive":** The discussion circles back to the TNI's vision, emphasizing responsiveness and adaptability.</w:t>
      </w:r>
    </w:p>
    <w:p>
      <w:pPr>
        <w:spacing w:after="60"/>
      </w:pPr>
      <w:r>
        <w:rPr>
          <w:rFonts w:ascii="Arial" w:cs="Arial" w:eastAsia="Arial" w:hAnsi="Arial"/>
          <w:sz w:val="22"/>
          <w:szCs w:val="22"/>
        </w:rPr>
        <w:t xml:space="preserve">*   **[30:00] Concerns on Military Justice System:** Akbar Faisal raises concerns about Article 65 and 67 of the TNI Law, particularly regarding the jurisdiction for corruption cases involving military personnel—whether they are tried under general or military law, and the perceived lack of clear amendments.</w:t>
      </w:r>
    </w:p>
    <w:p>
      <w:pPr>
        <w:spacing w:after="60"/>
      </w:pPr>
      <w:r>
        <w:rPr>
          <w:rFonts w:ascii="Arial" w:cs="Arial" w:eastAsia="Arial" w:hAnsi="Arial"/>
          <w:sz w:val="22"/>
          <w:szCs w:val="22"/>
        </w:rPr>
        <w:t xml:space="preserve">*   **[30:47] TNI as Executor of Law:** Tomesianturi explains that the TNI is an executor of laws passed by the government and the DPR. He emphasizes his oath to uphold the law and questions why the makers of the law haven't changed it if there are issues.</w:t>
      </w:r>
    </w:p>
    <w:p>
      <w:pPr>
        <w:spacing w:after="60"/>
      </w:pPr>
      <w:r>
        <w:rPr>
          <w:rFonts w:ascii="Arial" w:cs="Arial" w:eastAsia="Arial" w:hAnsi="Arial"/>
          <w:sz w:val="22"/>
          <w:szCs w:val="22"/>
        </w:rPr>
        <w:t xml:space="preserve">*   **[31:49] Call for Comprehensive Reform:** He argues that if the TNI must be subject to general courts, the laws governing the military justice system (Law No. 31/1997) need to be amended, along with potentially the Constitutional Law regarding the judiciary. He refers to Security Sector Reform (SSR) principles, mentioning the need to position the TNI under general courts and the police outside the president's direct command.</w:t>
      </w:r>
    </w:p>
    <w:p>
      <w:pPr>
        <w:spacing w:after="60"/>
      </w:pPr>
      <w:r>
        <w:rPr>
          <w:rFonts w:ascii="Arial" w:cs="Arial" w:eastAsia="Arial" w:hAnsi="Arial"/>
          <w:sz w:val="22"/>
          <w:szCs w:val="22"/>
        </w:rPr>
        <w:t xml:space="preserve">*   **[32:36] Proposed "Harsher" Sentences for Military:** An idea is presented (from a former colleague of Faisal's) that military personnel convicted of crimes should receive harsher sentences than civilians, as they are seen as representatives of the nation's dignity.</w:t>
      </w:r>
    </w:p>
    <w:p>
      <w:pPr>
        <w:spacing w:after="60"/>
      </w:pPr>
      <w:r>
        <w:rPr>
          <w:rFonts w:ascii="Arial" w:cs="Arial" w:eastAsia="Arial" w:hAnsi="Arial"/>
          <w:sz w:val="22"/>
          <w:szCs w:val="22"/>
        </w:rPr>
        <w:t xml:space="preserve">*   **[33:53] Military Justice System's Effectiveness:** Tomesianturi defends the military justice system, citing examples of life sentences handed down for corruption cases, suggesting it is not lenient and media focus is often on sensational cases rather than serious military justice proceedings.</w:t>
      </w:r>
    </w:p>
    <w:p>
      <w:pPr>
        <w:spacing w:after="60"/>
      </w:pPr>
      <w:r>
        <w:rPr>
          <w:rFonts w:ascii="Arial" w:cs="Arial" w:eastAsia="Arial" w:hAnsi="Arial"/>
          <w:sz w:val="22"/>
          <w:szCs w:val="22"/>
        </w:rPr>
        <w:t xml:space="preserve">*   **[35:06] Transparency and Media Coverage:** He asserts that military trials are open to coverage unless dealing with highly sensitive cases. He argues that routine military trials, like those of deserters, are not "newsworthy" enough for media attention, unlike cases involving high-ranking officers.</w:t>
      </w:r>
    </w:p>
    <w:p>
      <w:pPr>
        <w:spacing w:after="60"/>
      </w:pPr>
      <w:r>
        <w:rPr>
          <w:rFonts w:ascii="Arial" w:cs="Arial" w:eastAsia="Arial" w:hAnsi="Arial"/>
          <w:sz w:val="22"/>
          <w:szCs w:val="22"/>
        </w:rPr>
        <w:t xml:space="preserve">*   **[35:06] TNI's Loyalty:** Tomesianturi reiterates that the TNI is ready to execute orders and is loyal to the state, provided it is based on the constitution and Pancasila. He states that if ordered to fall under general courts, the TNI would comply, but legal amendments are necessary.</w:t>
      </w:r>
    </w:p>
    <w:p>
      <w:pPr>
        <w:spacing w:after="60"/>
      </w:pPr>
      <w:r>
        <w:rPr>
          <w:rFonts w:ascii="Arial" w:cs="Arial" w:eastAsia="Arial" w:hAnsi="Arial"/>
          <w:sz w:val="22"/>
          <w:szCs w:val="22"/>
        </w:rPr>
        <w:t xml:space="preserve">*   **[40:50] Reassurance on TNI's Role:** Akbar Faisal concludes by expressing comfort that the TNI does not intend to reclaim past roles, interfere in civilian space, or undermine democracy, and that this dialogue has provided reassurance.</w:t>
      </w:r>
    </w:p>
    <w:p>
      <w:pPr>
        <w:spacing w:after="60"/>
      </w:pPr>
      <w:r>
        <w:rPr>
          <w:rFonts w:ascii="Arial" w:cs="Arial" w:eastAsia="Arial" w:hAnsi="Arial"/>
          <w:sz w:val="22"/>
          <w:szCs w:val="22"/>
        </w:rPr>
        <w:t xml:space="preserve">*   **[41:40] Importance of Communication:** Both participants agree on the importance of continuous communication and discussion to synchronize perceptions for the good of the nation.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Major General Kris Tomesianturi:** "It's not that the TNI is expanding its authority or taking over civilian authority. No. But the TNI is asked to assist."</w:t>
      </w:r>
    </w:p>
    <w:p>
      <w:pPr>
        <w:spacing w:after="60"/>
      </w:pPr>
      <w:r>
        <w:rPr>
          <w:rFonts w:ascii="Arial" w:cs="Arial" w:eastAsia="Arial" w:hAnsi="Arial"/>
          <w:sz w:val="22"/>
          <w:szCs w:val="22"/>
        </w:rPr>
        <w:t xml:space="preserve">2.  **[03:03] Major General Kris Tomesianturi:** "There are those who don't know, so ask us, we will coordinate. We will tell you the reasons, the basis. That's the TNI today. Moreover, as the TNI's defense commander, today I am ready to answer all doubts, all questions from the public."</w:t>
      </w:r>
    </w:p>
    <w:p>
      <w:pPr>
        <w:spacing w:after="60"/>
      </w:pPr>
      <w:r>
        <w:rPr>
          <w:rFonts w:ascii="Arial" w:cs="Arial" w:eastAsia="Arial" w:hAnsi="Arial"/>
          <w:sz w:val="22"/>
          <w:szCs w:val="22"/>
        </w:rPr>
        <w:t xml:space="preserve">3.  **[30:47] Major General Kris Tomesianturi:** "If the law states that the TNI must [do something], yes, I will follow it. That's my oath to God, Sir. We cannot be frivolous, we swear before the Quran, before holy scriptures."</w:t>
      </w:r>
    </w:p>
    <w:p>
      <w:pPr>
        <w:spacing w:after="60"/>
      </w:pPr>
      <w:r>
        <w:rPr>
          <w:rFonts w:ascii="Arial" w:cs="Arial" w:eastAsia="Arial" w:hAnsi="Arial"/>
          <w:sz w:val="22"/>
          <w:szCs w:val="22"/>
        </w:rPr>
        <w:t xml:space="preserve">4.  **[40:50] Akbar Faisal:** "What makes me feel comfortable is that you want to say that reassure the TNI is not like what you think. Reassure the TNI will not take roles that were previously revised and reformed. TNI will not mess with civilian space. TNI will not injure democracy."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bukan TNI memperluas wewenangnya atau mengambil wewenang sipil tidak. Tetapi TNI diminta untuk membantu. Remiliterisasi kemudian balik lagi ke fungsi ABRI, itu menurut saya suatu ketakutan yang berlebihan lah. Ketakutan yang berlebihan. Oke. Saya seorang mayor jenderal aja, lulusan Akmil tahun '97, enggak pernah merasakan nikmatnya di fungsi ABRI. Terus kenapa saya harus balik ke di fungsi ABRI yang saya enggak pernah tahu nikmatnya kayak apa gitu loh. Yang tahu tentang kebutuhan TNI hari ini siapa, Bang? Siapa? TNI sendiri, kan? TNI sendiri.</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Nah. Biarkanlah kami mengurusi rumah tangga kami gitu loh, Bang. Nah. Jadi yang tahu si A cucunya yang di sini, si B cucunya kan siapa? TNI, kan gitu loh. TNI itu tidak ingin jadi lembaga super body hari ini, gitu ya. Sebenarnya kita berada</w:t>
      </w:r>
    </w:p>
    <w:p>
      <w:pPr>
        <w:spacing w:after="80" w:before="160"/>
      </w:pPr>
      <w:r>
        <w:rPr>
          <w:rFonts w:ascii="Arial" w:cs="Arial" w:eastAsia="Arial" w:hAnsi="Arial"/>
          <w:b/>
          <w:bCs/>
          <w:color w:val="2E75B6"/>
          <w:sz w:val="22"/>
          <w:szCs w:val="22"/>
        </w:rPr>
        <w:t xml:space="preserve">[01:00] </w:t>
      </w:r>
      <w:r>
        <w:rPr>
          <w:rFonts w:ascii="Arial" w:cs="Arial" w:eastAsia="Arial" w:hAnsi="Arial"/>
          <w:sz w:val="22"/>
          <w:szCs w:val="22"/>
        </w:rPr>
        <w:t xml:space="preserve">pada situasi yang menyenangkan. Civil society bergerak dan lembaga-lembaga negara sedang mencari bentuk terbaiknya bagaimana mengabdi kepada negara. Termasuk dengan TNI. Bagus menurut saya. Saya yakin TNI adalah sebuah lembaga yang matang dan tahu betul bagaimana harus bersikap. Soal kemudian ada yang kita anggap berlebih, kita diskusikan. Dan mereka juga ternyata bersedia untuk apa namanya? Berdiskusi.</w:t>
      </w:r>
    </w:p>
    <w:p>
      <w:pPr>
        <w:spacing w:after="80" w:before="160"/>
      </w:pPr>
      <w:r>
        <w:rPr>
          <w:rFonts w:ascii="Arial" w:cs="Arial" w:eastAsia="Arial" w:hAnsi="Arial"/>
          <w:b/>
          <w:bCs/>
          <w:color w:val="2E75B6"/>
          <w:sz w:val="22"/>
          <w:szCs w:val="22"/>
        </w:rPr>
        <w:t xml:space="preserve">[01:30] </w:t>
      </w:r>
      <w:r>
        <w:rPr>
          <w:rFonts w:ascii="Arial" w:cs="Arial" w:eastAsia="Arial" w:hAnsi="Arial"/>
          <w:sz w:val="22"/>
          <w:szCs w:val="22"/>
        </w:rPr>
        <w:t xml:space="preserve">Maka Anda bisa bayangkan seorang kapuspen TNI, bintang dua, mayor jenderal TNI, Kris Tomesianturi, datang ke forum Akbar Faisal Shensar. Jenderal. Terima kasih ya. Terima kasih, Mas Akbar. Luar biasa. Itu menurut saya apa? Saya harus memberi apresiasi ya, karena kan jarang sekali, setidaknya di masa lalu itu TNI mau hadir atau membuka ruang untuk pembicaraan pada beberapa isu yang dipersoalkan oleh civil society.</w:t>
      </w:r>
    </w:p>
    <w:p>
      <w:pPr>
        <w:spacing w:after="80" w:before="160"/>
      </w:pPr>
      <w:r>
        <w:rPr>
          <w:rFonts w:ascii="Arial" w:cs="Arial" w:eastAsia="Arial" w:hAnsi="Arial"/>
          <w:b/>
          <w:bCs/>
          <w:color w:val="2E75B6"/>
          <w:sz w:val="22"/>
          <w:szCs w:val="22"/>
        </w:rPr>
        <w:t xml:space="preserve">[02:03] </w:t>
      </w:r>
      <w:r>
        <w:rPr>
          <w:rFonts w:ascii="Arial" w:cs="Arial" w:eastAsia="Arial" w:hAnsi="Arial"/>
          <w:sz w:val="22"/>
          <w:szCs w:val="22"/>
        </w:rPr>
        <w:t xml:space="preserve">Apapun namanya harus saya hargai ini. Jenderal, sebelum saya mulai, saya harus memberi selamat dong. Selamat atas bintang duanya ya. Terima kasih. Terima kasih. Iya. Pemirsa, Kapuspen TNI ini ada orang yang banyak berputar di penugasan TNI. Jabatan terakhir itu adalah wakil gubernur di Akmil di Magelang. Sebelum datang ke sini. Kita lanjutkan diskusi kita, Jenderal. Itu pembukaan saya tadi. Ya.</w:t>
      </w:r>
    </w:p>
    <w:p>
      <w:pPr>
        <w:spacing w:after="80" w:before="160"/>
      </w:pPr>
      <w:r>
        <w:rPr>
          <w:rFonts w:ascii="Arial" w:cs="Arial" w:eastAsia="Arial" w:hAnsi="Arial"/>
          <w:b/>
          <w:bCs/>
          <w:color w:val="2E75B6"/>
          <w:sz w:val="22"/>
          <w:szCs w:val="22"/>
        </w:rPr>
        <w:t xml:space="preserve">[02:33] </w:t>
      </w:r>
      <w:r>
        <w:rPr>
          <w:rFonts w:ascii="Arial" w:cs="Arial" w:eastAsia="Arial" w:hAnsi="Arial"/>
          <w:sz w:val="22"/>
          <w:szCs w:val="22"/>
        </w:rPr>
        <w:t xml:space="preserve">Apakah TNI bisa membuka sedikit informasi kepada kita bahwa gugatan civil society yang bergerak di ruang publik itu semakin mengeras dan bagaimana respon TNI menyangkut itu? Kita mulai dari situ dulu. Jadi gini, Bang Akbar. Kan kalau saya mengingat dulu ada kata-kata mantan pimpinan saya kelas kapten Angkatan Darat dulu. Bahwa Tuhan itu Maha tahu, tetapi manusia harus diberitahu.</w:t>
      </w:r>
    </w:p>
    <w:p>
      <w:pPr>
        <w:spacing w:after="80" w:before="160"/>
      </w:pPr>
      <w:r>
        <w:rPr>
          <w:rFonts w:ascii="Arial" w:cs="Arial" w:eastAsia="Arial" w:hAnsi="Arial"/>
          <w:b/>
          <w:bCs/>
          <w:color w:val="2E75B6"/>
          <w:sz w:val="22"/>
          <w:szCs w:val="22"/>
        </w:rPr>
        <w:t xml:space="preserve">[03:03] </w:t>
      </w:r>
      <w:r>
        <w:rPr>
          <w:rFonts w:ascii="Arial" w:cs="Arial" w:eastAsia="Arial" w:hAnsi="Arial"/>
          <w:sz w:val="22"/>
          <w:szCs w:val="22"/>
        </w:rPr>
        <w:t xml:space="preserve">Nah, gitu ya. Jadi komunikasi seperti ini harus intens dilakukan sehingga tidak salah persepsi, tidak ada miskomunikasi. Jadi memang harus rutin kita. Ada pihak yang enggak tahu, ya tanyakan kepada kami, kami akan koordinasi. Kami beritahu ini loh alasannya, dasarnya apa. Ya, itulah TNI hari ini. Nah, apalagi saya sebagai pangkola pertahanan TNI. Hari ini saya siap menjawab semua keraguan, semua pertanyaan dari masyarakat.</w:t>
      </w:r>
    </w:p>
    <w:p>
      <w:pPr>
        <w:spacing w:after="80" w:before="160"/>
      </w:pPr>
      <w:r>
        <w:rPr>
          <w:rFonts w:ascii="Arial" w:cs="Arial" w:eastAsia="Arial" w:hAnsi="Arial"/>
          <w:b/>
          <w:bCs/>
          <w:color w:val="2E75B6"/>
          <w:sz w:val="22"/>
          <w:szCs w:val="22"/>
        </w:rPr>
        <w:t xml:space="preserve">[03:33] </w:t>
      </w:r>
      <w:r>
        <w:rPr>
          <w:rFonts w:ascii="Arial" w:cs="Arial" w:eastAsia="Arial" w:hAnsi="Arial"/>
          <w:sz w:val="22"/>
          <w:szCs w:val="22"/>
        </w:rPr>
        <w:t xml:space="preserve">Sehingga jangan ada apriori, jangan ada persepsi yang salah. Diskusi wajib kita lakukan. Wah, mantap ini. Di dalam warga society. Gitu ya. Ya,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w:t>
      </w:r>
    </w:p>
    <w:p>
      <w:pPr>
        <w:spacing w:after="80" w:before="160"/>
      </w:pPr>
      <w:r>
        <w:rPr>
          <w:rFonts w:ascii="Arial" w:cs="Arial" w:eastAsia="Arial" w:hAnsi="Arial"/>
          <w:b/>
          <w:bCs/>
          <w:color w:val="2E75B6"/>
          <w:sz w:val="22"/>
          <w:szCs w:val="22"/>
        </w:rPr>
        <w:t xml:space="preserve">[04:04] </w:t>
      </w:r>
      <w:r>
        <w:rPr>
          <w:rFonts w:ascii="Arial" w:cs="Arial" w:eastAsia="Arial" w:hAnsi="Arial"/>
          <w:sz w:val="22"/>
          <w:szCs w:val="22"/>
        </w:rPr>
        <w:t xml:space="preserve">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w:t>
      </w:r>
    </w:p>
    <w:p>
      <w:pPr>
        <w:spacing w:after="80" w:before="160"/>
      </w:pPr>
      <w:r>
        <w:rPr>
          <w:rFonts w:ascii="Arial" w:cs="Arial" w:eastAsia="Arial" w:hAnsi="Arial"/>
          <w:b/>
          <w:bCs/>
          <w:color w:val="2E75B6"/>
          <w:sz w:val="22"/>
          <w:szCs w:val="22"/>
        </w:rPr>
        <w:t xml:space="preserve">[04:34] </w:t>
      </w:r>
      <w:r>
        <w:rPr>
          <w:rFonts w:ascii="Arial" w:cs="Arial" w:eastAsia="Arial" w:hAnsi="Arial"/>
          <w:sz w:val="22"/>
          <w:szCs w:val="22"/>
        </w:rPr>
        <w:t xml:space="preserve">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w:t>
      </w:r>
    </w:p>
    <w:p>
      <w:pPr>
        <w:spacing w:after="80" w:before="160"/>
      </w:pPr>
      <w:r>
        <w:rPr>
          <w:rFonts w:ascii="Arial" w:cs="Arial" w:eastAsia="Arial" w:hAnsi="Arial"/>
          <w:b/>
          <w:bCs/>
          <w:color w:val="2E75B6"/>
          <w:sz w:val="22"/>
          <w:szCs w:val="22"/>
        </w:rPr>
        <w:t xml:space="preserve">[05:08] </w:t>
      </w:r>
      <w:r>
        <w:rPr>
          <w:rFonts w:ascii="Arial" w:cs="Arial" w:eastAsia="Arial" w:hAnsi="Arial"/>
          <w:sz w:val="22"/>
          <w:szCs w:val="22"/>
        </w:rPr>
        <w:t xml:space="preserve">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w:t>
      </w:r>
    </w:p>
    <w:p>
      <w:pPr>
        <w:spacing w:after="80" w:before="160"/>
      </w:pPr>
      <w:r>
        <w:rPr>
          <w:rFonts w:ascii="Arial" w:cs="Arial" w:eastAsia="Arial" w:hAnsi="Arial"/>
          <w:b/>
          <w:bCs/>
          <w:color w:val="2E75B6"/>
          <w:sz w:val="22"/>
          <w:szCs w:val="22"/>
        </w:rPr>
        <w:t xml:space="preserve">[05:39] </w:t>
      </w:r>
      <w:r>
        <w:rPr>
          <w:rFonts w:ascii="Arial" w:cs="Arial" w:eastAsia="Arial" w:hAnsi="Arial"/>
          <w:sz w:val="22"/>
          <w:szCs w:val="22"/>
        </w:rPr>
        <w:t xml:space="preserve">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w:t>
      </w:r>
    </w:p>
    <w:p>
      <w:pPr>
        <w:spacing w:after="80" w:before="160"/>
      </w:pPr>
      <w:r>
        <w:rPr>
          <w:rFonts w:ascii="Arial" w:cs="Arial" w:eastAsia="Arial" w:hAnsi="Arial"/>
          <w:b/>
          <w:bCs/>
          <w:color w:val="2E75B6"/>
          <w:sz w:val="22"/>
          <w:szCs w:val="22"/>
        </w:rPr>
        <w:t xml:space="preserve">[06:12] </w:t>
      </w:r>
      <w:r>
        <w:rPr>
          <w:rFonts w:ascii="Arial" w:cs="Arial" w:eastAsia="Arial" w:hAnsi="Arial"/>
          <w:sz w:val="22"/>
          <w:szCs w:val="22"/>
        </w:rPr>
        <w:t xml:space="preserve">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w:t>
      </w:r>
    </w:p>
    <w:p>
      <w:pPr>
        <w:spacing w:after="80" w:before="160"/>
      </w:pPr>
      <w:r>
        <w:rPr>
          <w:rFonts w:ascii="Arial" w:cs="Arial" w:eastAsia="Arial" w:hAnsi="Arial"/>
          <w:b/>
          <w:bCs/>
          <w:color w:val="2E75B6"/>
          <w:sz w:val="22"/>
          <w:szCs w:val="22"/>
        </w:rPr>
        <w:t xml:space="preserve">[06:43] </w:t>
      </w:r>
      <w:r>
        <w:rPr>
          <w:rFonts w:ascii="Arial" w:cs="Arial" w:eastAsia="Arial" w:hAnsi="Arial"/>
          <w:sz w:val="22"/>
          <w:szCs w:val="22"/>
        </w:rPr>
        <w:t xml:space="preserve">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w:t>
      </w:r>
    </w:p>
    <w:p>
      <w:pPr>
        <w:spacing w:after="80" w:before="160"/>
      </w:pPr>
      <w:r>
        <w:rPr>
          <w:rFonts w:ascii="Arial" w:cs="Arial" w:eastAsia="Arial" w:hAnsi="Arial"/>
          <w:b/>
          <w:bCs/>
          <w:color w:val="2E75B6"/>
          <w:sz w:val="22"/>
          <w:szCs w:val="22"/>
        </w:rPr>
        <w:t xml:space="preserve">[07:46] </w:t>
      </w:r>
      <w:r>
        <w:rPr>
          <w:rFonts w:ascii="Arial" w:cs="Arial" w:eastAsia="Arial" w:hAnsi="Arial"/>
          <w:sz w:val="22"/>
          <w:szCs w:val="22"/>
        </w:rPr>
        <w:t xml:space="preserve">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w:t>
      </w:r>
    </w:p>
    <w:p>
      <w:pPr>
        <w:spacing w:after="80" w:before="160"/>
      </w:pPr>
      <w:r>
        <w:rPr>
          <w:rFonts w:ascii="Arial" w:cs="Arial" w:eastAsia="Arial" w:hAnsi="Arial"/>
          <w:b/>
          <w:bCs/>
          <w:color w:val="2E75B6"/>
          <w:sz w:val="22"/>
          <w:szCs w:val="22"/>
        </w:rPr>
        <w:t xml:space="preserve">[08:22] </w:t>
      </w:r>
      <w:r>
        <w:rPr>
          <w:rFonts w:ascii="Arial" w:cs="Arial" w:eastAsia="Arial" w:hAnsi="Arial"/>
          <w:sz w:val="22"/>
          <w:szCs w:val="22"/>
        </w:rPr>
        <w:t xml:space="preserve">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w:t>
      </w:r>
    </w:p>
    <w:p>
      <w:pPr>
        <w:spacing w:after="80" w:before="160"/>
      </w:pPr>
      <w:r>
        <w:rPr>
          <w:rFonts w:ascii="Arial" w:cs="Arial" w:eastAsia="Arial" w:hAnsi="Arial"/>
          <w:b/>
          <w:bCs/>
          <w:color w:val="2E75B6"/>
          <w:sz w:val="22"/>
          <w:szCs w:val="22"/>
        </w:rPr>
        <w:t xml:space="preserve">[08:55] </w:t>
      </w:r>
      <w:r>
        <w:rPr>
          <w:rFonts w:ascii="Arial" w:cs="Arial" w:eastAsia="Arial" w:hAnsi="Arial"/>
          <w:sz w:val="22"/>
          <w:szCs w:val="22"/>
        </w:rPr>
        <w:t xml:space="preserve">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w:t>
      </w:r>
    </w:p>
    <w:p>
      <w:pPr>
        <w:spacing w:after="80" w:before="160"/>
      </w:pPr>
      <w:r>
        <w:rPr>
          <w:rFonts w:ascii="Arial" w:cs="Arial" w:eastAsia="Arial" w:hAnsi="Arial"/>
          <w:b/>
          <w:bCs/>
          <w:color w:val="2E75B6"/>
          <w:sz w:val="22"/>
          <w:szCs w:val="22"/>
        </w:rPr>
        <w:t xml:space="preserve">[09:25] </w:t>
      </w:r>
      <w:r>
        <w:rPr>
          <w:rFonts w:ascii="Arial" w:cs="Arial" w:eastAsia="Arial" w:hAnsi="Arial"/>
          <w:sz w:val="22"/>
          <w:szCs w:val="22"/>
        </w:rPr>
        <w:t xml:space="preserve">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w:t>
      </w:r>
    </w:p>
    <w:p>
      <w:pPr>
        <w:spacing w:after="80" w:before="160"/>
      </w:pPr>
      <w:r>
        <w:rPr>
          <w:rFonts w:ascii="Arial" w:cs="Arial" w:eastAsia="Arial" w:hAnsi="Arial"/>
          <w:b/>
          <w:bCs/>
          <w:color w:val="2E75B6"/>
          <w:sz w:val="22"/>
          <w:szCs w:val="22"/>
        </w:rPr>
        <w:t xml:space="preserve">[09:57] </w:t>
      </w:r>
      <w:r>
        <w:rPr>
          <w:rFonts w:ascii="Arial" w:cs="Arial" w:eastAsia="Arial" w:hAnsi="Arial"/>
          <w:sz w:val="22"/>
          <w:szCs w:val="22"/>
        </w:rPr>
        <w:t xml:space="preserve">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w:t>
      </w:r>
    </w:p>
    <w:p>
      <w:pPr>
        <w:spacing w:after="80" w:before="160"/>
      </w:pPr>
      <w:r>
        <w:rPr>
          <w:rFonts w:ascii="Arial" w:cs="Arial" w:eastAsia="Arial" w:hAnsi="Arial"/>
          <w:b/>
          <w:bCs/>
          <w:color w:val="2E75B6"/>
          <w:sz w:val="22"/>
          <w:szCs w:val="22"/>
        </w:rPr>
        <w:t xml:space="preserve">[10:27] </w:t>
      </w:r>
      <w:r>
        <w:rPr>
          <w:rFonts w:ascii="Arial" w:cs="Arial" w:eastAsia="Arial" w:hAnsi="Arial"/>
          <w:sz w:val="22"/>
          <w:szCs w:val="22"/>
        </w:rPr>
        <w:t xml:space="preserve">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w:t>
      </w:r>
    </w:p>
    <w:p>
      <w:pPr>
        <w:spacing w:after="80" w:before="160"/>
      </w:pPr>
      <w:r>
        <w:rPr>
          <w:rFonts w:ascii="Arial" w:cs="Arial" w:eastAsia="Arial" w:hAnsi="Arial"/>
          <w:b/>
          <w:bCs/>
          <w:color w:val="2E75B6"/>
          <w:sz w:val="22"/>
          <w:szCs w:val="22"/>
        </w:rPr>
        <w:t xml:space="preserve">[10:57] </w:t>
      </w:r>
      <w:r>
        <w:rPr>
          <w:rFonts w:ascii="Arial" w:cs="Arial" w:eastAsia="Arial" w:hAnsi="Arial"/>
          <w:sz w:val="22"/>
          <w:szCs w:val="22"/>
        </w:rPr>
        <w:t xml:space="preserve">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w:t>
      </w:r>
    </w:p>
    <w:p>
      <w:pPr>
        <w:spacing w:after="80" w:before="160"/>
      </w:pPr>
      <w:r>
        <w:rPr>
          <w:rFonts w:ascii="Arial" w:cs="Arial" w:eastAsia="Arial" w:hAnsi="Arial"/>
          <w:b/>
          <w:bCs/>
          <w:color w:val="2E75B6"/>
          <w:sz w:val="22"/>
          <w:szCs w:val="22"/>
        </w:rPr>
        <w:t xml:space="preserve">[11:28] </w:t>
      </w:r>
      <w:r>
        <w:rPr>
          <w:rFonts w:ascii="Arial" w:cs="Arial" w:eastAsia="Arial" w:hAnsi="Arial"/>
          <w:sz w:val="22"/>
          <w:szCs w:val="22"/>
        </w:rPr>
        <w:t xml:space="preserve">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Sebenwa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Sebenwa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Sebenwa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 membutuhkan bantuan TNI untuk bisa men-sukseskan atau bisa melaksanakan tugasnya dengan baik di wilayah, gitu ya. Kemudian hari ini juga kita berbicara tentang perbantuan TNI kepada kejaksaan. Yang tadi kita lihat surat telegramnya gitu ya. Sebenarnya nota kesepahaman antara kerjasama antara TNI dan kejaksaan itu sudah mulai sejak tahun 2018. 2018. Ditandatangani oleh Pak Haryadi Cahyanto dan Jaksa Agung Buraenudin pada saat itu. Kemudian diperbarui. Ada adendum di tahun 2020. Tentang perubahan terhadap nota kesepahaman yang di 2018 tadi. Nah, kemudian pada tahun 2023 itu ada nota kesepahaman nomor 6/4 Romawi/2023/TNI tentang kerjasama dalam pemanfaatan sumber daya dan peningkatan profesionalisme di bidang penegakan hukum. Inilah dasar kami bergerak memberikan bantuan kepada kejaksaan. Lain lagi di atasnya. Misalnya ada Undang-undang. Undang-undang TNI nomor 34 tahun 2004 yang direvisi dengan Undang-undang nomor 3 tahun 2025 pasal 47 misalnya. Penempatan prajurit TNI aktif di kejaksaan. Undang-undang TNI yang baru. Ya, yang baru. Kemudian pasal 7-nya, Undang-undang nomor 3 tahun 2025 yang ayat 1. Tugas pokok TNI kan? Menegakkan kedaulatan, menjaga keutuhan wilayah. Terakhir adalah melindungi segenap bangsa dan seluruh tumpah darah Indonesia dari ancaman dan gangguan. Yang dimaksud dengan seluruh tumpah darah siapa saja termasuk kementerian, lembaga, masyarakat yang memang harus dilindungi oleh TNI. Kemudian kita lihat misalnya di pasal 5-nya. poin nomor 5. tentang mengamankan objek vital nasional yang bersifat strategis. Tapi ada perdebatan. Di Keppres nomor 63 tahun 2004 tentang objek vital nasional. Kejaksaan tidak termasuk di situ. Itu ditandatangani oleh Ibu Megawati. Tahun 2004, hampir sama umurnya dengan undang-undang nomor 34 tahun 2004. Itu. Kemudian pasal yang membantu pemerintah di daerah nomor 9. Membantu tugas pemerintahan di daerah. Siapa sih pemerintahan di daerah itu? Apakah kejaksaan masuk pemerintahan tidak? Di undang-undang kejaksaan bahwa kejaksaan adalah lembaga pemerintah di bidang penuntutan. Berarti termasuk kan? Nah, itulah dasar kami bergerak memberikan bantuan kepada kejaksaan. Lain lagi di atasnya. Undang-undang nomor 11 tahun 2021 tentang Kejaksaan kan? Perpres nomor 15 tahun 2001 tentang organisasi dan tata kerja Kejaksaan RI di dalamnya adalah penunjukan organisasi pimpian dan asisten pimpinan di kejaksaan tinggi. Gitu. Cukup telat juga. Kan itu tentang pimpiannya. Pertanyaan saya hari ini, apakah pimpian bisa bekerja sendiri? Tanpa staf? Kan tidak mungkin, Bang. Tanpa ada supir, misalnya. Tanpa ada asistennya. Staffing-nya. Kan itu harus dipikirkan juga. Nah, itulah apa dasar hukum yang kenapa hari ini TNI bisa memberikan bantuan kepada kejaksaan gitu ya. Kalau terjadi per- tentangan perdebatan itu hal yang biasa. Tetapi kalau misalnya ada yang bertanya, apa urgensinya? Ya, kalau urgensinya Bang Akbar harus tanya kepada kejaksaan. Nah, gitu ya. Kami hanya berdasarkan nota kesepahaman tadi. Eh, TNI lu kan udah kerja sama sama gue nih. Ada nota kesepahaman. Gua butuh dong bantuan lu. Oke. Karena memang di ruang lingkup itu ada dukungan bantuan personel kepada kejaksaan dalam rangka tugas-tugas kejaksaan yang fungsinya kejaksaan. Yang eh ininya, tentang ruang lingkup. Pasal 2. Ruang lingkup. Pasal 7 ayat 2 nomor 5. Mengamankan objek vital nasional. Iya. Betul. Oh, oke. Tentu saja kita harus menghormati sikap seperti ini, karena menurut saya seperti itulah seharusnya. TNI, saya percaya betul bisa memahami bahwa civil society seperti yang saya sampaikan tadi bergerak, gitu ya. Nah, tetapi saya kembali lagi pada yang tadi. Saya yakin TNI menyadari betul bahwa TNI harus juga merespon secara seimbang ya dengan situasi yang ada, ya. Benar. Harus. Sesuai dengan visi Panglima TNI. Prima. Profesional, responsif, integratif, modern, dan adaptif. Ah, gitu. Responsif, adaptif dengan perubahan situasi hari ini. Ah, gitu loh Bang Akbar. Oke. Kalau begitu kita bawa situasinya pada apa yang terjadi di kita hari ini. Salah satu gugatan civil society itu Jenderal adalah apakah kerangka yang terjadi hingga kemudian TNI itu tampak tiba-tiba mengambil peran yang sangat lebar. Sangat besar. Tentu saja kalau kita cari landasan yuridis atau tata aturan yang melandasi tindakan itu pasti ada. Tetapi kita butuh penjelasan. Kalau ditanya seperti apa sih? Ya, kita bisa lihat. Misalnya Undang-undang TNI. Undang-undang TNI. Begitu maju. Tiba-tiba dari sembilan atau delapan tiba-tiba menjadi 14 lembaga yang di mana kemudian itu mereka bisa berbuat. Pasti ada alasannya. Pasti ada landasannya. Diterjemahkan lebih jauh, kita lihat. Tiba-tiba ada seorang perwira menengah, kolonel, seniornya Bang Kris itu, menjadi direktur utama di PT Tima. Bahwa dia pensiun itu adalah satu hal. Tapi pada bagian ini orang bertanya, emang sudah enggak ada lagi orang yang apa namanya? Orang profesional yang bisa dipakai untuk itu. Karena saya bergerak di antara orang-orang di situ saya pahamlah alasannya apa gitu. Ada juga riak bagaimana dengan apa peristiwa Pak Jenderal Kuntoro kemarin ya. Tapi yang terbaru ini yang paling banyak apa? Mendapat respon. Tiba-tiba ada surat dari Kasat. Ini tembusan kepada Panglima TNI. Ya. Intinya adalah menjaga seluruh Kejaksaan Republik Indonesia. Sebelum saya serahkan ke Pak Jenderal, Pak Slamet Ginting membuat hitung-hitungan di sini. 10 pasukan TNI berdasarkan ini bersenjata lengkap artinya persiapan perang per jerih. Kemudian kalau kejati katakanlah 30 kali 38. Terus kemudian di Kejaksaan Agung sendiri setidaknya itu berapalah gitu ya. Satu, satu kompilah kira-kira itu kan. Maka dibutuhkan kurang lebih dua brigadir. Ya, dalam hitung-hitungan mungkin sekitar 6.000 pasukan. Ini tidak menjadi sederhana nih. Apa penjelasannya Jenderal menyangkut ini? Nah, karena itulah saya datang ke sini Bapak Faisal. Untuk membuka, membuka kotak pandora istilahnya kan ya. Jadi saya sebenarnya ingin sedikit mengkritisi sedikit nih, pernyataan Bang Akbar. Bukan TNI memperluas wewenangnya. Bukan. Tetapi TNI diminta untuk membantu. TNI diminta. Diminta untuk membantu. Semua kerjasama, semua memorandum of understanding adalah permintaan dari kementerian dan lembaga yang membutuhkan bantuan TNI. Mari kita lihat satu-satu, misalnya kementerian pertanian. Kementerian KHLK. Transmigrasi. Mereka memang</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dan 67. ditampah penempatannya, melakukan tindakan, katakanlah corruption. Dia dihadapi dengan atau diperhadapkan pada mekanisme hukum yang mana, apakah pidana umum atau pidana militer. Coba lihat 665. Di sini tidak disebutkan. Jadi banyak sebenarnya. Pihak yang merasa bahwa oke, Anda meminta revisi pada beberapa bagian dan sudah dikasih, tetapi hal yang penting ini itu tidak dibahas. Karena kan ada pernah yang terjadi kan, apa? Kasus helikopter lah, apalagi Asri kalau saya tidak salah. Saya tidak ngerti sekarang sampai di mana, saya tahu setahu saya itu sudah ada yang dipunish juga. Tetapi kan ini untuk menjaga marwah ruang publik kita jangan sampai terlukai oleh perbedaan penanganan seperti itu. Apa jawaban dari Bang Cristo?</w:t>
      </w:r>
    </w:p>
    <w:p>
      <w:pPr>
        <w:spacing w:after="80" w:before="160"/>
      </w:pPr>
      <w:r>
        <w:rPr>
          <w:rFonts w:ascii="Arial" w:cs="Arial" w:eastAsia="Arial" w:hAnsi="Arial"/>
          <w:b/>
          <w:bCs/>
          <w:color w:val="2E75B6"/>
          <w:sz w:val="22"/>
          <w:szCs w:val="22"/>
        </w:rPr>
        <w:t xml:space="preserve">[30:47] </w:t>
      </w:r>
      <w:r>
        <w:rPr>
          <w:rFonts w:ascii="Arial" w:cs="Arial" w:eastAsia="Arial" w:hAnsi="Arial"/>
          <w:sz w:val="22"/>
          <w:szCs w:val="22"/>
        </w:rPr>
        <w:t xml:space="preserve">Ya, artinya misalnya kalau akbar tanya yang saya kenapa pasal 65 misalnya tidak ada perubahan, yang buat undang-undang sampai sih Bang? TNI juga ya. Pemerintah kan? Kami kan pelaksana. Pemerintah dan DPR. Ya, kami melaksanakan. Kalau undang-undang bunyi, ya, ya, saya kerjakan. Itu sumpah saya kepada Tuhan loh, kepada Allah, Bang. Enggak bisa main-main, tuh depan Al-Qur'an kita bersumpah, depan kitab suci kita bersumpah tuh. Nah, itu. Jadi kalau misalnya undang-undang yang bunyi bahwa TNI harus, ya, gua, ikut duduk pada hukum kok jelas. Itu di atasnya sumpah yang ketiga, yang taat kepada atasan. Dengan tidak memuta perintah atau putusan. Itu sumpah saya kepada Allah tuh, Bang. Yang akan saya pertanggungjawabkan nanti di hari kelak. Nah, gitu. Jadi kalau kalau kenapa ini enggak berubah? Ya, jangan kita tanyakan ke kita, tanyakan kepada pembuat undang-undang. Nah, gitu. Kenapa ini enggak berubah? Nah, gitu ya. Kalau kami siap melaksanakan, oke.</w:t>
      </w:r>
    </w:p>
    <w:p>
      <w:pPr>
        <w:spacing w:after="80" w:before="160"/>
      </w:pPr>
      <w:r>
        <w:rPr>
          <w:rFonts w:ascii="Arial" w:cs="Arial" w:eastAsia="Arial" w:hAnsi="Arial"/>
          <w:b/>
          <w:bCs/>
          <w:color w:val="2E75B6"/>
          <w:sz w:val="22"/>
          <w:szCs w:val="22"/>
        </w:rPr>
        <w:t xml:space="preserve">[31:49] </w:t>
      </w:r>
      <w:r>
        <w:rPr>
          <w:rFonts w:ascii="Arial" w:cs="Arial" w:eastAsia="Arial" w:hAnsi="Arial"/>
          <w:sz w:val="22"/>
          <w:szCs w:val="22"/>
        </w:rPr>
        <w:t xml:space="preserve">TNI harus tunduk kepada peradilan umum. Bunyi yang misalnya gitu. Ya udah. Tapi ubah undang-undangnya. Amandemen undang-undang dasar. Pasal 24 misalnya. Bahwa peradilan itu ada empat. Empat umum, peradilan militer, peradilan agama, peradilan tata usaha negara. Undang-undang nomor 31 tahun '97 tentang peradilan militer. Oke. Itu lu Bang, harus dirubah semua itu. Harus dirubah dong, gitu. Ingat, Bang. Memang kalau di security sector reform itu, reformasi itu, PR-nya ada dua. Menempatkan TNI di peradilan umum. Satu. Kedua, menempatkan posisi Polri tidak di bawah presiden. Itu. Reformasi, redefinisi, reposisi, ABRI pada saat itu. Mm. Jadi kalau membahas semua itu secara global dong, lengkap, gitu ya.</w:t>
      </w:r>
    </w:p>
    <w:p>
      <w:pPr>
        <w:spacing w:after="80" w:before="160"/>
      </w:pPr>
      <w:r>
        <w:rPr>
          <w:rFonts w:ascii="Arial" w:cs="Arial" w:eastAsia="Arial" w:hAnsi="Arial"/>
          <w:b/>
          <w:bCs/>
          <w:color w:val="2E75B6"/>
          <w:sz w:val="22"/>
          <w:szCs w:val="22"/>
        </w:rPr>
        <w:t xml:space="preserve">[32:36] </w:t>
      </w:r>
      <w:r>
        <w:rPr>
          <w:rFonts w:ascii="Arial" w:cs="Arial" w:eastAsia="Arial" w:hAnsi="Arial"/>
          <w:sz w:val="22"/>
          <w:szCs w:val="22"/>
        </w:rPr>
        <w:t xml:space="preserve">Jangan separuh separuh. Jangan separuh separuh, gitu loh, Bang. Gitu ya. Nah. Menurut saya sesuatu yang perlu kita pikirkan nih. Saya itu bahkan sebenarnya menerima sebuah ide dari teman saya, bukan saya. Teman saya. Sayangnya saya tidak lagi di DPR. Saya juga dulu pernah membuat banyak undang-undang di mana singgungannya dengan TNI juga ada. Salah satunya itu adalah undang-undang terrorism, penanganan terorisme. Ada usulannya seperti ini. Tidak apa-apa, tetap di peradilan militer. Tapi ada tapi-nya. Putusan hukuman bagi seorang anggota militer harus lebih tinggi dari putusan seandainya dia di sipil. Sipil. Iya. Karena kenapa? Dia adalah orang yang bermartabat, lembaga ini lembaga yang ditunjuk untuk menjaga harkat dan martabat bangsa dan melakukan tindakan. Dan itu bisa dilebarkan kepada jabatan-jabatan atau posisi yang lain. Jangan cuma TNI. Seluruh jabatan atau orang-orang yang menjabat atas nama negara, apalagi kalau dia penegak hukum, harus lebih tinggi. Apalagi namanya itu hukumannya dibanding masyarakat sipil. Itu boleh juga kita pikirkan itu.</w:t>
      </w:r>
    </w:p>
    <w:p>
      <w:pPr>
        <w:spacing w:after="80" w:before="160"/>
      </w:pPr>
      <w:r>
        <w:rPr>
          <w:rFonts w:ascii="Arial" w:cs="Arial" w:eastAsia="Arial" w:hAnsi="Arial"/>
          <w:b/>
          <w:bCs/>
          <w:color w:val="2E75B6"/>
          <w:sz w:val="22"/>
          <w:szCs w:val="22"/>
        </w:rPr>
        <w:t xml:space="preserve">[33:53] </w:t>
      </w:r>
      <w:r>
        <w:rPr>
          <w:rFonts w:ascii="Arial" w:cs="Arial" w:eastAsia="Arial" w:hAnsi="Arial"/>
          <w:sz w:val="22"/>
          <w:szCs w:val="22"/>
        </w:rPr>
        <w:t xml:space="preserve">Pendapat itu seperti itu ya sah-sah saja gitu. Tapi saya kembali lagi Bang Akbar. Jadi misalnya orang kan banyak meragukan tentang peradilan militer gitu kan. Wah, itu cicing-cicing. Jaksa yang militer, penuntutnya yang militer, kan gitu ya. Hakimnya juga dari militer. Coba kita gali lagi Bang di Republik ini gitu ya. Peradilan mana yang pernah memutus untuk tidak untuk koruptor hukuman seumur hidup. Pernah ya? Ya. Kasus em di Kertanegara. Tadi saya sebutkan gitu. Oke. Seumur hidup loh. Yang mutusannya peradilan militer. Pada umum baru dua. Baca di bisa di Google tuh. Ada dua peradilan umum yang mutusannya hukuman seumur itu. Nah, yang sekarang-sekarang belum ada kan. Korupsinya ratusan triliun miliaran kok. Puluhan triliun. Hanya 20 tahun. Sampai ada bilangnya orang, wah kalau gitu kita korupsi aja sampai sekian triliun, habis itu kan 2 tahun keluar juga gitu. Masih kayak juga. kan jogja yang seperti itu gitu. Jadi jangan anggap bahwa peradilan militer itu enggak serius, serius. Dan kita juga terbuka gitu Bang.</w:t>
      </w:r>
    </w:p>
    <w:p>
      <w:pPr>
        <w:spacing w:after="80" w:before="160"/>
      </w:pPr>
      <w:r>
        <w:rPr>
          <w:rFonts w:ascii="Arial" w:cs="Arial" w:eastAsia="Arial" w:hAnsi="Arial"/>
          <w:b/>
          <w:bCs/>
          <w:color w:val="2E75B6"/>
          <w:sz w:val="22"/>
          <w:szCs w:val="22"/>
        </w:rPr>
        <w:t xml:space="preserve">[35:06] </w:t>
      </w:r>
      <w:r>
        <w:rPr>
          <w:rFonts w:ascii="Arial" w:cs="Arial" w:eastAsia="Arial" w:hAnsi="Arial"/>
          <w:sz w:val="22"/>
          <w:szCs w:val="22"/>
        </w:rPr>
        <w:t xml:space="preserve">Loh. Kita boleh kok diliput kecuali misalnya kasus super apa yang Asli lah gitu ya. Memang tidak boleh kan diliput. Tapi kasus-kasus yang memang mau melibatkan nanti misalnya yang kemarin apa pembunuhan seorang wartawati yang di Kalimantan. Timur. Di liput silakan silakan saja. Cuma kan tidak menarik hari ini gitu. Kadang-kadang yang serius di peradilan militer. Contoh misalnya. Seorang perwira disersi. Diadili di peradilan militer. Kan nggak ada nilai jualnya. Media nggak akan meliput itu, Bang. gitu ya. Kecuali Jenderal. Nah. Itu kan gila juga ada Jenderal desersi ngapain. Iya iya gitu ya. Terbuka Bang. Dan jangan anggap remeh. Itu kan hanya gorengan gorengan biasa digiring. Oh iya. Tapi saya bilang TNI itu pelaksana kami siap melaksanakan tugas sesuai dengan tadi tunduk pada hukum dan memegang teguh disiplin keprajuritan gitu ya. Gitu. Perintahnya A, ya kami laksanakan A gitu Bang. Kalau negara bilang oke TNI sekarang kamu tunduk pada peradilan umum. Ya kita kerjakan lah. Tapi tadi amandemen undang-undangnya. Undang-undang dasarnya, undang-undang yang dibuat gitu. Kita siap laksanakan itu kok. TNI enggak akan pasti kami hari ini loyal pada negara kok. Untuk yang penting untuk untuk negara. Setia kepada negara kesatuan Republik Indonesia yang berdasarkan Pancasila dan undang-undang dasar 1945. Itu yang pertama Bang. Sumpah kami yang pertama kepada Allah itu. Setia kepada negara kesatuan Republik Indonesia yang mana yang berdasarkan Pancasila dan undang-undang dasar 1945. Tapi kalau nggak dasar itu ya nggak mau kami. Nah gitu Bang. Ya jadi semua itu sudah terpasti semua dari prada sampai jenderal mengucapkan itu Bang.</w:t>
      </w:r>
    </w:p>
    <w:p>
      <w:pPr>
        <w:spacing w:after="80" w:before="160"/>
      </w:pPr>
      <w:r>
        <w:rPr>
          <w:rFonts w:ascii="Arial" w:cs="Arial" w:eastAsia="Arial" w:hAnsi="Arial"/>
          <w:b/>
          <w:bCs/>
          <w:color w:val="2E75B6"/>
          <w:sz w:val="22"/>
          <w:szCs w:val="22"/>
        </w:rPr>
        <w:t xml:space="preserve">[40:50] </w:t>
      </w:r>
      <w:r>
        <w:rPr>
          <w:rFonts w:ascii="Arial" w:cs="Arial" w:eastAsia="Arial" w:hAnsi="Arial"/>
          <w:sz w:val="22"/>
          <w:szCs w:val="22"/>
        </w:rPr>
        <w:t xml:space="preserve">Yang membuat saya merasa nyaman adalah Anda ingin mengatakan bahwa yakinkanlah TNI tidak seperti yang kalian pikirkan. Yakinkanlah TNI tidak akan mengambil peran-peran yang dulu kemudian sudah direvisi direformasi. TNI tidak akan mengacak-acak ruang sipil. TNI tidak akan mencederai demokrasi. Itu kesimpulan diskusi kita dan itu saya hargai-hargai. Jenderal. Terima kasih. Saya harap perbincangan kita ini bisa terus berlanjut. Tapi setidaknya kita sudah berbicara, berdiskusi. Bahwa oh ternyata TNI tetap pada posisinya. Bahwa TNI tidak melakukan hal-hal yang bersifat intervensif terhadap negara, terhadap publik dan segala macam. Itu yang saya kira kita butuh. Dan kita perlu saling mengingatkan. Dan saya kira itu yang paling penting.</w:t>
      </w:r>
    </w:p>
    <w:p>
      <w:pPr>
        <w:spacing w:after="80" w:before="160"/>
      </w:pPr>
      <w:r>
        <w:rPr>
          <w:rFonts w:ascii="Arial" w:cs="Arial" w:eastAsia="Arial" w:hAnsi="Arial"/>
          <w:b/>
          <w:bCs/>
          <w:color w:val="2E75B6"/>
          <w:sz w:val="22"/>
          <w:szCs w:val="22"/>
        </w:rPr>
        <w:t xml:space="preserve">[41:40] </w:t>
      </w:r>
      <w:r>
        <w:rPr>
          <w:rFonts w:ascii="Arial" w:cs="Arial" w:eastAsia="Arial" w:hAnsi="Arial"/>
          <w:sz w:val="22"/>
          <w:szCs w:val="22"/>
        </w:rPr>
        <w:t xml:space="preserve">Ya, kita harus saling komunikasi, diskusi ya, sehingga untuk menyamakan persepsi tadi. Terutama untuk bangsa dan negara Bang. [MUSIC PLAYING]</w:t>
      </w:r>
    </w:p>
    <w:p>
      <w:pPr>
        <w:spacing w:after="80" w:before="160"/>
      </w:pPr>
      <w:r>
        <w:rPr>
          <w:rFonts w:ascii="Arial" w:cs="Arial" w:eastAsia="Arial" w:hAnsi="Arial"/>
          <w:b/>
          <w:bCs/>
          <w:color w:val="2E75B6"/>
          <w:sz w:val="22"/>
          <w:szCs w:val="22"/>
        </w:rPr>
        <w:t xml:space="preserve">[49:35] </w:t>
      </w:r>
      <w:r>
        <w:rPr>
          <w:rFonts w:ascii="Arial" w:cs="Arial" w:eastAsia="Arial" w:hAnsi="Arial"/>
          <w:sz w:val="22"/>
          <w:szCs w:val="22"/>
        </w:rPr>
        <w:t xml:space="preserve">[NO SPEECH]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2026-07-22T19:42:52.636Z</dcterms:created>
  <dcterms:modified xsi:type="dcterms:W3CDTF">2026-07-22T19:42:52.636Z</dcterms:modified>
</cp:coreProperties>
</file>

<file path=docProps/custom.xml><?xml version="1.0" encoding="utf-8"?>
<Properties xmlns="http://schemas.openxmlformats.org/officeDocument/2006/custom-properties" xmlns:vt="http://schemas.openxmlformats.org/officeDocument/2006/docPropsVTypes"/>
</file>