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TOM LEMBONG DIPIDANA KARENA MENJALANKAN PERINTAH JOKOWI. "JAHAT BENAR ORANG ITU"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https://www.youtube.com/watch?v=QhxCIf2GFuI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controversial conviction of former Minister of Trade Thomas Lembong, who was sentenced to 4.5 years in prison and fined Rp750 million. The discussion centers on whether Lembong acted within his authority, as he claimed to be acting on presidential orders from Jokowi. Legal experts and former law enforcement officials express skepticism about the conviction, questioning the legal basis and the application of corruption charges in this case.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concerns regarding the application of corruption charges against former Minister Thomas Lembong, who received a substantial prison sentence and fine. Panelists, including former Deputy National Police Chief Oegroseno and former KPK Deputy Chairman Saut Situmorang, question the legal reasoning behind the conviction. They argue that the charges, particularly under Articles 2 and 3 of the Corruption Eradication Law, seem misapplied, as there's no evidence of personal enrichment for Lembong or others, and the alleged violations stem from ministerial regulations rather than criminal acts.</w:t>
      </w:r>
    </w:p>
    <w:p>
      <w:pPr>
        <w:spacing w:after="60"/>
      </w:pPr>
      <w:r>
        <w:rPr>
          <w:rFonts w:ascii="Arial" w:cs="Arial" w:eastAsia="Arial" w:hAnsi="Arial"/>
          <w:sz w:val="22"/>
          <w:szCs w:val="22"/>
        </w:rPr>
        <w:t xml:space="preserve">Further analysis by legal experts points to inconsistencies in the prosecution's arguments. For instance, the prosecution claimed that proof of fund flow was unnecessary for a corruption charge, while the court's consideration mentioned it as an alternative element. This discrepancy, along with the lack of clear presentation of trial facts and the decision to prosecute based on ministerial regulations rather than laws, raises significant doubts about the case's foundation. The panelists also touch upon the potential political undertones, given Lembong's past role as a campaign team member for a different presidential candidate, suggesting that the case might not be solely about legal violations.</w:t>
      </w:r>
    </w:p>
    <w:p>
      <w:pPr>
        <w:spacing w:after="60"/>
      </w:pPr>
      <w:r>
        <w:rPr>
          <w:rFonts w:ascii="Arial" w:cs="Arial" w:eastAsia="Arial" w:hAnsi="Arial"/>
          <w:sz w:val="22"/>
          <w:szCs w:val="22"/>
        </w:rPr>
        <w:t xml:space="preserve">The conversation also delves into broader concerns about the integrity of the legal process in Indonesia. There is a sentiment that the judiciary, prosecution, and investigative bodies might be overstepping their boundaries or influenced by external factors, potentially undermining the rule of law. The panelists emphasize the importance of strict adherence to procedural justice, focusing on factual evidence presented during trials, rather than potentially flawed legal interpretations or political motivations. They express hope that legislative reforms and increased public scrutiny can lead to a more just and certain legal system.</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conviction of Thomas Lembong and the ensuing public discussion raise critical questions about the application of anti-corruption laws, the potential for political influence in legal proceedings, and the overall integrity of Indonesia's judicial system. This case could set a precedent for how ministerial decisions and alleged procedural violations are handled, impacting investor confidence and the perception of legal certainty in Indonesia.</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commentator.</w:t>
      </w:r>
    </w:p>
    <w:p>
      <w:pPr>
        <w:spacing w:after="60"/>
      </w:pPr>
      <w:r>
        <w:rPr>
          <w:rFonts w:ascii="Arial" w:cs="Arial" w:eastAsia="Arial" w:hAnsi="Arial"/>
          <w:sz w:val="22"/>
          <w:szCs w:val="22"/>
        </w:rPr>
        <w:t xml:space="preserve">*   **Oegroseno:** Retired Commissioner General, former Deputy Chief of the National Police (Wakapolri) from 2013-2014. Provides a law enforcement perspective.</w:t>
      </w:r>
    </w:p>
    <w:p>
      <w:pPr>
        <w:spacing w:after="60"/>
      </w:pPr>
      <w:r>
        <w:rPr>
          <w:rFonts w:ascii="Arial" w:cs="Arial" w:eastAsia="Arial" w:hAnsi="Arial"/>
          <w:sz w:val="22"/>
          <w:szCs w:val="22"/>
        </w:rPr>
        <w:t xml:space="preserve">*   **Saut Situmorang:** Former Deputy Chairman of the Corruption Eradication Commission (KPK) from 2015-2019. Offers insights from an anti-corruption agency background.</w:t>
      </w:r>
    </w:p>
    <w:p>
      <w:pPr>
        <w:spacing w:after="60"/>
      </w:pPr>
      <w:r>
        <w:rPr>
          <w:rFonts w:ascii="Arial" w:cs="Arial" w:eastAsia="Arial" w:hAnsi="Arial"/>
          <w:sz w:val="22"/>
          <w:szCs w:val="22"/>
        </w:rPr>
        <w:t xml:space="preserve">*   **Herry Firmanza:** Legal expert from Tarumanegara University. Provides academic legal analysis.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introduces the controversial verdict against former Minister Thomas Lembong, highlighting the unusual nature of a judicial decision touching upon philosophical approaches and questioning why only one individual was singled out for actions similar to others.</w:t>
      </w:r>
    </w:p>
    <w:p>
      <w:pPr>
        <w:spacing w:after="60"/>
      </w:pPr>
      <w:r>
        <w:rPr>
          <w:rFonts w:ascii="Arial" w:cs="Arial" w:eastAsia="Arial" w:hAnsi="Arial"/>
          <w:sz w:val="22"/>
          <w:szCs w:val="22"/>
        </w:rPr>
        <w:t xml:space="preserve">*   [00:34] Discussion points to the potential for ministries contributing to places of worship to be accused of corruption and raises questions about the capability of the National Police if the KPK were dissolved.</w:t>
      </w:r>
    </w:p>
    <w:p>
      <w:pPr>
        <w:spacing w:after="60"/>
      </w:pPr>
      <w:r>
        <w:rPr>
          <w:rFonts w:ascii="Arial" w:cs="Arial" w:eastAsia="Arial" w:hAnsi="Arial"/>
          <w:sz w:val="22"/>
          <w:szCs w:val="22"/>
        </w:rPr>
        <w:t xml:space="preserve">*   [01:04] The sentence of former Minister of Trade, Thomas Lembong, to 4.5 years imprisonment and a Rp750 million fine is presented as a controversial case sparking public debate.</w:t>
      </w:r>
    </w:p>
    <w:p>
      <w:pPr>
        <w:spacing w:after="60"/>
      </w:pPr>
      <w:r>
        <w:rPr>
          <w:rFonts w:ascii="Arial" w:cs="Arial" w:eastAsia="Arial" w:hAnsi="Arial"/>
          <w:sz w:val="22"/>
          <w:szCs w:val="22"/>
        </w:rPr>
        <w:t xml:space="preserve">*   [01:51] A parallel is drawn to the Bank Century case in 2009, which also involved disputes over authority and the extent of executive powers.</w:t>
      </w:r>
    </w:p>
    <w:p>
      <w:pPr>
        <w:spacing w:after="60"/>
      </w:pPr>
      <w:r>
        <w:rPr>
          <w:rFonts w:ascii="Arial" w:cs="Arial" w:eastAsia="Arial" w:hAnsi="Arial"/>
          <w:sz w:val="22"/>
          <w:szCs w:val="22"/>
        </w:rPr>
        <w:t xml:space="preserve">*   [02:26] Questions are raised about whether Lembong was acting within his ministerial authority, potentially under presidential orders from Jokowi, and if this should shield him from corruption charges. Mahfud MD's differing opinion is mentioned, suggesting some aspects might be understandable.</w:t>
      </w:r>
    </w:p>
    <w:p>
      <w:pPr>
        <w:spacing w:after="60"/>
      </w:pPr>
      <w:r>
        <w:rPr>
          <w:rFonts w:ascii="Arial" w:cs="Arial" w:eastAsia="Arial" w:hAnsi="Arial"/>
          <w:sz w:val="22"/>
          <w:szCs w:val="22"/>
        </w:rPr>
        <w:t xml:space="preserve">*   [03:03] Some opinions suggest the conviction is excessive, partly due to Lembong's past role as a campaign team member for another presidential candidate, a point the speakers argue should be irrelevant.</w:t>
      </w:r>
    </w:p>
    <w:p>
      <w:pPr>
        <w:spacing w:after="60"/>
      </w:pPr>
      <w:r>
        <w:rPr>
          <w:rFonts w:ascii="Arial" w:cs="Arial" w:eastAsia="Arial" w:hAnsi="Arial"/>
          <w:sz w:val="22"/>
          <w:szCs w:val="22"/>
        </w:rPr>
        <w:t xml:space="preserve">*   [03:35] Akbar Faizal explains the remote setup for the discussion due to his presence abroad in London.</w:t>
      </w:r>
    </w:p>
    <w:p>
      <w:pPr>
        <w:spacing w:after="60"/>
      </w:pPr>
      <w:r>
        <w:rPr>
          <w:rFonts w:ascii="Arial" w:cs="Arial" w:eastAsia="Arial" w:hAnsi="Arial"/>
          <w:sz w:val="22"/>
          <w:szCs w:val="22"/>
        </w:rPr>
        <w:t xml:space="preserve">*   [04:08] Introduction of guests: Oegroseno (former Wakapolri), Saut Situmorang (former KPK Deputy Chairman), and Herry Firmanza (legal expert).</w:t>
      </w:r>
    </w:p>
    <w:p>
      <w:pPr>
        <w:spacing w:after="60"/>
      </w:pPr>
      <w:r>
        <w:rPr>
          <w:rFonts w:ascii="Arial" w:cs="Arial" w:eastAsia="Arial" w:hAnsi="Arial"/>
          <w:sz w:val="22"/>
          <w:szCs w:val="22"/>
        </w:rPr>
        <w:t xml:space="preserve">*   [04:41] The possibility is raised that if policy and authority are key issues, then others involved with Lembong or their lawyers might investigate other ministerial policies from the same period.</w:t>
      </w:r>
    </w:p>
    <w:p>
      <w:pPr>
        <w:spacing w:after="60"/>
      </w:pPr>
      <w:r>
        <w:rPr>
          <w:rFonts w:ascii="Arial" w:cs="Arial" w:eastAsia="Arial" w:hAnsi="Arial"/>
          <w:sz w:val="22"/>
          <w:szCs w:val="22"/>
        </w:rPr>
        <w:t xml:space="preserve">*   [05:11] Oegroseno begins his analysis, questioning the fulfillment of elements within Article 2 or 3 of Law No. 31 of 1999 concerning corruption, specifically regarding fund flow and damage to state finances/economy.</w:t>
      </w:r>
    </w:p>
    <w:p>
      <w:pPr>
        <w:spacing w:after="60"/>
      </w:pPr>
      <w:r>
        <w:rPr>
          <w:rFonts w:ascii="Arial" w:cs="Arial" w:eastAsia="Arial" w:hAnsi="Arial"/>
          <w:sz w:val="22"/>
          <w:szCs w:val="22"/>
        </w:rPr>
        <w:t xml:space="preserve">*   [05:43] Oegroseno recalls an interaction with an investigator from the Attorney General's Office who stated that fund flow is not necessary for corruption cases, contradicting the court's consideration of it as an alternative element.</w:t>
      </w:r>
    </w:p>
    <w:p>
      <w:pPr>
        <w:spacing w:after="60"/>
      </w:pPr>
      <w:r>
        <w:rPr>
          <w:rFonts w:ascii="Arial" w:cs="Arial" w:eastAsia="Arial" w:hAnsi="Arial"/>
          <w:sz w:val="22"/>
          <w:szCs w:val="22"/>
        </w:rPr>
        <w:t xml:space="preserve">*   [06:25] The contradiction between the prosecutor's office and the court's interpretation of "damaging state finances or economy" is highlighted.</w:t>
      </w:r>
    </w:p>
    <w:p>
      <w:pPr>
        <w:spacing w:after="60"/>
      </w:pPr>
      <w:r>
        <w:rPr>
          <w:rFonts w:ascii="Arial" w:cs="Arial" w:eastAsia="Arial" w:hAnsi="Arial"/>
          <w:sz w:val="22"/>
          <w:szCs w:val="22"/>
        </w:rPr>
        <w:t xml:space="preserve">*   [07:29] Oegroseno points out that Lembong's violations cited by the judge were based on ministerial regulations, not criminal law. Crucially, the elements of enriching oneself, others, or a corporation were not proven.</w:t>
      </w:r>
    </w:p>
    <w:p>
      <w:pPr>
        <w:spacing w:after="60"/>
      </w:pPr>
      <w:r>
        <w:rPr>
          <w:rFonts w:ascii="Arial" w:cs="Arial" w:eastAsia="Arial" w:hAnsi="Arial"/>
          <w:sz w:val="22"/>
          <w:szCs w:val="22"/>
        </w:rPr>
        <w:t xml:space="preserve">*   [08:13] Oegroseno finds it strange that Article 2 was used for the verdict, as Article 3 (abuse of authority) might have been more applicable given Lembong's ministerial position. He notes the difference in minimum sentences between Article 2 (4 years) and Article 3 (1 year).</w:t>
      </w:r>
    </w:p>
    <w:p>
      <w:pPr>
        <w:spacing w:after="60"/>
      </w:pPr>
      <w:r>
        <w:rPr>
          <w:rFonts w:ascii="Arial" w:cs="Arial" w:eastAsia="Arial" w:hAnsi="Arial"/>
          <w:sz w:val="22"/>
          <w:szCs w:val="22"/>
        </w:rPr>
        <w:t xml:space="preserve">*   [08:59] Oegroseno states that Lembong's defenses and valid points presented in court were largely ignored by the judges.</w:t>
      </w:r>
    </w:p>
    <w:p>
      <w:pPr>
        <w:spacing w:after="60"/>
      </w:pPr>
      <w:r>
        <w:rPr>
          <w:rFonts w:ascii="Arial" w:cs="Arial" w:eastAsia="Arial" w:hAnsi="Arial"/>
          <w:sz w:val="22"/>
          <w:szCs w:val="22"/>
        </w:rPr>
        <w:t xml:space="preserve">*   [09:31] A comparison is made to the Pak Aston case, where trial facts were allegedly not presented by the prosecutor during the indictment.</w:t>
      </w:r>
    </w:p>
    <w:p>
      <w:pPr>
        <w:spacing w:after="60"/>
      </w:pPr>
      <w:r>
        <w:rPr>
          <w:rFonts w:ascii="Arial" w:cs="Arial" w:eastAsia="Arial" w:hAnsi="Arial"/>
          <w:sz w:val="22"/>
          <w:szCs w:val="22"/>
        </w:rPr>
        <w:t xml:space="preserve">*   [10:07] The inclusion of raw sugar import procedures, typically an administrative court matter, within a criminal corruption case is questioned as fatal.</w:t>
      </w:r>
    </w:p>
    <w:p>
      <w:pPr>
        <w:spacing w:after="60"/>
      </w:pPr>
      <w:r>
        <w:rPr>
          <w:rFonts w:ascii="Arial" w:cs="Arial" w:eastAsia="Arial" w:hAnsi="Arial"/>
          <w:sz w:val="22"/>
          <w:szCs w:val="22"/>
        </w:rPr>
        <w:t xml:space="preserve">*   [10:41] Saut Situmorang is asked for his perspective as a former KPK investigator and leader, referencing social media discussions about total imports by previous trade ministers.</w:t>
      </w:r>
    </w:p>
    <w:p>
      <w:pPr>
        <w:spacing w:after="60"/>
      </w:pPr>
      <w:r>
        <w:rPr>
          <w:rFonts w:ascii="Arial" w:cs="Arial" w:eastAsia="Arial" w:hAnsi="Arial"/>
          <w:sz w:val="22"/>
          <w:szCs w:val="22"/>
        </w:rPr>
        <w:t xml:space="preserve">*   [11:14] Saut emphasizes that the KPK was cautious with cases involving state losses but no kickbacks, stating they could not proceed without evidence of kickbacks.</w:t>
      </w:r>
    </w:p>
    <w:p>
      <w:pPr>
        <w:spacing w:after="60"/>
      </w:pPr>
      <w:r>
        <w:rPr>
          <w:rFonts w:ascii="Arial" w:cs="Arial" w:eastAsia="Arial" w:hAnsi="Arial"/>
          <w:sz w:val="22"/>
          <w:szCs w:val="22"/>
        </w:rPr>
        <w:t xml:space="preserve">*   [11:46] Saut reiterates that cases involving state losses without clear kickbacks were handled with extreme caution. (The transcript appears to have repetitions here).</w:t>
      </w:r>
    </w:p>
    <w:p>
      <w:pPr>
        <w:spacing w:after="60"/>
      </w:pPr>
      <w:r>
        <w:rPr>
          <w:rFonts w:ascii="Arial" w:cs="Arial" w:eastAsia="Arial" w:hAnsi="Arial"/>
          <w:sz w:val="22"/>
          <w:szCs w:val="22"/>
        </w:rPr>
        <w:t xml:space="preserve">*   [24:28] Saut's initial response continues, acknowledging the mention of total imports by previous trade ministries and the need to understand the arguments presented in court. He emphasizes caution in cases of state loss without clear illicit enrichment.</w:t>
      </w:r>
    </w:p>
    <w:p>
      <w:pPr>
        <w:spacing w:after="60"/>
      </w:pPr>
      <w:r>
        <w:rPr>
          <w:rFonts w:ascii="Arial" w:cs="Arial" w:eastAsia="Arial" w:hAnsi="Arial"/>
          <w:sz w:val="22"/>
          <w:szCs w:val="22"/>
        </w:rPr>
        <w:t xml:space="preserve">*   [39:59] Herry Firmanza discusses the use of economic theories in legal judgments, suggesting that theories are analytical tools and the interpretation depends on one's legal standing. He stresses the importance of trial facts as the basis for convictions.</w:t>
      </w:r>
    </w:p>
    <w:p>
      <w:pPr>
        <w:spacing w:after="60"/>
      </w:pPr>
      <w:r>
        <w:rPr>
          <w:rFonts w:ascii="Arial" w:cs="Arial" w:eastAsia="Arial" w:hAnsi="Arial"/>
          <w:sz w:val="22"/>
          <w:szCs w:val="22"/>
        </w:rPr>
        <w:t xml:space="preserve">*   [40:43] Firmanza suggests that Lembong's lawyers might use the court's inclusion of economic theory as an avenue for further legal challenge. He characterizes the court's use of theory as a confirmation of pre-existing intent rather than an objective analysis.</w:t>
      </w:r>
    </w:p>
    <w:p>
      <w:pPr>
        <w:spacing w:after="60"/>
      </w:pPr>
      <w:r>
        <w:rPr>
          <w:rFonts w:ascii="Arial" w:cs="Arial" w:eastAsia="Arial" w:hAnsi="Arial"/>
          <w:sz w:val="22"/>
          <w:szCs w:val="22"/>
        </w:rPr>
        <w:t xml:space="preserve">*   [41:18] The panelists express concern that the executive, legislative, and judicial branches are becoming intertwined, potentially compromising the independence of state institutions. They highlight the danger of relying on violations of ministerial regulations without sufficient evidence.</w:t>
      </w:r>
    </w:p>
    <w:p>
      <w:pPr>
        <w:spacing w:after="60"/>
      </w:pPr>
      <w:r>
        <w:rPr>
          <w:rFonts w:ascii="Arial" w:cs="Arial" w:eastAsia="Arial" w:hAnsi="Arial"/>
          <w:sz w:val="22"/>
          <w:szCs w:val="22"/>
        </w:rPr>
        <w:t xml:space="preserve">*   [42:33] Oegroseno discusses Lembong's sugar import policy, allegedly based on a presidential directive to control prices. He questions whether the President should have been summoned to testify.</w:t>
      </w:r>
    </w:p>
    <w:p>
      <w:pPr>
        <w:spacing w:after="60"/>
      </w:pPr>
      <w:r>
        <w:rPr>
          <w:rFonts w:ascii="Arial" w:cs="Arial" w:eastAsia="Arial" w:hAnsi="Arial"/>
          <w:sz w:val="22"/>
          <w:szCs w:val="22"/>
        </w:rPr>
        <w:t xml:space="preserve">*   [43:07] Oegroseno argues that if Lembong acted on policy within his executive capacity, particularly if discussed in a cabinet meeting, it should not be forced into the judicial realm and handled by the prosecution.</w:t>
      </w:r>
    </w:p>
    <w:p>
      <w:pPr>
        <w:spacing w:after="60"/>
      </w:pPr>
      <w:r>
        <w:rPr>
          <w:rFonts w:ascii="Arial" w:cs="Arial" w:eastAsia="Arial" w:hAnsi="Arial"/>
          <w:sz w:val="22"/>
          <w:szCs w:val="22"/>
        </w:rPr>
        <w:t xml:space="preserve">*   [44:13] Oegroseno reiterates his critique of the case's construction, focusing on the articles used and the alleged lack of sharp criminal analysis. He suggests the case feels "forced."</w:t>
      </w:r>
    </w:p>
    <w:p>
      <w:pPr>
        <w:spacing w:after="60"/>
      </w:pPr>
      <w:r>
        <w:rPr>
          <w:rFonts w:ascii="Arial" w:cs="Arial" w:eastAsia="Arial" w:hAnsi="Arial"/>
          <w:sz w:val="22"/>
          <w:szCs w:val="22"/>
        </w:rPr>
        <w:t xml:space="preserve">*   [45:43] Oegroseno reiterates that a ministry contributing to a place of worship or providing aid to SMEs could be construed as corruption under a broad interpretation, highlighting the danger of such broad application.</w:t>
      </w:r>
    </w:p>
    <w:p>
      <w:pPr>
        <w:spacing w:after="60"/>
      </w:pPr>
      <w:r>
        <w:rPr>
          <w:rFonts w:ascii="Arial" w:cs="Arial" w:eastAsia="Arial" w:hAnsi="Arial"/>
          <w:sz w:val="22"/>
          <w:szCs w:val="22"/>
        </w:rPr>
        <w:t xml:space="preserve">*   [46:20] Oegroseno states that investigative experts should ideally be police officers. He reiterates the prosecution's stance on no need for fund flow evidence and the court's "alternative element" interpretation as errors.</w:t>
      </w:r>
    </w:p>
    <w:p>
      <w:pPr>
        <w:spacing w:after="60"/>
      </w:pPr>
      <w:r>
        <w:rPr>
          <w:rFonts w:ascii="Arial" w:cs="Arial" w:eastAsia="Arial" w:hAnsi="Arial"/>
          <w:sz w:val="22"/>
          <w:szCs w:val="22"/>
        </w:rPr>
        <w:t xml:space="preserve">*   [46:51] Oegroseno calls the case "forced" and suggests that Article 37 regarding embezzlement in office might be more appropriate if there was no state financial loss.</w:t>
      </w:r>
    </w:p>
    <w:p>
      <w:pPr>
        <w:spacing w:after="60"/>
      </w:pPr>
      <w:r>
        <w:rPr>
          <w:rFonts w:ascii="Arial" w:cs="Arial" w:eastAsia="Arial" w:hAnsi="Arial"/>
          <w:sz w:val="22"/>
          <w:szCs w:val="22"/>
        </w:rPr>
        <w:t xml:space="preserve">*   [47:29] He argues that corruption cases, by definition, involve many parties and conspiracy, contrasting this with Lembong being the sole defendant.</w:t>
      </w:r>
    </w:p>
    <w:p>
      <w:pPr>
        <w:spacing w:after="60"/>
      </w:pPr>
      <w:r>
        <w:rPr>
          <w:rFonts w:ascii="Arial" w:cs="Arial" w:eastAsia="Arial" w:hAnsi="Arial"/>
          <w:sz w:val="22"/>
          <w:szCs w:val="22"/>
        </w:rPr>
        <w:t xml:space="preserve">*   [48:07] Oegroseno questions the relevance of KPK if police can handle corruption cases, referencing a hypothetical scenario where the KPK is dissolved. He highlights the confusion of legal interpretation among police investigators, prosecutors, and judges.</w:t>
      </w:r>
    </w:p>
    <w:p>
      <w:pPr>
        <w:spacing w:after="60"/>
      </w:pPr>
      <w:r>
        <w:rPr>
          <w:rFonts w:ascii="Arial" w:cs="Arial" w:eastAsia="Arial" w:hAnsi="Arial"/>
          <w:sz w:val="22"/>
          <w:szCs w:val="22"/>
        </w:rPr>
        <w:t xml:space="preserve">*   [48:44] Concerns are raised about the potential for well-meaning public servants to be toppled due to differing interpretations of laws, especially regarding upcoming revisions of the Criminal Code and Criminal Procedure Code.</w:t>
      </w:r>
    </w:p>
    <w:p>
      <w:pPr>
        <w:spacing w:after="60"/>
      </w:pPr>
      <w:r>
        <w:rPr>
          <w:rFonts w:ascii="Arial" w:cs="Arial" w:eastAsia="Arial" w:hAnsi="Arial"/>
          <w:sz w:val="22"/>
          <w:szCs w:val="22"/>
        </w:rPr>
        <w:t xml:space="preserve">*   [49:19] Oegroseno emphasizes the importance of paying attention to trial facts and urges prosecutors and judges not to tunnel-vision on their initial indictments.</w:t>
      </w:r>
    </w:p>
    <w:p>
      <w:pPr>
        <w:spacing w:after="60"/>
      </w:pPr>
      <w:r>
        <w:rPr>
          <w:rFonts w:ascii="Arial" w:cs="Arial" w:eastAsia="Arial" w:hAnsi="Arial"/>
          <w:sz w:val="22"/>
          <w:szCs w:val="22"/>
        </w:rPr>
        <w:t xml:space="preserve">*   [50:11] He calls for a total correction of investigators, prosecutors, and judges, prioritizing trial facts.</w:t>
      </w:r>
    </w:p>
    <w:p>
      <w:pPr>
        <w:spacing w:after="60"/>
      </w:pPr>
      <w:r>
        <w:rPr>
          <w:rFonts w:ascii="Arial" w:cs="Arial" w:eastAsia="Arial" w:hAnsi="Arial"/>
          <w:sz w:val="22"/>
          <w:szCs w:val="22"/>
        </w:rPr>
        <w:t xml:space="preserve">*   [50:43] Oegroseno expresses concern that professionalism seems to have been overridden by a "strong message" in the Lembong case, leading to a disconnect between trial arguments and the verdict.</w:t>
      </w:r>
    </w:p>
    <w:p>
      <w:pPr>
        <w:spacing w:after="60"/>
      </w:pPr>
      <w:r>
        <w:rPr>
          <w:rFonts w:ascii="Arial" w:cs="Arial" w:eastAsia="Arial" w:hAnsi="Arial"/>
          <w:sz w:val="22"/>
          <w:szCs w:val="22"/>
        </w:rPr>
        <w:t xml:space="preserve">*   [51:18] The panelists question the purpose of institutions like KPK and BPK if their functions are not respected. They observe an intertwining of executive, judicial, and legislative roles, which undermines institutional independence.</w:t>
      </w:r>
    </w:p>
    <w:p>
      <w:pPr>
        <w:spacing w:after="60"/>
      </w:pPr>
      <w:r>
        <w:rPr>
          <w:rFonts w:ascii="Arial" w:cs="Arial" w:eastAsia="Arial" w:hAnsi="Arial"/>
          <w:sz w:val="22"/>
          <w:szCs w:val="22"/>
        </w:rPr>
        <w:t xml:space="preserve">*   [52:33] Oegroseno discusses the sugar import policy, suggesting that if it was a cabinet-level decision under presidential directive, it should remain within the executive domain, not be forced into a judicial case.</w:t>
      </w:r>
    </w:p>
    <w:p>
      <w:pPr>
        <w:spacing w:after="60"/>
      </w:pPr>
      <w:r>
        <w:rPr>
          <w:rFonts w:ascii="Arial" w:cs="Arial" w:eastAsia="Arial" w:hAnsi="Arial"/>
          <w:sz w:val="22"/>
          <w:szCs w:val="22"/>
        </w:rPr>
        <w:t xml:space="preserve">*   [01:09:59] Firmanza argues that legal certainty is crucial, and if the state fails to manage legal matters justly, it becomes dangerous. He emphasizes that legal processes should not be corrupt from the investigation stage.</w:t>
      </w:r>
    </w:p>
    <w:p>
      <w:pPr>
        <w:spacing w:after="60"/>
      </w:pPr>
      <w:r>
        <w:rPr>
          <w:rFonts w:ascii="Arial" w:cs="Arial" w:eastAsia="Arial" w:hAnsi="Arial"/>
          <w:sz w:val="22"/>
          <w:szCs w:val="22"/>
        </w:rPr>
        <w:t xml:space="preserve">*   [01:11:46] The discussion concludes with the panelists expressing gratitude and reiterating the importance of justice and the separation of powers among state institutions.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**[05:43] Oegroseno:** "Then I said, why must there be an element of damaging state finances. Just write 'damaging the state,' it's easier. No need for 'finances.' If it's finances, there's a flow of funds there." (Critiquing the legal definition of corruption used).</w:t>
      </w:r>
    </w:p>
    <w:p>
      <w:pPr>
        <w:spacing w:after="60"/>
      </w:pPr>
      <w:r>
        <w:rPr>
          <w:rFonts w:ascii="Arial" w:cs="Arial" w:eastAsia="Arial" w:hAnsi="Arial"/>
          <w:sz w:val="22"/>
          <w:szCs w:val="22"/>
        </w:rPr>
        <w:t xml:space="preserve">*   **[08:13] Oegroseno:** "So, it's strange that Article 2 was used for the judge's verdict yesterday. Given the situation, if it relates to his position as minister, then Article 3 on abuse of official authority should have been applied. Why was Article 2 used? That's a question for me." (Questioning the choice of legal article for the conviction).</w:t>
      </w:r>
    </w:p>
    <w:p>
      <w:pPr>
        <w:spacing w:after="60"/>
      </w:pPr>
      <w:r>
        <w:rPr>
          <w:rFonts w:ascii="Arial" w:cs="Arial" w:eastAsia="Arial" w:hAnsi="Arial"/>
          <w:sz w:val="22"/>
          <w:szCs w:val="22"/>
        </w:rPr>
        <w:t xml:space="preserve">*   **[43:07] Oegroseno:** "It's an executive matter. Why is the judiciary forcing itself like this? The position must be clear. If Mr. Tom Lembong acted on his personal behalf, maybe there was a recommendation, and he made his own policy that many people knew about, then fine." (Arguing that policy decisions within the executive branch should not necessarily be criminalized by the judiciary).</w:t>
      </w:r>
    </w:p>
    <w:p>
      <w:pPr>
        <w:spacing w:after="60"/>
      </w:pPr>
      <w:r>
        <w:rPr>
          <w:rFonts w:ascii="Arial" w:cs="Arial" w:eastAsia="Arial" w:hAnsi="Arial"/>
          <w:sz w:val="22"/>
          <w:szCs w:val="22"/>
        </w:rPr>
        <w:t xml:space="preserve">*   **[50:11] Oegroseno:** "For me, this is a total correction for the investigators, the public prosecutors, and the judges. Trial facts are number one." (Emphasizing the primacy of trial evidence over initial assumptions or indictments).</w:t>
      </w:r>
    </w:p>
    <w:p>
      <w:pPr>
        <w:spacing w:after="60"/>
      </w:pPr>
      <w:r>
        <w:rPr>
          <w:rFonts w:ascii="Arial" w:cs="Arial" w:eastAsia="Arial" w:hAnsi="Arial"/>
          <w:sz w:val="22"/>
          <w:szCs w:val="22"/>
        </w:rPr>
        <w:t xml:space="preserve">*   **[01:09:59] Herry Firmanza:** "If a country is no longer capable of managing legal matters, which ultimately leads to a sense of justice, then it is very dangerous. We agree to become one nation because we believe that matters of justice can be regulated by the state." (Highlighting the foundational importance of justice for a functioning state and society).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ikut di sana saya yakin Anda ketawa juga di sebelah di sebelah saya ada siapa Rocky dan seterusnya. Ketika dia bilang ini bicara kapitalis segala macam. Menarik itu karena untuk pertama kalinya saya mendengar ada putusan hakim, dia menyentuh pada wilayah pendekatan filosofis ya. Nah, Anda dihukum karena harga tidak turun, itu menjadi aneh. Ada lima orang yang melakukan yang sama, cuman satu yang dikenakan. Kalau teman-teman yang mengikuti kasus korupsi di daerah pun hal-hal semacam ini jamak ditemukan, Bang.</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Ee cuman karena ya ini menyangkut kasusnya Bang Tom Lembong dan ini ee nasional gitu ya. Jadi akan terkaget-kaget. Bagaimana semua suatu kementerian yang memberikan sumbangan pada tempat ibadah, menguntungkan tempat ibadah. Nanti bisa kena korupsi. Kalau KPK dibubarkan Polri sanggup enggak? Kalau Kapor menyatakan sanggup ya sudah KPK dibubarkan saja. Karena mengartikan pasal bayangin aja. Penyidik polisi sendiri mungkin, penyidik kejaksaan sendiri, kemudian ada ee jaksa sendiri, hakim sendiri.</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Bagaimana orang bisa mencari kepastian hukum seperti itu. Putusan mantan menteri perdagangan di era Presiden Jokowi, Pak Thomas Lembong yang telah divonis oleh pengadilan 4 setengah tahun plus denda 750 juta menimbulkan kontroversi di masyarakat tentang kenapa gerangan hingga palu hukum seperti ini.</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Memang ada banyak perdebatan tentang itu. Salah satunya adalah bahwa Pak Tom Lembong melakukan sesuai dengan kewenangannya. Saya tiba-tiba dibawa ke masa lalu ketika pada awal DPR tahun 2009 ketika kami melakukan membentuk Pansus Century waktu itu. Itu juga soal kewenangan. Menyangkut dengan penyelamatan bank Century waktu itu. Dan masih banyak lagi kewenangan-kewenangan lain yang kemudian kita persoalkan.</w:t>
      </w:r>
    </w:p>
    <w:p>
      <w:pPr>
        <w:spacing w:after="80" w:before="160"/>
      </w:pPr>
      <w:r>
        <w:rPr>
          <w:rFonts w:ascii="Arial" w:cs="Arial" w:eastAsia="Arial" w:hAnsi="Arial"/>
          <w:b/>
          <w:bCs/>
          <w:color w:val="2E75B6"/>
          <w:sz w:val="22"/>
          <w:szCs w:val="22"/>
        </w:rPr>
        <w:t xml:space="preserve">[02:26] </w:t>
      </w:r>
      <w:r>
        <w:rPr>
          <w:rFonts w:ascii="Arial" w:cs="Arial" w:eastAsia="Arial" w:hAnsi="Arial"/>
          <w:sz w:val="22"/>
          <w:szCs w:val="22"/>
        </w:rPr>
        <w:t xml:space="preserve">Nah, kembali pada putusan Pak Tom Lembong ini, ada banyak suara yang berpendar soal itu. Soal apakah sebenarnya kewenangan yang diberikan kepada Tom Lembong sebagai menteri dari presiden bahkan, sekali lagi saya ulangi, dari presiden bahkan presiden Jokowi maksudnya, untuk melakukan berbagai tugas baca untuk kemudian mendapatkan pidana korupsi seperti ini. Ada suara yang berbeda dari Pak Mahfud MD bahwa jika memang melihat situasinya seperti itu, ada apa ya. Saya harus hati-hati menyebutnya.</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Tampaknya di bisa disimpulkan bahwa itu bisa dipahami sebenarnya. Tetapi pada banyak pendapat yang lain juga mengatakan bahwa ini terlalu berlebihan. Salah satunya alasannya bahwa dia adalah mantan tim suksesnya calon presiden lainnya. Seharusnya kita sudah tidak lagi berbicara seperti itu. Ya, kalaupun misalnya itu ternyata benar adanya.</w:t>
      </w:r>
    </w:p>
    <w:p>
      <w:pPr>
        <w:spacing w:after="80" w:before="160"/>
      </w:pPr>
      <w:r>
        <w:rPr>
          <w:rFonts w:ascii="Arial" w:cs="Arial" w:eastAsia="Arial" w:hAnsi="Arial"/>
          <w:b/>
          <w:bCs/>
          <w:color w:val="2E75B6"/>
          <w:sz w:val="22"/>
          <w:szCs w:val="22"/>
        </w:rPr>
        <w:t xml:space="preserve">[03:35] </w:t>
      </w:r>
      <w:r>
        <w:rPr>
          <w:rFonts w:ascii="Arial" w:cs="Arial" w:eastAsia="Arial" w:hAnsi="Arial"/>
          <w:sz w:val="22"/>
          <w:szCs w:val="22"/>
        </w:rPr>
        <w:t xml:space="preserve">Ada banyak hal di sini yang akan kita bicarakan. Mohon izin dan mohon maaf kepada para penonton Akbar Faisal, Ansor, bahwa tampaknya episode kali ini agak berbeda sebab saya dan narasumber tidak berada di studio. Kita harus melakukannya melalui Zoom. Sebab saya lagi berada di di luar negeri ya. Saya lagi sedang ada kegiatan pribadi di London. Nah, untuk itu saya telah mengajak beberapa orang yang tampaknya telah mengambil sikap banyak di ruang publik.</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Pertama adalah komisaris Jenderal Purnawirawan Oegroseno, mantan Wakapolri periode 2013-2014. Bang Ogi, terima kasih sudah bergabung. Masih Bang Faisal, selamat siang. Siang. Siap. Siap. Kemudian Bang Saut Situmorang, sahabat saya, wakil ketua KPK periode 2015-2019. Bang Saut, terima kasih. Yap, sama-sama terima kasih juga. Yang ketiga, Kang Herry Firmanza, pakar hukum Universitas Tarumanegara juga bergabung lewat Zoom.</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Selamat bergabung Bang Heri. Selamat bergabung Bang Heri. Selamat. Terima kasih Bang Akbar atas undangannya. Salam sehat. Ya. Ee itu yang poin yang kita bicarakan. Ada beberapa poin tadi juga yang saya mau sampaikan adalah kalau begitu ceritanya kalau ternyata ee kebijakan dan kewenangan yang menjadi poin dari masalah ini selain soal tim sukses dan sukses calon presiden lainnya sebelumnya itu adalah boleh dong.</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Orang-orangnya Pak Tom Lembong dan atau pengacaranya dan atau kelompok mereka, kalau kita katakan sebagai kelompok, mulai mencari tahu juga dan melakukan langkah-langkah hukum menyangkut dengan kebijakan-kebijakan kementerian yang lainnya selama periode itu. Nah, itu poin-poin yang akan kita bicarakan. Saya ke Bang Ogi dulu. Bang Ogi, tampaknya banyak mengambil sikap menyangkut ini. Ee Jenderal, ini kira-kira bagaimana sih kita harus menyikapi putusan ini, Bang Ogi? Silakan.</w:t>
      </w:r>
    </w:p>
    <w:p>
      <w:pPr>
        <w:spacing w:after="80" w:before="160"/>
      </w:pPr>
      <w:r>
        <w:rPr>
          <w:rFonts w:ascii="Arial" w:cs="Arial" w:eastAsia="Arial" w:hAnsi="Arial"/>
          <w:b/>
          <w:bCs/>
          <w:color w:val="2E75B6"/>
          <w:sz w:val="22"/>
          <w:szCs w:val="22"/>
        </w:rPr>
        <w:t xml:space="preserve">[05:43] </w:t>
      </w:r>
      <w:r>
        <w:rPr>
          <w:rFonts w:ascii="Arial" w:cs="Arial" w:eastAsia="Arial" w:hAnsi="Arial"/>
          <w:sz w:val="22"/>
          <w:szCs w:val="22"/>
        </w:rPr>
        <w:t xml:space="preserve">Iya, Pak Akbar. Jadi pertama kali saat Pak Tom Lembong ditahan oleh pihak Kejaksaan Agung. Saya mengatakan di sini, apakah unsur-unsur dalam pasal 2 atau pasal 3 waktu itu, Undang-Undang 31 tahun 99 itu memenuhi unsur. Iya. Kemudian saya katakan, aliran dananya di mana sudah diaudit belum? Karena itu kan diduga merugikan keuangan negara atau perekonomian negara. Kemudian dijawab oleh salah satu Direktur Penyidikan Kejaksaan Agung bahwa dalam masalah tindak pidana korupsi tidak perlu ada aliran dana.</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Ya. Itu yang pertama kali. Nah, saya bilang, kenapa harus ada dicantumkan unsur menggunakan apa merugikan keuangan negara. Tulis saja merugikan negara lebih enak. Enggak usah ada keuangan. Kalau keuangan kan ada aliran di situ. Oh, oke. Kemudian ini berbeda dengan apa yang dikatakan oleh Hakim kemarin dalam pertimbangan bahwa aliran apa merugikan keuangan negara atau perekonomian negara itu merupakan unsur alternatif.</w:t>
      </w:r>
    </w:p>
    <w:p>
      <w:pPr>
        <w:spacing w:after="80" w:before="160"/>
      </w:pPr>
      <w:r>
        <w:rPr>
          <w:rFonts w:ascii="Arial" w:cs="Arial" w:eastAsia="Arial" w:hAnsi="Arial"/>
          <w:b/>
          <w:bCs/>
          <w:color w:val="2E75B6"/>
          <w:sz w:val="22"/>
          <w:szCs w:val="22"/>
        </w:rPr>
        <w:t xml:space="preserve">[06:59] </w:t>
      </w:r>
      <w:r>
        <w:rPr>
          <w:rFonts w:ascii="Arial" w:cs="Arial" w:eastAsia="Arial" w:hAnsi="Arial"/>
          <w:sz w:val="22"/>
          <w:szCs w:val="22"/>
        </w:rPr>
        <w:t xml:space="preserve">Nah, saya baru dengar di sini. Di sisi lain kejaksaan, penyidiknya menyatakan bahwa tidak perlu ada aliran dana, tapi pihak hakim menyatakan merupakan unsur alternatif. Apakah di di pasal-pasal Undang-Undang tidak pidana dan tidak pidana korupsi ini sudah ada tersirat alternatif seperti itu? Itu yang bikin saya bertanya-tanya.</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Ya. Kemudian setelah beliau diproses dalam persidangan juga masalah BPKP. Jadi fakta-fakta sidang itu tidak pernah disampaikan secara jelas. Dan dalam pertimbangan hakim kemarin saya melihat, semuanya yang dilanggar oleh Pak Tom ini adalah melanggar peraturan menteri perdagangan. Peraturan menteri perdagangan situ. Tidak melakukan rapat, koordinasi dan sebagainya. Ya seperti itu. Ya. Jadi tidak mengkaitkan diri sendiri. Unsur memperkaya diri sendiri juga tidak terbukti. Unsur memperkaya orang lain juga tidak terbukti. Unsur memperkaya korporasi juga tidak terbukti.</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Sehingga bagi saya pasal 2 atau pasal 3 itu sangat aneh kalau diterapkan kepada Pak Tom Lembong. Yang berikutnya pasal 2 digunakan untuk vonis hakim kemarin. Nah, tempo seliknya ini, Pak Tom waktu itu menjabat sebagai menteri. Seharusnya kalau dikaitkan dengan tempo selik, berarti pasal 3 yang dilakukan penyalahgunaan wewenang jabatan resmi pasal 3. Kenapa dikenakan pasal 2? Itu yang menjadi tanda tanya bagi saya. Sehingga saya melihat di situ kalau pasal 2 ancaman minimal 4 tahun, kalau di pasal 3 ancaman minimal 1 tahun. Tapi kan maksimalnya hampir sama di situ.</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Jadi tiga kakanya itu yang berkaitan dengan putusan Pak Tom Lembong kemarin. Oke. Bang, sebelum saya ke narasumber lain. Ee dalam persidangan-persidangan itu kan saya lihat ini Bang Ogi itu kan aktif ya, hadir di persidangan dan mengikutinya itu. Ee saya dengar semua pertimbangan pertimbangan dan atau hal-hal yang layak disampaikan oleh Pak Tom Lembong itu sudah disampaikan.</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Itu sama sekali tidak mendapatkan perhatian dari hakim pengadilan ya, Bang Ogi ya? Ya, hampir sama dengan kasusnya Pak Aston di sini. Jadi fakta persidangan saat pembuktian itu tidak di tidak dilakukan oleh jaksa pada saat membacakan tuntutan. Ya, jadi bagi saya sangat aneh kalau JPU sama dengan di Pak Tom Lembong ini tidak menyampaikan fakta-fakta sidang sebenarnya seperti itu.</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Karena waktu ditanya saya ikuti sidang, salah satu yang ditanyakan pada saksi itu adalah proses pengurusan importasi gula kristal mentah. Nah, itu kan kalau ditanya proses pengurusan importasi gula kristal mentah itu kan berkaitan dengan sidang pengadilan tata usaha negara. Kenapa masuk di apa di undang-undang tidak pidana korupsi di situ. Jadi bagi saya hal-hal seperti itu yang sebenarnya fatal dan menimbulkan pertanyaan bagi saya sendiri sebagai mantan penegak hukum.</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Pertanyaannya gini, pernahkah dimunculkan ini dan kemudian apa argumen masing-masing pihak di dalam persidangan itu melihat ini. Bang Saut, ee sebagai mantan penyidik dan pimpinan KPK itu ee bagaimana sih kita harus melihat situasinya ini? Ee, saya ingat saya, Bapak. Jadi ada satu hal yang paling sangat kita hati-hati. Sepanjang saya 4 tahun di sana.</w:t>
      </w:r>
    </w:p>
    <w:p>
      <w:pPr>
        <w:spacing w:after="80" w:before="160"/>
      </w:pPr>
      <w:r>
        <w:rPr>
          <w:rFonts w:ascii="Arial" w:cs="Arial" w:eastAsia="Arial" w:hAnsi="Arial"/>
          <w:b/>
          <w:bCs/>
          <w:color w:val="2E75B6"/>
          <w:sz w:val="22"/>
          <w:szCs w:val="22"/>
        </w:rPr>
        <w:t xml:space="preserve">[11:46] </w:t>
      </w:r>
      <w:r>
        <w:rPr>
          <w:rFonts w:ascii="Arial" w:cs="Arial" w:eastAsia="Arial" w:hAnsi="Arial"/>
          <w:sz w:val="22"/>
          <w:szCs w:val="22"/>
        </w:rPr>
        <w:t xml:space="preserve">Ketika ada kerugian negara, tapi kickback-nya enggak ada. Saya tanya penyidik, ada kerugiannya ada Pak, kickback-nya enggak ada. Jadi kita enggak bisa masuk, Bang. Jadi itu. Ee, itu hal yang paling sangat kita hati-hati. Itu adalah pokoknya kita sangat hati-hati. Yang berikutnya ee pasal 2 digunakan untuk vonis hakim kemarin.</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Ee, Bapak, saya ingat saya, Bapak. Ee, itu hal yang paling sangat kita hati-hati.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[14:08]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[18:04]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[20:24]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[20:59]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Ee, Bapak, saya ingat saya, Bapak. Ee, Bapak, saya ingat saya, Bapak. Ee, Bapak, saya ingat saya, Bapak. Ee, Bapak, saya ingat saya, Bapak. Ee, Bapak, saya ingat saya, Bapak.</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Ee, Bapak, saya ingat saya, Bapak. Bun Akbar kalau ikut di sana saya yakin Anda ketawa juga di sebelah di sebelah saya ada siapa Rocky dan seterusnya. Ketika dia bilang ini bicara kapitalis segala macam. Menarik itu karena untuk pertama kalinya saya mendengar ada putusan hakim, dia menyentuh pada wilayah pendekatan filosofis ya. Nah, Anda dihukum karena harga tidak turun, itu menjadi aneh. Ada lima orang yang melakukan yang sama, cuman satu yang dikenakan. Kalau teman-teman yang mengikuti kasus korupsi di daerah pun hal-hal semacam ini jamak ditemukan, Bang. Ee cuman karena ya ini menyangkut kasusnya Bang Tom Lembong dan ini ee nasional gitu ya. Jadi akan terkaget-kaget. Bagaimana semua suatu kementerian yang memberikan sumbangan pada tempat ibadah, menguntungkan tempat ibadah. Nanti bisa kena korupsi. Kalau KPK dibubarkan Polri sanggup enggak? Kalau Kapor menyatakan sanggup ya sudah KPK dibubarkan saja. Karena mengartikan pasal bayangin aja. Penyidik polisi sendiri mungkin, penyidik kejaksaan sendiri, kemudian ada ee jaksa sendiri, hakim sendiri. Bagaimana orang bisa mencari kepastian hukum seperti itu. Putusan mantan menteri perdagangan di era Presiden Jokowi, Pak Thomas Lembong yang telah divonis oleh pengadilan 4 setengah tahun plus denda 750 juta menimbulkan kontroversi di masyarakat tentang kenapa gerangan hingga palu hukum seperti ini. Memang ada banyak perdebatan tentang itu. Salah satunya adalah bahwa Pak Tom Lembong melakukan sesuai dengan kewenangannya. Saya tiba-tiba dibawa ke masa lalu ketika pada awal DPR tahun 2009 ketika kami melakukan membentuk Pansus Century waktu itu. Itu juga soal kewenangan. Menyangkut dengan penyelamatan bank Century waktu itu. Dan masih banyak lagi kewenangan-kewenangan lain yang kemudian kita persoalkan. Nah, kembali pada putusan Pak Tom Lembong ini, ada banyak suara yang berpendar soal itu. Soal apakah sebenarnya kewenangan yang diberikan kepada Tom Lembong sebagai menteri dari presiden bahkan, sekali lagi saya ulangi, dari presiden bahkan presiden Jokowi maksudnya, untuk melakukan berbagai tugas baca untuk kemudian mendapatkan pidana korupsi seperti ini. Ada suara yang berbeda dari Pak Mahfud MD bahwa jika memang melihat situasinya seperti itu, ada apa ya. Saya harus hati-hati menyebutnya. Tampaknya di bisa disimpulkan bahwa itu bisa dipahami sebenarnya. Tetapi pada banyak pendapat yang lain juga mengatakan bahwa ini terlalu berlebihan. Salah satunya alasannya bahwa dia adalah mantan tim suksesnya calon presiden lainnya. Seharusnya kita sudah tidak lagi berbicara seperti itu. Ya, kalaupun misalnya itu ternyata benar adanya. Ada banyak hal di sini yang akan kita bicarakan. Mohon izin dan mohon maaf kepada para penonton Akbar Faisal, Ansor, bahwa tampaknya episode kali ini agak berbeda sebab saya dan narasumber tidak berada di studio. Kita harus melakukannya melalui Zoom. Sebab saya lagi berada di di luar negeri ya. Saya lagi sedang ada kegiatan pribadi di London. Nah, untuk itu saya telah mengajak beberapa orang yang tampaknya telah mengambil sikap banyak di ruang publik. Pertama adalah komisaris Jenderal Purnawirawan Oegroseno, mantan Wakapolri periode 2013-2014. Bang Ogi, terima kasih sudah bergabung. Masih Bang Faisal, selamat siang. Siang. Siap. Siap. Kemudian Bang Saut Situmorang, sahabat saya, wakil ketua KPK periode 2015-2019. Bang Saut, terima kasih. Yap, sama-sama terima kasih juga. Yang ketiga, Kang Herry Firmanza, pakar hukum Universitas Tarumanegara juga bergabung lewat Zoom. Selamat bergabung Bang Heri. Selamat. Terima kasih Bang Akbar atas undangannya. Salam sehat. Ee itu yang poin yang kita bicarakan. Ada beberapa poin tadi juga yang saya mau sampaikan adalah kalau begitu ceritanya kalau ternyata ee kebijakan dan kewenangan yang menjadi poin dari masalah ini selain soal tim sukses dan sukses calon presiden lainnya sebelumnya itu adalah boleh dong. Orang-orangnya Pak Tom Lembong dan atau pengacaranya dan atau kelompok mereka, kalau kita katakan sebagai kelompok, mulai mencari tahu juga dan melakukan langkah-langkah hukum menyangkut dengan kebijakan-kebijakan kementerian yang lainnya selama periode itu. Nah, itu poin-poin yang akan kita bicarakan. Saya ke Bang Ogi dulu. Bang Ogi, tampaknya banyak mengambil sikap menyangkut ini. Ee Jenderal, ini kira-kira bagaimana sih kita harus menyikapi putusan ini, Bang Ogi? Silakan. Iya, Pak Akbar. Jadi pertama kali saat Pak Tom Lembong ditahan oleh pihak Kejaksaan Agung. Saya mengatakan di sini, apakah unsur-unsur dalam pasal 2 atau pasal 3 waktu itu, Undang-Undang 31 tahun 99 itu memenuhi unsur. Iya. Kemudian saya katakan, aliran dananya di mana sudah diaudit belum? Karena itu kan diduga merugikan keuangan negara atau perekonomian negara. Kemudian dijawab oleh salah satu Direktur Penyidikan Kejaksaan Agung bahwa dalam masalah tindak pidana korupsi tidak perlu ada aliran dana. Ya. Itu yang pertama kali. Nah, saya bilang, kenapa harus ada dicantumkan unsur menggunakan apa merugikan keuangan negara. Tulis saja merugikan negara lebih enak. Enggak usah ada keuangan. Kalau keuangan kan ada aliran di situ. Oh, oke. Kemudian ini berbeda dengan apa yang dikatakan oleh Hakim kemarin dalam pertimbangan bahwa aliran apa merugikan keuangan negara atau perekonomian negara itu merupakan unsur alternatif. Nah, saya baru dengar di sini. Di sisi lain kejaksaan, penyidiknya menyatakan bahwa tidak perlu ada aliran dana, tapi pihak hakim menyatakan merupakan unsur alternatif. Apakah di di pasal-pasal Undang-Undang tidak pidana dan tidak pidana korupsi ini sudah ada tersirat alternatif seperti itu? Itu yang bikin saya bertanya-tanya. Ya. Kemudian setelah beliau diproses dalam persidangan juga masalah BPKP. Jadi fakta-fakta sidang itu tidak pernah disampaikan secara jelas. Dan dalam pertimbangan hakim kemarin saya melihat, semuanya yang dilanggar oleh Pak Tom ini adalah melanggar peraturan menteri perdagangan. Peraturan menteri perdagangan situ. Tidak melakukan rapat, koordinasi dan sebagainya. Ya seperti itu. Ya. Jadi tidak mengkaitkan diri sendiri. Unsur memperkaya diri sendiri juga tidak terbukti. Unsur memperkaya orang lain juga tidak terbukti. Unsur memperkaya korporasi juga tidak terbukti. Sehingga bagi saya pasal 2 atau pasal 3 itu sangat aneh kalau diterapkan kepada Pak Tom Lembong. Yang berikutnya pasal 2 digunakan untuk vonis hakim kemarin. Nah, tempo seliknya ini, Pak Tom waktu itu menjabat sebagai menteri. Seharusnya kalau dikaitkan dengan tempo selik, berarti pasal 3 yang dilakukan penyalahgunaan wewenang jabatan resmi pasal 3. Kenapa dikenakan pasal 2? Itu yang menjadi tanda tanya bagi saya. Sehingga saya melihat di situ kalau pasal 2 ancaman minimal 4 tahun, kalau di pasal 3 ancaman minimal 1 tahun. Tapi kan maksimalnya hampir sama di situ. Jadi tiga kakanya itu yang berkaitan dengan putusan Pak Tom Lembong kemarin. Oke. Bang, sebelum saya ke narasumber lain. Ee dalam persidangan-persidangan itu kan saya lihat ini Bang Ogi itu kan aktif ya, hadir di persidangan dan mengikutinya itu. Ee saya dengar semua pertimbangan pertimbangan dan atau hal-hal yang layak disampaikan oleh Pak Tom Lembong itu sudah disampaikan. Itu sama sekali tidak mendapatkan perhatian dari hakim pengadilan ya, Bang Ogi ya? Ya, hampir sama dengan kasusnya Pak Aston di sini. Jadi fakta persidangan saat pembuktian itu tidak di tidak dilakukan oleh jaksa pada saat membacakan tuntutan. Ya, jadi bagi saya sangat aneh kalau JPU sama dengan di Pak Tom Lembong ini tidak menyampaikan fakta-fakta sidang sebenarnya seperti itu. Karena waktu ditanya saya ikuti sidang, salah satu yang ditanyakan pada saksi itu adalah proses pengurusan importasi gula kristal mentah. Nah, itu kan kalau ditanya proses pengurusan importasi gula kristal mentah itu kan berkaitan dengan sidang pengadilan tata usaha negara. Kenapa masuk di apa di undang-undang tidak pidana korupsi di situ. Jadi bagi saya hal-hal seperti itu yang sebenarnya fatal dan menimbulkan pertanyaan bagi saya sendiri sebagai mantan penegak hukum.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saya dengar semua pertimbangan pertimbangan dan atau hal-hal yang layak disampaikan oleh Pak Tom Lembong itu sudah disampaikan. Itu sama sekali tidak mendapatkan perhatian dari hakim pengadilan ya, Bang Ogi ya? Ee, Bapak, saya ingat saya, Bapak. Jadi fakta persidangan saat pembuktian itu tidak di tidak dilakukan oleh jaksa pada saat membacakan tuntutan. Ya, jadi bagi saya sangat aneh kalau JPU sama dengan di Pak Tom Lembong ini tidak menyampaikan fakta-fakta sidang sebenarnya seperti itu. Karena waktu ditanya saya ikuti sidang, salah satu yang ditanyakan pada saksi itu adalah proses pengurusan importasi gula kristal mentah. Nah, itu kan kalau ditanya proses pengurusan importasi gula kristal mentah itu kan berkaitan dengan sidang pengadilan tata usaha negara. Kenapa masuk di apa di undang-undang tidak pidana korupsi di situ. Jadi bagi saya hal-hal seperti itu yang sebenarnya fatal dan menimbulkan pertanyaan bagi saya sendiri sebagai mantan penegak hukum.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[28:23]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[28:59]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[30:05]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[34:29]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[34:59]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Pertanyaannya gini, pernahkah dimunculkan ini dan kemudian apa argumen masing-masing pihak di dalam persidangan itu melihat ini. Ee, Bang Saut, ee sebagai mantan penyidik dan pimpinan KPK itu ee bagaimana sih kita harus melihat situasinya ini? Ee, saya ingin tahu karena itu kan beredar di ruang media sosial itu catatan kecil tentang total impor yang pernah dilakukan oleh lima kementerian perdagangan sebelumnya itu. Pertanyaannya gini, pernahkah dimunculkan ini dan kemudian apa argumen masing-masing pihak di dalam persidangan itu melihat ini. Ee, Bang Saut, ee sebagai mantan penyidik dan pimpinan KPK itu ee bagaimana sih kita harus melihat situasinya ini?</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Ee, saya ingin tahu karena itu kan beredar di ruang media sosial itu catatan kecil tentang total impor yang pernah dilakukan oleh lima kementerian perdagangan sebelumnya itu. kalau kita sepakati, ini bisnis as usual atau apa ini? Kalaupun dia kebijakan kebijakan yang bisa dikriminalisasi yang mana begitu ya. Kemudian tadi menarik juga bahwa sudah ada sentuhan memasukkan teori perspektif ekonomi di dalamnya. Tapi ya yang mungkin diingatkan begini, Bang, bahwa teori, ketika kita menulis dalam satu disertasi, tesis atau skripsi, itu kan pisau analisis yang dipakai, Bang. Tergantung cara kita. Abang bisa aja kalau standing-nya mungkin berlawanan dan mencari teori yang lain. Ini kan ini ya. Tapi ya akan ketemu, Bang, teori itu gitu. Tinggal, tinggal legal standing kita di mana, positioning kita di mana. Maka perlu tadi untuk sama perspektifnya. Yang yang yang perlu harus dilihat itu sebenarnya adalah fakta persidangannya. Fakta persidangannya bunyinya apa sih? Ada nggak sih yang ditakwakankan itu kemudian 100% bisa dibuktikan karena dalam menyusun tuntutan kan pasti dasarnya fakta persidangan, Bang. Beda dengan dakwaan itu dasarnya berita acara pemeriksaan. Bang Oggro ini beliau sudah senior sekali, nanti akan komentar mungkin kan, apakah benar atau tidak yang saya sampaikan tadi, tapi yang kita pahami demikian, Bang. Jadi sebenarnya teorinya bisa apa aja untuk mendukung ke sana. Masalahnya kan positioningnya berarti untuk mendukung bahwa apa yang dilakukan ini sudah adalah masuk sebagai suatu kejahatan, suatu tindakan. Yang saya tangkap begitu. Saya tidak mendudukkan teorinya apa pun, tapi rasa-rasanya itu untuk mendukung di ujungnya adalah pastinya pemidanaan dan ini bersalah di muka hukum. Kalau kalau yang lainnya bisa digunakan, misalnya teori mungkin negara kesejahteraan, welfare state, gitu kan, kan sebenarnya bisa aja, Bang. Itu juga ada. Gini, Mas. Sebelum saya ke Bang Oggro. Yang saya maksudkan begini, mungkin karena saya suka nonton film-film bagaimana negara-negara barat ya, negara-negara Amerika di Amerika itu para sepak terjang pengacaranya itu melakukan berbagai hal. Saya membayangkan begini. Ini kan bukan temuan baru ya. Ini kan model baru dalam putusan, memasukkan apa namanya pertimbangan yang seperti yang barusan kita bicarakan tadi. Saya membayangkan pengacaranya Pak Tom Lembong itu malah menjadikan pintu ini untuk melakukan langkah-langkah berikutnya bahwa, oh, kalau ternyata itu argumentasinya, maka oke, kita bicara lebih jauh dan bisa saja ujungnya berbeda dengan putusan ini kan. Saya kira kan gitu, Mas, ya. Betul, betul. Sepakat, Bang Akbar. Bahwa ya sebenarnya kalau di sisi lawyer tentunya, apapun hasil itu kan pasti harus dikritisi ya. Termasuk putusan materi atau penggunaan teori tadi yang dipakai. Sekali lagi, bagi saya itu pun akhirnya judgment kan bahwa ini dari awal adalah untuk menguntungkan atau mengambil keuntungan semata-mata bukan untuk kesejahteraan. Jadi ini hanya penguat saja menurut saya apa apa untuk mendengungkan bahwa dari awal memang ini sudah ada niat jahat begitu. Karena itu yang digunakan adalah untuk ke arah sana pandangannya. Karena tadi saya katakan, bisa saja kita bicara bicara hukum itu bahkan tidak hanya keadilan, Bang, ada kepastian hukum ada kemanfaatan. Kalau kita bermain di ranah kemanfaatan, kita akan berdebat, ya kan? Habis panjang ini. Mengapa GKM, GKP dan lain sebagainya, mengapa kemudian memang apa 100 rupiah itu jadi masalah kerugian negara atau tidak. Tentu kita akan berdebat masalah kemanfaatan. Kalau kemanfaatan membuka hilirisasi, begitu ya. Industri yang kemudian juga dikembangkan di sana, orang-orang yang terlibat di sana yang bisa dimaksimalkan dalam hal kesejahteraannya. Nah ini akan hitung-hitungan, tidak lagi, Bang. Tapi kan arahnya sudah apa segaris dengan dakwaan menurut saya, ya putusannya hasilnya 4,5 tahun tadi, Bang. Gitu. Oke. Ke Bang Oggro. Bang, um, saya ingin me-refresh kembali memori kita menyangkut dengan persidangan ini. Coba kan Abang seorang penyidik senior ya, puluhan tahun di di apa reserse. 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 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 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 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 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 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 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 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 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 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w:t>
      </w:r>
    </w:p>
    <w:p>
      <w:pPr>
        <w:spacing w:after="80" w:before="160"/>
      </w:pPr>
      <w:r>
        <w:rPr>
          <w:rFonts w:ascii="Arial" w:cs="Arial" w:eastAsia="Arial" w:hAnsi="Arial"/>
          <w:b/>
          <w:bCs/>
          <w:color w:val="2E75B6"/>
          <w:sz w:val="22"/>
          <w:szCs w:val="22"/>
        </w:rPr>
        <w:t xml:space="preserve">[43:07] </w:t>
      </w:r>
      <w:r>
        <w:rPr>
          <w:rFonts w:ascii="Arial" w:cs="Arial" w:eastAsia="Arial" w:hAnsi="Arial"/>
          <w:sz w:val="22"/>
          <w:szCs w:val="22"/>
        </w:rPr>
        <w:t xml:space="preserve">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w:t>
      </w:r>
    </w:p>
    <w:p>
      <w:pPr>
        <w:spacing w:after="80" w:before="160"/>
      </w:pPr>
      <w:r>
        <w:rPr>
          <w:rFonts w:ascii="Arial" w:cs="Arial" w:eastAsia="Arial" w:hAnsi="Arial"/>
          <w:b/>
          <w:bCs/>
          <w:color w:val="2E75B6"/>
          <w:sz w:val="22"/>
          <w:szCs w:val="22"/>
        </w:rPr>
        <w:t xml:space="preserve">[43:37] </w:t>
      </w:r>
      <w:r>
        <w:rPr>
          <w:rFonts w:ascii="Arial" w:cs="Arial" w:eastAsia="Arial" w:hAnsi="Arial"/>
          <w:sz w:val="22"/>
          <w:szCs w:val="22"/>
        </w:rPr>
        <w:t xml:space="preserve">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w:t>
      </w:r>
    </w:p>
    <w:p>
      <w:pPr>
        <w:spacing w:after="80" w:before="160"/>
      </w:pPr>
      <w:r>
        <w:rPr>
          <w:rFonts w:ascii="Arial" w:cs="Arial" w:eastAsia="Arial" w:hAnsi="Arial"/>
          <w:b/>
          <w:bCs/>
          <w:color w:val="2E75B6"/>
          <w:sz w:val="22"/>
          <w:szCs w:val="22"/>
        </w:rPr>
        <w:t xml:space="preserve">[46:20] </w:t>
      </w:r>
      <w:r>
        <w:rPr>
          <w:rFonts w:ascii="Arial" w:cs="Arial" w:eastAsia="Arial" w:hAnsi="Arial"/>
          <w:sz w:val="22"/>
          <w:szCs w:val="22"/>
        </w:rPr>
        <w:t xml:space="preserve">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w:t>
      </w:r>
    </w:p>
    <w:p>
      <w:pPr>
        <w:spacing w:after="80" w:before="160"/>
      </w:pPr>
      <w:r>
        <w:rPr>
          <w:rFonts w:ascii="Arial" w:cs="Arial" w:eastAsia="Arial" w:hAnsi="Arial"/>
          <w:b/>
          <w:bCs/>
          <w:color w:val="2E75B6"/>
          <w:sz w:val="22"/>
          <w:szCs w:val="22"/>
        </w:rPr>
        <w:t xml:space="preserve">[46:51] </w:t>
      </w:r>
      <w:r>
        <w:rPr>
          <w:rFonts w:ascii="Arial" w:cs="Arial" w:eastAsia="Arial" w:hAnsi="Arial"/>
          <w:sz w:val="22"/>
          <w:szCs w:val="22"/>
        </w:rPr>
        <w:t xml:space="preserve">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w:t>
      </w:r>
    </w:p>
    <w:p>
      <w:pPr>
        <w:spacing w:after="80" w:before="160"/>
      </w:pPr>
      <w:r>
        <w:rPr>
          <w:rFonts w:ascii="Arial" w:cs="Arial" w:eastAsia="Arial" w:hAnsi="Arial"/>
          <w:b/>
          <w:bCs/>
          <w:color w:val="2E75B6"/>
          <w:sz w:val="22"/>
          <w:szCs w:val="22"/>
        </w:rPr>
        <w:t xml:space="preserve">[48:44] </w:t>
      </w:r>
      <w:r>
        <w:rPr>
          <w:rFonts w:ascii="Arial" w:cs="Arial" w:eastAsia="Arial" w:hAnsi="Arial"/>
          <w:sz w:val="22"/>
          <w:szCs w:val="22"/>
        </w:rPr>
        <w:t xml:space="preserve">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w:t>
      </w:r>
    </w:p>
    <w:p>
      <w:pPr>
        <w:spacing w:after="80" w:before="160"/>
      </w:pPr>
      <w:r>
        <w:rPr>
          <w:rFonts w:ascii="Arial" w:cs="Arial" w:eastAsia="Arial" w:hAnsi="Arial"/>
          <w:b/>
          <w:bCs/>
          <w:color w:val="2E75B6"/>
          <w:sz w:val="22"/>
          <w:szCs w:val="22"/>
        </w:rPr>
        <w:t xml:space="preserve">[49:19] </w:t>
      </w:r>
      <w:r>
        <w:rPr>
          <w:rFonts w:ascii="Arial" w:cs="Arial" w:eastAsia="Arial" w:hAnsi="Arial"/>
          <w:sz w:val="22"/>
          <w:szCs w:val="22"/>
        </w:rPr>
        <w:t xml:space="preserve">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w:t>
      </w:r>
    </w:p>
    <w:p>
      <w:pPr>
        <w:spacing w:after="80" w:before="160"/>
      </w:pPr>
      <w:r>
        <w:rPr>
          <w:rFonts w:ascii="Arial" w:cs="Arial" w:eastAsia="Arial" w:hAnsi="Arial"/>
          <w:b/>
          <w:bCs/>
          <w:color w:val="2E75B6"/>
          <w:sz w:val="22"/>
          <w:szCs w:val="22"/>
        </w:rPr>
        <w:t xml:space="preserve">[50:11] </w:t>
      </w:r>
      <w:r>
        <w:rPr>
          <w:rFonts w:ascii="Arial" w:cs="Arial" w:eastAsia="Arial" w:hAnsi="Arial"/>
          <w:sz w:val="22"/>
          <w:szCs w:val="22"/>
        </w:rPr>
        <w:t xml:space="preserve">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w:t>
      </w:r>
    </w:p>
    <w:p>
      <w:pPr>
        <w:spacing w:after="80" w:before="160"/>
      </w:pPr>
      <w:r>
        <w:rPr>
          <w:rFonts w:ascii="Arial" w:cs="Arial" w:eastAsia="Arial" w:hAnsi="Arial"/>
          <w:b/>
          <w:bCs/>
          <w:color w:val="2E75B6"/>
          <w:sz w:val="22"/>
          <w:szCs w:val="22"/>
        </w:rPr>
        <w:t xml:space="preserve">[50:43] </w:t>
      </w:r>
      <w:r>
        <w:rPr>
          <w:rFonts w:ascii="Arial" w:cs="Arial" w:eastAsia="Arial" w:hAnsi="Arial"/>
          <w:sz w:val="22"/>
          <w:szCs w:val="22"/>
        </w:rPr>
        <w:t xml:space="preserve">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w:t>
      </w:r>
    </w:p>
    <w:p>
      <w:pPr>
        <w:spacing w:after="80" w:before="160"/>
      </w:pPr>
      <w:r>
        <w:rPr>
          <w:rFonts w:ascii="Arial" w:cs="Arial" w:eastAsia="Arial" w:hAnsi="Arial"/>
          <w:b/>
          <w:bCs/>
          <w:color w:val="2E75B6"/>
          <w:sz w:val="22"/>
          <w:szCs w:val="22"/>
        </w:rPr>
        <w:t xml:space="preserve">[51:18] </w:t>
      </w:r>
      <w:r>
        <w:rPr>
          <w:rFonts w:ascii="Arial" w:cs="Arial" w:eastAsia="Arial" w:hAnsi="Arial"/>
          <w:sz w:val="22"/>
          <w:szCs w:val="22"/>
        </w:rPr>
        <w:t xml:space="preserve">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w:t>
      </w:r>
    </w:p>
    <w:p>
      <w:pPr>
        <w:spacing w:after="80" w:before="160"/>
      </w:pPr>
      <w:r>
        <w:rPr>
          <w:rFonts w:ascii="Arial" w:cs="Arial" w:eastAsia="Arial" w:hAnsi="Arial"/>
          <w:b/>
          <w:bCs/>
          <w:color w:val="2E75B6"/>
          <w:sz w:val="22"/>
          <w:szCs w:val="22"/>
        </w:rPr>
        <w:t xml:space="preserve">[54:13] </w:t>
      </w:r>
      <w:r>
        <w:rPr>
          <w:rFonts w:ascii="Arial" w:cs="Arial" w:eastAsia="Arial" w:hAnsi="Arial"/>
          <w:sz w:val="22"/>
          <w:szCs w:val="22"/>
        </w:rPr>
        <w:t xml:space="preserve">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w:t>
      </w:r>
    </w:p>
    <w:p>
      <w:pPr>
        <w:spacing w:after="80" w:before="160"/>
      </w:pPr>
      <w:r>
        <w:rPr>
          <w:rFonts w:ascii="Arial" w:cs="Arial" w:eastAsia="Arial" w:hAnsi="Arial"/>
          <w:b/>
          <w:bCs/>
          <w:color w:val="2E75B6"/>
          <w:sz w:val="22"/>
          <w:szCs w:val="22"/>
        </w:rPr>
        <w:t xml:space="preserve">[54:54] </w:t>
      </w:r>
      <w:r>
        <w:rPr>
          <w:rFonts w:ascii="Arial" w:cs="Arial" w:eastAsia="Arial" w:hAnsi="Arial"/>
          <w:sz w:val="22"/>
          <w:szCs w:val="22"/>
        </w:rPr>
        <w:t xml:space="preserve">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w:t>
      </w:r>
    </w:p>
    <w:p>
      <w:pPr>
        <w:spacing w:after="80" w:before="160"/>
      </w:pPr>
      <w:r>
        <w:rPr>
          <w:rFonts w:ascii="Arial" w:cs="Arial" w:eastAsia="Arial" w:hAnsi="Arial"/>
          <w:b/>
          <w:bCs/>
          <w:color w:val="2E75B6"/>
          <w:sz w:val="22"/>
          <w:szCs w:val="22"/>
        </w:rPr>
        <w:t xml:space="preserve">[56:20] </w:t>
      </w:r>
      <w:r>
        <w:rPr>
          <w:rFonts w:ascii="Arial" w:cs="Arial" w:eastAsia="Arial" w:hAnsi="Arial"/>
          <w:sz w:val="22"/>
          <w:szCs w:val="22"/>
        </w:rPr>
        <w:t xml:space="preserve">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w:t>
      </w:r>
    </w:p>
    <w:p>
      <w:pPr>
        <w:spacing w:after="80" w:before="160"/>
      </w:pPr>
      <w:r>
        <w:rPr>
          <w:rFonts w:ascii="Arial" w:cs="Arial" w:eastAsia="Arial" w:hAnsi="Arial"/>
          <w:b/>
          <w:bCs/>
          <w:color w:val="2E75B6"/>
          <w:sz w:val="22"/>
          <w:szCs w:val="22"/>
        </w:rPr>
        <w:t xml:space="preserve">[57:29] </w:t>
      </w:r>
      <w:r>
        <w:rPr>
          <w:rFonts w:ascii="Arial" w:cs="Arial" w:eastAsia="Arial" w:hAnsi="Arial"/>
          <w:sz w:val="22"/>
          <w:szCs w:val="22"/>
        </w:rPr>
        <w:t xml:space="preserve">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w:t>
      </w:r>
    </w:p>
    <w:p>
      <w:pPr>
        <w:spacing w:after="80" w:before="160"/>
      </w:pPr>
      <w:r>
        <w:rPr>
          <w:rFonts w:ascii="Arial" w:cs="Arial" w:eastAsia="Arial" w:hAnsi="Arial"/>
          <w:b/>
          <w:bCs/>
          <w:color w:val="2E75B6"/>
          <w:sz w:val="22"/>
          <w:szCs w:val="22"/>
        </w:rPr>
        <w:t xml:space="preserve">[59:19] </w:t>
      </w:r>
      <w:r>
        <w:rPr>
          <w:rFonts w:ascii="Arial" w:cs="Arial" w:eastAsia="Arial" w:hAnsi="Arial"/>
          <w:sz w:val="22"/>
          <w:szCs w:val="22"/>
        </w:rPr>
        <w:t xml:space="preserve">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w:t>
      </w:r>
    </w:p>
    <w:p>
      <w:pPr>
        <w:spacing w:after="80" w:before="160"/>
      </w:pPr>
      <w:r>
        <w:rPr>
          <w:rFonts w:ascii="Arial" w:cs="Arial" w:eastAsia="Arial" w:hAnsi="Arial"/>
          <w:b/>
          <w:bCs/>
          <w:color w:val="2E75B6"/>
          <w:sz w:val="22"/>
          <w:szCs w:val="22"/>
        </w:rPr>
        <w:t xml:space="preserve">[01:00:11] </w:t>
      </w:r>
      <w:r>
        <w:rPr>
          <w:rFonts w:ascii="Arial" w:cs="Arial" w:eastAsia="Arial" w:hAnsi="Arial"/>
          <w:sz w:val="22"/>
          <w:szCs w:val="22"/>
        </w:rPr>
        <w:t xml:space="preserve">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w:t>
      </w:r>
    </w:p>
    <w:p>
      <w:pPr>
        <w:spacing w:after="80" w:before="160"/>
      </w:pPr>
      <w:r>
        <w:rPr>
          <w:rFonts w:ascii="Arial" w:cs="Arial" w:eastAsia="Arial" w:hAnsi="Arial"/>
          <w:b/>
          <w:bCs/>
          <w:color w:val="2E75B6"/>
          <w:sz w:val="22"/>
          <w:szCs w:val="22"/>
        </w:rPr>
        <w:t xml:space="preserve">[01:00:43] </w:t>
      </w:r>
      <w:r>
        <w:rPr>
          <w:rFonts w:ascii="Arial" w:cs="Arial" w:eastAsia="Arial" w:hAnsi="Arial"/>
          <w:sz w:val="22"/>
          <w:szCs w:val="22"/>
        </w:rPr>
        <w:t xml:space="preserve">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w:t>
      </w:r>
    </w:p>
    <w:p>
      <w:pPr>
        <w:spacing w:after="80" w:before="160"/>
      </w:pPr>
      <w:r>
        <w:rPr>
          <w:rFonts w:ascii="Arial" w:cs="Arial" w:eastAsia="Arial" w:hAnsi="Arial"/>
          <w:b/>
          <w:bCs/>
          <w:color w:val="2E75B6"/>
          <w:sz w:val="22"/>
          <w:szCs w:val="22"/>
        </w:rPr>
        <w:t xml:space="preserve">[01:01:18] </w:t>
      </w:r>
      <w:r>
        <w:rPr>
          <w:rFonts w:ascii="Arial" w:cs="Arial" w:eastAsia="Arial" w:hAnsi="Arial"/>
          <w:sz w:val="22"/>
          <w:szCs w:val="22"/>
        </w:rPr>
        <w:t xml:space="preserve">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w:t>
      </w:r>
    </w:p>
    <w:p>
      <w:pPr>
        <w:spacing w:after="80" w:before="160"/>
      </w:pPr>
      <w:r>
        <w:rPr>
          <w:rFonts w:ascii="Arial" w:cs="Arial" w:eastAsia="Arial" w:hAnsi="Arial"/>
          <w:b/>
          <w:bCs/>
          <w:color w:val="2E75B6"/>
          <w:sz w:val="22"/>
          <w:szCs w:val="22"/>
        </w:rPr>
        <w:t xml:space="preserve">[01:02:33] </w:t>
      </w:r>
      <w:r>
        <w:rPr>
          <w:rFonts w:ascii="Arial" w:cs="Arial" w:eastAsia="Arial" w:hAnsi="Arial"/>
          <w:sz w:val="22"/>
          <w:szCs w:val="22"/>
        </w:rPr>
        <w:t xml:space="preserve">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w:t>
      </w:r>
    </w:p>
    <w:p>
      <w:pPr>
        <w:spacing w:after="80" w:before="160"/>
      </w:pPr>
      <w:r>
        <w:rPr>
          <w:rFonts w:ascii="Arial" w:cs="Arial" w:eastAsia="Arial" w:hAnsi="Arial"/>
          <w:b/>
          <w:bCs/>
          <w:color w:val="2E75B6"/>
          <w:sz w:val="22"/>
          <w:szCs w:val="22"/>
        </w:rPr>
        <w:t xml:space="preserve">[01:03:07] </w:t>
      </w:r>
      <w:r>
        <w:rPr>
          <w:rFonts w:ascii="Arial" w:cs="Arial" w:eastAsia="Arial" w:hAnsi="Arial"/>
          <w:sz w:val="22"/>
          <w:szCs w:val="22"/>
        </w:rPr>
        <w:t xml:space="preserve">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w:t>
      </w:r>
    </w:p>
    <w:p>
      <w:pPr>
        <w:spacing w:after="80" w:before="160"/>
      </w:pPr>
      <w:r>
        <w:rPr>
          <w:rFonts w:ascii="Arial" w:cs="Arial" w:eastAsia="Arial" w:hAnsi="Arial"/>
          <w:b/>
          <w:bCs/>
          <w:color w:val="2E75B6"/>
          <w:sz w:val="22"/>
          <w:szCs w:val="22"/>
        </w:rPr>
        <w:t xml:space="preserve">[01:04:54] </w:t>
      </w:r>
      <w:r>
        <w:rPr>
          <w:rFonts w:ascii="Arial" w:cs="Arial" w:eastAsia="Arial" w:hAnsi="Arial"/>
          <w:sz w:val="22"/>
          <w:szCs w:val="22"/>
        </w:rPr>
        <w:t xml:space="preserve">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w:t>
      </w:r>
    </w:p>
    <w:p>
      <w:pPr>
        <w:spacing w:after="80" w:before="160"/>
      </w:pPr>
      <w:r>
        <w:rPr>
          <w:rFonts w:ascii="Arial" w:cs="Arial" w:eastAsia="Arial" w:hAnsi="Arial"/>
          <w:b/>
          <w:bCs/>
          <w:color w:val="2E75B6"/>
          <w:sz w:val="22"/>
          <w:szCs w:val="22"/>
        </w:rPr>
        <w:t xml:space="preserve">[01:06:20] </w:t>
      </w:r>
      <w:r>
        <w:rPr>
          <w:rFonts w:ascii="Arial" w:cs="Arial" w:eastAsia="Arial" w:hAnsi="Arial"/>
          <w:sz w:val="22"/>
          <w:szCs w:val="22"/>
        </w:rPr>
        <w:t xml:space="preserve">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w:t>
      </w:r>
    </w:p>
    <w:p>
      <w:pPr>
        <w:spacing w:after="80" w:before="160"/>
      </w:pPr>
      <w:r>
        <w:rPr>
          <w:rFonts w:ascii="Arial" w:cs="Arial" w:eastAsia="Arial" w:hAnsi="Arial"/>
          <w:b/>
          <w:bCs/>
          <w:color w:val="2E75B6"/>
          <w:sz w:val="22"/>
          <w:szCs w:val="22"/>
        </w:rPr>
        <w:t xml:space="preserve">[01:06:51] </w:t>
      </w:r>
      <w:r>
        <w:rPr>
          <w:rFonts w:ascii="Arial" w:cs="Arial" w:eastAsia="Arial" w:hAnsi="Arial"/>
          <w:sz w:val="22"/>
          <w:szCs w:val="22"/>
        </w:rPr>
        <w:t xml:space="preserve">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w:t>
      </w:r>
    </w:p>
    <w:p>
      <w:pPr>
        <w:spacing w:after="80" w:before="160"/>
      </w:pPr>
      <w:r>
        <w:rPr>
          <w:rFonts w:ascii="Arial" w:cs="Arial" w:eastAsia="Arial" w:hAnsi="Arial"/>
          <w:b/>
          <w:bCs/>
          <w:color w:val="2E75B6"/>
          <w:sz w:val="22"/>
          <w:szCs w:val="22"/>
        </w:rPr>
        <w:t xml:space="preserve">[01:07:29] </w:t>
      </w:r>
      <w:r>
        <w:rPr>
          <w:rFonts w:ascii="Arial" w:cs="Arial" w:eastAsia="Arial" w:hAnsi="Arial"/>
          <w:sz w:val="22"/>
          <w:szCs w:val="22"/>
        </w:rPr>
        <w:t xml:space="preserve">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w:t>
      </w:r>
    </w:p>
    <w:p>
      <w:pPr>
        <w:spacing w:after="80" w:before="160"/>
      </w:pPr>
      <w:r>
        <w:rPr>
          <w:rFonts w:ascii="Arial" w:cs="Arial" w:eastAsia="Arial" w:hAnsi="Arial"/>
          <w:b/>
          <w:bCs/>
          <w:color w:val="2E75B6"/>
          <w:sz w:val="22"/>
          <w:szCs w:val="22"/>
        </w:rPr>
        <w:t xml:space="preserve">[01:08:44] </w:t>
      </w:r>
      <w:r>
        <w:rPr>
          <w:rFonts w:ascii="Arial" w:cs="Arial" w:eastAsia="Arial" w:hAnsi="Arial"/>
          <w:sz w:val="22"/>
          <w:szCs w:val="22"/>
        </w:rPr>
        <w:t xml:space="preserve">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w:t>
      </w:r>
    </w:p>
    <w:p>
      <w:pPr>
        <w:spacing w:after="80" w:before="160"/>
      </w:pPr>
      <w:r>
        <w:rPr>
          <w:rFonts w:ascii="Arial" w:cs="Arial" w:eastAsia="Arial" w:hAnsi="Arial"/>
          <w:b/>
          <w:bCs/>
          <w:color w:val="2E75B6"/>
          <w:sz w:val="22"/>
          <w:szCs w:val="22"/>
        </w:rPr>
        <w:t xml:space="preserve">[01:09:19] </w:t>
      </w:r>
      <w:r>
        <w:rPr>
          <w:rFonts w:ascii="Arial" w:cs="Arial" w:eastAsia="Arial" w:hAnsi="Arial"/>
          <w:sz w:val="22"/>
          <w:szCs w:val="22"/>
        </w:rPr>
        <w:t xml:space="preserve">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 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 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 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 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 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 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 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 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 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 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 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 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 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 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 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 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 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 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 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 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 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 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 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 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 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 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 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 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 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 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 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 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 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 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 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 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 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 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 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 Ya. Makanya, kita kan tidak bisa membiarkan begini terus, Bang. Tentunya ada banyak harapan yang kita, apa, titipkan kepada teman-teman di komisi tiga sekarang DPR maksud saya, pada revisi KUHP dan KUHAP ya, terutama di KUHAP. 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 Nah makanya, apa coba berikan kami sebuah argumentasi ya, Bang Oggro, agar kemudian ketika ada kasus seperti ini, seharusnya katakanlah kejaksaan, meskipun Abang bukan dari lembaga kejaksaan atau kehakiman, itu bertindaknya seperti apa agar kemudian hukum yang adil itu betul-betul menebas seperti yang seharusnya, bukan sembarang tebas. Fakta persidangan tolong diperhatikan karena sudah diketahui publik. Jaksa boleh mendakwah A, tapi fakta persidangan bisa ABC D sampai 10 misalnya itu. Ya perhatikan. Jangan sampai jaksa setelah membacakan dakwaan, kemudian mendengarkan fakta pidana, pembuktian, nah dia tidak tidak mendengarkan dengan teliti, langsung membuat tuntutan sesuai dengan dakwaan. Lah buat apa Anda persidangan? Bagi saya ini adalah suatu koreksi total baik kepada penyidik, jaksa penuntut umum maupun hakim di situ. Jadi fakta persidangan nomor satu. Apakah diperlukan pengawas satu lagi unit untuk mengawasi jalannya persidangan seperti ini? Nanti orang pada ribet kan. Tapi memang kemarin dalam Pak Tom itu saya lihat profesionalisme itu seolah-olah seolah-olah nih sudah dikalahkan oleh ya kalau mau saya katakan pesannya, pesannya cukup kuat dari mana seperti itu. Itu yang saya khawatirkan, Bang. Jadi bayangin aja kita para penonton, mohon maaf menggunakan kata penonton karena itu kan di apa dipaparkan di media ya. Kita para penonton melihat bagaimana adu argumentasi antara penuntut dan apa pengacara ya, dari si terdakwa dalam hal ini pada kasus Palembang dan juga masih banyak kasus yang lain. Tapi kok kemudian ketika putusan itu seperti apa yang dipertontonkan itu seperti enggak ada sesuatu gitu, kita harus gitu. Kita jadi bertanya sebenarnya lah terus ngapain persidangan gitu. Ya. Sebenarnya buat apa ada KPK, dan BPK? Jangan diartikan BPKP menindaklanjuti BPK, kalau BPK menemukan temuan kan nanti suatu saat diserahkan pada DPR. Bisa ditindaklanjuti untuk pemeriksaan khusus dan sebagainya. Ini lembaga-lembaga negara eksekutif, yudikatif, sama legislatif ini sudah di di jadi satu mana berperan sebagai yudikatif, eksekutif, legislatif ini sudah jadi satu ini. Jadi seolah-olah dipimpin oleh ya katakanlah, mohon maaf kali lagi membedakan presiden sebagai kepala negara sama kepala pemerintahan ini susah. Bapak ini sebagai kepala negara, pemerintahan, memerintah kita kan pasti enggak bisa menjawab. Ya dua-duanya saja. Nah seperti itu tidak boleh terjadi. Jadinya independen ketiga lembaga negara ini harus benar-benar ya membuat jarak tapi untuk koordinasi silakan, tapi kalau saling mempengaruhi ini yang terjadi sekarang. Tanpa ada bukti, alat bukti yang lengkap, ya kan, tanpa petunjuk, tanpa surat, hanya melanggar peraturan menteri perdagangan yang diciptakan baik oleh sebelum Pak Tom atau setelah Pak Tom, tidak menghadiri rapat atau pas rapat tidak hadir, itu pelanggaran-pelanggaran yang bisa dikenakan dengan tidak pidana korupsi. Masih dari sudut pandang Pak Oggro sebagai apa pemantau penyidik. Pak Tom Lembong mengambil kebijakan impor gula itu atas tanda petik perintah dari presiden agar kemudian harga gula dalam negeri itu bisa dikendalikan. Secara teknisnya, bahasanya mungkin lebih tepatnya pada forum yang lainnya nantinya. Eh dari sudut pandang Abang, apakah harus presiden dihadirkan di dalam persidangan agar kemudian sudut pandang perintah yang kemudian diterjemahkan oleh menteri perdagangan dalam hal ini Pak Tom Lembong itu bisa dilihat pada persidangan itu. Apakah seperti itu, Bang? Ya. Seharusnya penyidikan awal yang dilakukan dengan beberapa langkah, pemanggilan, mungkin ada yang belum direkam, penyelidikan. Kalau itu tidak unsur sebagai aparat kementerian seperti Pak Tom Lembong, kemudian juga menyangkut kebijakan. Itu kan urusan eksekutif. Kenapa yudikatif terlalu memaksakan diri seperti itu. Jadi posisinya harus jelas. Kalau Pak Tom Lembong bertindak atas nama pribadi, ya kan, mungkin ada titipan yang kemudian beliau mengambil kebijakan sendiri dan itu mungkin diketahui orang banyak, ya silakan. Tapi selama itu sudah dibicarakan di rapat kabinet, jangan dipaksakan masuk ke yudikatif kemudian ditangani oleh kejaksaan seperti itu. Jadi basisnya itu kalau memang sudah ada unsur yang diduga bisa pidana, ya kan. Ini bisa ditangani dengan DPR dan MPR menjalankan mekanisme seperti yang sudah diterapkan. Baik. Bang. Eh, saya ingin me-refresh kembali memori kita menyangkut dengan persidangan ini. Coba kan Abang seorang penyidik senior ya, puluhan tahun di di apa reserse. Bagaimana sebenarnya kasus ini dibangun oleh para jaksa untuk apa namanya itu mendakwa Pak Tom Lembong hingga kemudian putusannya seperti ini. Saya hubungkan dengan apa yang disampaikan oleh Pak Heri tadi yang terakhir. Dari kacamata seorang penyidik senior seperti Abang, pada bagian mana kita bisa membaca bahwa oh ternyata memang masalah ini tidak semata sebagai kasus hukum. Karena kan yang terlempar di publik itu sekarang bahwa ya unsur politisnya sudah sudah apa beredar bahwa ah ini gara-gara Pak Tom Lembong berada pada sisi yang lain. Tidak fair juga sih sebenarnya bagi para pihak yang barangkali di di apa namanya itu dipersepsikan sebagai bagian dari lawannya Pak Anis. Tidak fair itu. Nah makanya Bang, coba jelaskan ke kami secara hukum karena sebagai penyidik tentunya. Ya. Terima kasih, Bang Akbar. Jadi, saya yang pertama saya saya soroti adalah rumusan pasal 2 dan pasal 3. Jadi, konstruksi bangunan korupsi ini itu tidak bisa dipotong-potong. Misalnya, di situ disebutkan menguntungkan diri sendiri atau menguntungkan orang lain atau menguntungkan korporasi. Kalau namanya korupsi itu, pasti persangkolaan. Jadi sebutnya konspirasi crime di sini. Itu pasal 2 dan pasal 3 itu pakai atau atau atau itu akhirnya dibunyikan tidak merugikan diri sendiri tapi menguntungkan orang lain masih bisa kena korupsi. Bagaimana suatu kementerian yang memberikan sumbangan pada tempat ibadah, menguntungkan tempat ibadah nanti bisa kena korupsi di situ. Iya. Ya kan? Memberikan bantuan kepada perusahaan apa, misalnya UMKM, bisa kena korupsi di situ. Apalagi tidak menguntungkan diri sendiri. Di situ yang bahaya. Makanya saya katakan, peristiwa pertama yang terjadi terhadap Pak Tom Lembong ini, analisa kriminalnya tidak tajam. Jadi harusnya orang yang terlibat dalam perkara yang ditodohkan pada Pak Tom Lembong dalam satu laporan, entah laporan polisi model A atau laporan kejadian atau laporan polisi model B, itu adalah tidak bisa hanya Tom Lembong sendirian. Harus dengan yang lain bersamaan dengan itu. Jadi berpikir bagi analisa kriminal dalam penyidikan. Ya saya mohon maaf kalau saya katakan, sebetulnya ahli penyidiknya adalah Polisi. Jadi kalau jaksa mengatakan dari awal, tidak perlu ada aliran dana, itu sudah salah satu. Hakim menyatakan apa, merugikan keuangan negara atau perko negara itu adalah unsur alternatif. Itu sudah salah dua di sini. Saya saya katakan dari awal bahwa ini benar-benar kasus yang dipaksakan seolah Pak Tom Lembong itu melakukan tidak pidana korupsi. Jadi benar tadi kalau dikatakan Pak Candra Ramsa, harusnya ini diajukan gugatan KNK pada pasal 2 pasal 3 ini, ya sebaiknya pasal 3 itu bisa dikenakan dengan pasal 37 apa penggelerapan dalam jabatan. Jadi kalau orang menerima duit ditangkih nggak bisa, ya penggelapan dalam jabatan. Karena nggak ada kerugian keuangan negara di sini. Ya ini memang menarik di diskusikan suatu saat ke depan bahwa benar-benar korupsi itu sekali lagi harus dibangun bangunannya ini benar-benar melibatkan orang banyak saat itu seperti zaman dulu kalau KPK nangkap OTT itu kan semua yang terlibat di situ sudah disiapkan untuk diambil, dipersing dan ditahan. Tapi ini hanya Tom Lembong. Dan unsur pasalnya diajak. Jadi ada jaga-jaga unsur pasal ini sudah disiapkan di situ untuk menjawab kalau ada pertanyaan publik. Ya. Jadi mohon maaf sekali lagi kalau saya melihat walaupun saya dari Polri dulu, apakah KPK ke depan masih perlu dipertahankan kalau misalnya Pak Prabu atau Presiden baru ke depan nanti menyatakan kalau KPK dibubarkan, Polri sanggup nggak? Kalau kapur menyatakan sanggup ya sudah KPK dibubarkan saja. Karena mengartikan pasal, ya ini aja Bang. Penyidik polisi sendiri, mungkin penyidik kejaksaan sendiri, kemudian hakim sendiri. Bagaimana orang bisa mencari kepastian hukum seperti itu. Di situ aja, Bang. Ya. Makanya, kita kan tidak bisa membiarkan begini terus, Bang. Tentunya ada banyak harapan yang kita, apa, titipkan kepada teman-teman di komisi tiga sekarang DPR maksud saya, pada revisi KUHP dan KUHAP ya, terutama di KUHAP.</w:t>
      </w:r>
    </w:p>
    <w:p>
      <w:pPr>
        <w:spacing w:after="80" w:before="160"/>
      </w:pPr>
      <w:r>
        <w:rPr>
          <w:rFonts w:ascii="Arial" w:cs="Arial" w:eastAsia="Arial" w:hAnsi="Arial"/>
          <w:b/>
          <w:bCs/>
          <w:color w:val="2E75B6"/>
          <w:sz w:val="22"/>
          <w:szCs w:val="22"/>
        </w:rPr>
        <w:t xml:space="preserve">[01:09:59] </w:t>
      </w:r>
      <w:r>
        <w:rPr>
          <w:rFonts w:ascii="Arial" w:cs="Arial" w:eastAsia="Arial" w:hAnsi="Arial"/>
          <w:sz w:val="22"/>
          <w:szCs w:val="22"/>
        </w:rPr>
        <w:t xml:space="preserve">Nah, tetapi kan ini terjadi terus menerus ini. Takutnya bahwa korban-korban, saya ganti bahasanya, takutnya bahwa ada personal-personal yang tampaknya berusaha untuk bekerja dengan baik dalam kapasitasnya sebagai alat negara itu, kemudian tumbang hanya karena pembacaan yang berbeda dari pasal-pasal itu kan. panduan, guidance bukan hanya bagi hakim sebenarnya. Kebetulan ayat yang saya kutip tadi mengarahnya ke hakim. Tapi sekali lagi penegak hukum kan bukan hanya hakim. Hakim itu ujungnya saja, Pak. Yang harus diingat. Kalau ternyata dari proses penyidikannya sudah korup, kalau, kalau sudah korup, apa yang dibayangkan dari putusan yang berkeadilan tadi, Pak? Apakah bisa mereka adil kalau dari awal tahap penyidikannya korup? Keadilannya benar ternyata penuntutannya korat atau penyidikannya benar menuntut yang benar ternyata korapnya di ujung di putusan pengadilan. Itu, Pak. Itu yang saya maksud. Kenapa sampai kemudian akhirnya Akbar Faisal dan sensor juga mengangkat ini. Karena ini kan prosesnya sudah, sudah selesai. Kita tunggu apa yang akan dilakukan apa namanya itu lawyer atau pengacara dari Pak Tom Lembong, prosesnya kan. Yang lebih penting lagi sebenarnya itu adalah bagaimana negara juga ikut maju selangkah dengan apa yang terjadi sekarang ini. Ya, saya membayangkan sih sebenarnya teman-teman di DPR ya di komisi tiga khususnya atau di Panja apa namanya itu revisi KUHAP melakukan banyak hal soal ini. Selain itu ya kita masyarakat juga semakin berkembang, setidaknya sudah mulai berani untuk bersuara dan menyatakan sikap tentang berbagai fenomena yang terjadi. Bapak-bapak, Bang Rob, Bang Saut, Kang Heri, terima kasih sudah memberikan pendapatnya dan pandangannya di sini ya. Pemirsa, itu tayangan Akbar Faisal dan sensor episode agak berbeda ini karena saya sedang harus melalui mekanisme Zoom karena saya tidak sedang berada di Indonesia. Tetapi apapun namanya ini adalah proses bercakap-cakap antara kita. Lagi-lagi apa poin penting sih dari poin yang sedang kita bicarakan ini? Jika sebuah negara tak lagi mampu mengelola urusan hukum yang kemudian ujungnya adalah rasa keadilan, maka itu sangat berbahaya. Kita bersepakat menjadi sebuah bangsa karena kita percaya bahwa soal-soal keadilan itu bisa diatur oleh negara. Saya yakin kita semuanya memahami apa kelanjutan dari bahasa ini. Terima kasih telah bergabung dan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2026-07-15T19:46:11.448Z</dcterms:created>
  <dcterms:modified xsi:type="dcterms:W3CDTF">2026-07-15T19:46:11.449Z</dcterms:modified>
</cp:coreProperties>
</file>

<file path=docProps/custom.xml><?xml version="1.0" encoding="utf-8"?>
<Properties xmlns="http://schemas.openxmlformats.org/officeDocument/2006/custom-properties" xmlns:vt="http://schemas.openxmlformats.org/officeDocument/2006/docPropsVTypes"/>
</file>