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1a365d"/>
        </w:rPr>
      </w:pPr>
      <w:r w:rsidDel="00000000" w:rsidR="00000000" w:rsidRPr="00000000">
        <w:rPr>
          <w:rFonts w:ascii="Arial" w:cs="Arial" w:eastAsia="Arial" w:hAnsi="Arial"/>
          <w:color w:val="1a365d"/>
          <w:rtl w:val="0"/>
        </w:rPr>
        <w:t xml:space="preserve">Desh-IT Dash: Infrastructure Deployment Proposal V2</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Prepared For:</w:t>
      </w:r>
      <w:r w:rsidDel="00000000" w:rsidR="00000000" w:rsidRPr="00000000">
        <w:rPr>
          <w:rFonts w:ascii="Arial" w:cs="Arial" w:eastAsia="Arial" w:hAnsi="Arial"/>
          <w:color w:val="000000"/>
          <w:rtl w:val="0"/>
        </w:rPr>
        <w:t xml:space="preserve"> Executive Management, IT Infrastructure, and Governance Boards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Subject:</w:t>
      </w:r>
      <w:r w:rsidDel="00000000" w:rsidR="00000000" w:rsidRPr="00000000">
        <w:rPr>
          <w:rFonts w:ascii="Arial" w:cs="Arial" w:eastAsia="Arial" w:hAnsi="Arial"/>
          <w:color w:val="000000"/>
          <w:rtl w:val="0"/>
        </w:rPr>
        <w:t xml:space="preserve"> Infrastructure Sizing, Workload Architecture, and Production Deployment Authorization (100-Display 24/7 Environment)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b w:val="1"/>
          <w:bCs w:val="1"/>
          <w:color w:val="000000"/>
          <w:rtl w:val="0"/>
        </w:rPr>
        <w:t xml:space="preserve">Hosting Architecture:</w:t>
      </w:r>
      <w:r w:rsidDel="00000000" w:rsidR="00000000" w:rsidRPr="00000000">
        <w:rPr>
          <w:rFonts w:ascii="Arial" w:cs="Arial" w:eastAsia="Arial" w:hAnsi="Arial"/>
          <w:color w:val="000000"/>
          <w:rtl w:val="0"/>
        </w:rPr>
        <w:t xml:space="preserve"> Windows Server with WSL2 Linux Containerization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rFonts w:ascii="Arial" w:cs="Arial" w:eastAsia="Arial" w:hAnsi="Arial"/>
          <w:color w:val="000000"/>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b6cb0"/>
        </w:rPr>
      </w:pPr>
      <w:r w:rsidDel="00000000" w:rsidR="00000000" w:rsidRPr="00000000">
        <w:rPr>
          <w:rFonts w:ascii="Arial" w:cs="Arial" w:eastAsia="Arial" w:hAnsi="Arial"/>
          <w:color w:val="2b6cb0"/>
          <w:rtl w:val="0"/>
        </w:rPr>
        <w:t xml:space="preserve">1. Executive Summary &amp; Core Architectural Mandate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This proposal details the production-grade hardware sizing matrices, transactional workload profiles, and foundational operational frameworks required to host the </w:t>
      </w:r>
      <w:r w:rsidDel="00000000" w:rsidR="00000000" w:rsidRPr="00000000">
        <w:rPr>
          <w:rFonts w:ascii="Arial" w:cs="Arial" w:eastAsia="Arial" w:hAnsi="Arial"/>
          <w:b w:val="1"/>
          <w:bCs w:val="1"/>
          <w:color w:val="000000"/>
          <w:rtl w:val="0"/>
        </w:rPr>
        <w:t xml:space="preserve">Desh-IT Dash Digital Signage Engine</w:t>
      </w:r>
      <w:r w:rsidDel="00000000" w:rsidR="00000000" w:rsidRPr="00000000">
        <w:rPr>
          <w:rFonts w:ascii="Arial" w:cs="Arial" w:eastAsia="Arial" w:hAnsi="Arial"/>
          <w:color w:val="000000"/>
          <w:rtl w:val="0"/>
        </w:rPr>
        <w:t xml:space="preserve"> on a production Windows Server. The platform is engineered to maintain 100 concurrent, high-definition display endpoints (TV screens, interactive kiosks, and digital tablets) on a continuous 24/7/365 runtime cycle.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To guarantee absolute fault tolerance under variable network conditions, Desh-IT Dash leverages an edge-cached, offline-first execution model. This design isolates heavy file distributions to periodic transactional sync windows rather than continuous media streams. Consequently, the server’s primary baseline workload shifts away from raw bandwidth delivery toward low-latency state tracking, real-time WebSocket communication, and high-frequency database logging.</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rFonts w:ascii="Arial" w:cs="Arial" w:eastAsia="Arial" w:hAnsi="Arial"/>
          <w:color w:val="000000"/>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25"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b6cb0"/>
        </w:rPr>
      </w:pPr>
      <w:r w:rsidDel="00000000" w:rsidR="00000000" w:rsidRPr="00000000">
        <w:rPr>
          <w:rFonts w:ascii="Arial" w:cs="Arial" w:eastAsia="Arial" w:hAnsi="Arial"/>
          <w:color w:val="2b6cb0"/>
          <w:rtl w:val="0"/>
        </w:rPr>
        <w:t xml:space="preserve">2. Core Production Ecosystem Architecture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The platform deployment is fully containerized inside an isolated Windows Subsystem for Linux (WSL2) engine context. External web requests are intercepted, validated, and proxied by a secure NGINX Reverse Proxy SSL Gateway. The active architecture consists of the following decoupled modules: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Web CMS Portal:</w:t>
      </w:r>
      <w:r w:rsidDel="00000000" w:rsidR="00000000" w:rsidRPr="00000000">
        <w:rPr>
          <w:rFonts w:ascii="Arial" w:cs="Arial" w:eastAsia="Arial" w:hAnsi="Arial"/>
          <w:color w:val="000000"/>
          <w:rtl w:val="0"/>
        </w:rPr>
        <w:t xml:space="preserve"> A React application serving as the administrative command center for configurations, corporate hierarchy scopes, priority tier scheduling, and media playlist mapping.</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Core Backend API:</w:t>
      </w:r>
      <w:r w:rsidDel="00000000" w:rsidR="00000000" w:rsidRPr="00000000">
        <w:rPr>
          <w:rFonts w:ascii="Arial" w:cs="Arial" w:eastAsia="Arial" w:hAnsi="Arial"/>
          <w:color w:val="000000"/>
          <w:rtl w:val="0"/>
        </w:rPr>
        <w:t xml:space="preserve"> A high-throughput Node.js / Express engine written in TypeScript executing route authorization, JWT encryption, Role-Based Access Control (RBAC) levels, and real-time state emission.</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Persistence &amp; Cache Tier:</w:t>
      </w:r>
      <w:r w:rsidDel="00000000" w:rsidR="00000000" w:rsidRPr="00000000">
        <w:rPr>
          <w:rFonts w:ascii="Arial" w:cs="Arial" w:eastAsia="Arial" w:hAnsi="Arial"/>
          <w:color w:val="000000"/>
          <w:rtl w:val="0"/>
        </w:rPr>
        <w:t xml:space="preserve"> A transactional PostgreSQL database operating via the Prisma ORM layer, supported by an in-memory Redis cluster for transient device enrollment codes and WebSocket layer node replication.</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Object Storage Engine:</w:t>
      </w:r>
      <w:r w:rsidDel="00000000" w:rsidR="00000000" w:rsidRPr="00000000">
        <w:rPr>
          <w:rFonts w:ascii="Arial" w:cs="Arial" w:eastAsia="Arial" w:hAnsi="Arial"/>
          <w:color w:val="000000"/>
          <w:rtl w:val="0"/>
        </w:rPr>
        <w:t xml:space="preserve"> A localized MinIO configuration presenting unified S3-compatible APIs for secure, accelerated visual asset delivery through time-bounded pre-signed URLs.</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Observability &amp; Monitoring Suite:</w:t>
      </w:r>
      <w:r w:rsidDel="00000000" w:rsidR="00000000" w:rsidRPr="00000000">
        <w:rPr>
          <w:rFonts w:ascii="Arial" w:cs="Arial" w:eastAsia="Arial" w:hAnsi="Arial"/>
          <w:color w:val="000000"/>
          <w:rtl w:val="0"/>
        </w:rPr>
        <w:t xml:space="preserve"> A production-grade telemetry harness composed of Prometheus scraping real-time microservice performance states from the backend /metrics endpoint and Grafana aggregating live visual operational dashboards for system health tracking.</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rFonts w:ascii="Arial" w:cs="Arial" w:eastAsia="Arial" w:hAnsi="Arial"/>
          <w:color w:val="000000"/>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25"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b6cb0"/>
        </w:rPr>
      </w:pPr>
      <w:r w:rsidDel="00000000" w:rsidR="00000000" w:rsidRPr="00000000">
        <w:rPr>
          <w:rFonts w:ascii="Arial" w:cs="Arial" w:eastAsia="Arial" w:hAnsi="Arial"/>
          <w:color w:val="2b6cb0"/>
          <w:rtl w:val="0"/>
        </w:rPr>
        <w:t xml:space="preserve">3. 24/7 Workload Metrics for 100 Concurrent Displays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Operating 100 remote terminal screens simultaneously impacts the host server's sub-systems through distinct processing vectors:</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4a5568"/>
        </w:rPr>
      </w:pPr>
      <w:r w:rsidDel="00000000" w:rsidR="00000000" w:rsidRPr="00000000">
        <w:rPr>
          <w:rFonts w:ascii="Arial" w:cs="Arial" w:eastAsia="Arial" w:hAnsi="Arial"/>
          <w:color w:val="4a5568"/>
          <w:rtl w:val="0"/>
        </w:rPr>
        <w:t xml:space="preserve">3.1 Network Traffic &amp; Caching Dynamics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Because terminal endpoints leverage the browser’s native Cache API (specifically the digital-signage-cache-v1 sandbox) and local file block environments, asset delivery is purely transactional. High network I/O is bursty, materializing exclusively when new structural campaigns are synchronized. Steady-state playback occurs fully offline-first from local terminal caches.</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4a5568"/>
        </w:rPr>
      </w:pPr>
      <w:r w:rsidDel="00000000" w:rsidR="00000000" w:rsidRPr="00000000">
        <w:rPr>
          <w:rFonts w:ascii="Arial" w:cs="Arial" w:eastAsia="Arial" w:hAnsi="Arial"/>
          <w:color w:val="4a5568"/>
          <w:rtl w:val="0"/>
        </w:rPr>
        <w:t xml:space="preserve">3.2 WebSocket Telemetry Baseline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color w:val="000000"/>
        </w:rPr>
      </w:pPr>
      <w:r w:rsidDel="00000000" w:rsidR="00000000" w:rsidRPr="00000000">
        <w:rPr>
          <w:rFonts w:ascii="Arial" w:cs="Arial" w:eastAsia="Arial" w:hAnsi="Arial"/>
          <w:color w:val="000000"/>
          <w:rtl w:val="0"/>
        </w:rPr>
        <w:t xml:space="preserve">100 persistent Socket.io channels remain open continuously. With default heartbeat check cycles set to 60 seconds, the server navigates a consistent baseline of roughly </w:t>
      </w:r>
      <w:r w:rsidDel="00000000" w:rsidR="00000000" w:rsidRPr="00000000">
        <w:rPr>
          <w:rFonts w:ascii="Arial" w:cs="Arial" w:eastAsia="Arial" w:hAnsi="Arial"/>
          <w:b w:val="1"/>
          <w:bCs w:val="1"/>
          <w:color w:val="000000"/>
          <w:rtl w:val="0"/>
        </w:rPr>
        <w:t xml:space="preserve">1.67 connection events per second</w:t>
      </w:r>
      <w:r w:rsidDel="00000000" w:rsidR="00000000" w:rsidRPr="00000000">
        <w:rPr>
          <w:rFonts w:ascii="Arial" w:cs="Arial" w:eastAsia="Arial" w:hAnsi="Arial"/>
          <w:color w:val="000000"/>
          <w:rtl w:val="0"/>
        </w:rPr>
        <w:t xml:space="preserve">, an optimal payload for the single-threaded Node.js event loop.</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4a5568"/>
        </w:rPr>
      </w:pPr>
      <w:r w:rsidDel="00000000" w:rsidR="00000000" w:rsidRPr="00000000">
        <w:rPr>
          <w:rFonts w:ascii="Arial" w:cs="Arial" w:eastAsia="Arial" w:hAnsi="Arial"/>
          <w:color w:val="4a5568"/>
          <w:rtl w:val="0"/>
        </w:rPr>
        <w:t xml:space="preserve">3.3 Relational Database Ingestion Dynamics (Primary Storage Strain)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The primary driver of long-term server degradation is analytical metric ingestion. Every time a content item completes execution, the terminal registers a playback_ended event to log the stop metrics. Factoring an average file asset duration of 15 seconds, the continuous data accumulation presents the following metrics:</w:t>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Calculated Event Velocity:</w:t>
      </w:r>
      <w:r w:rsidDel="00000000" w:rsidR="00000000" w:rsidRPr="00000000">
        <w:rPr>
          <w:rFonts w:ascii="Arial" w:cs="Arial" w:eastAsia="Arial" w:hAnsi="Arial"/>
          <w:color w:val="000000"/>
          <w:rtl w:val="0"/>
        </w:rPr>
        <w:t xml:space="preserve"> 100 displays × 4 items/display-minute = 400 transaction records per minute.</w:t>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Daily Accumulation Footprint:</w:t>
      </w:r>
      <w:r w:rsidDel="00000000" w:rsidR="00000000" w:rsidRPr="00000000">
        <w:rPr>
          <w:rFonts w:ascii="Arial" w:cs="Arial" w:eastAsia="Arial" w:hAnsi="Arial"/>
          <w:color w:val="000000"/>
          <w:rtl w:val="0"/>
        </w:rPr>
        <w:t xml:space="preserve"> 400 items × 60 minutes × 24 hours = </w:t>
      </w:r>
      <w:r w:rsidDel="00000000" w:rsidR="00000000" w:rsidRPr="00000000">
        <w:rPr>
          <w:rFonts w:ascii="Arial" w:cs="Arial" w:eastAsia="Arial" w:hAnsi="Arial"/>
          <w:b w:val="1"/>
          <w:bCs w:val="1"/>
          <w:color w:val="000000"/>
          <w:rtl w:val="0"/>
        </w:rPr>
        <w:t xml:space="preserve">576,000 independent tracking entries per day</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01F">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Physical Storage Scale:</w:t>
      </w:r>
      <w:r w:rsidDel="00000000" w:rsidR="00000000" w:rsidRPr="00000000">
        <w:rPr>
          <w:rFonts w:ascii="Arial" w:cs="Arial" w:eastAsia="Arial" w:hAnsi="Arial"/>
          <w:color w:val="000000"/>
          <w:rtl w:val="0"/>
        </w:rPr>
        <w:t xml:space="preserve"> Factoring index maps and structural constraints, each row in PostgreSQL occupies 200–250 bytes. This creates </w:t>
      </w:r>
      <w:r w:rsidDel="00000000" w:rsidR="00000000" w:rsidRPr="00000000">
        <w:rPr>
          <w:rFonts w:ascii="Arial" w:cs="Arial" w:eastAsia="Arial" w:hAnsi="Arial"/>
          <w:b w:val="1"/>
          <w:bCs w:val="1"/>
          <w:color w:val="000000"/>
          <w:rtl w:val="0"/>
        </w:rPr>
        <w:t xml:space="preserve">~115 MB of raw metrics daily</w:t>
      </w:r>
      <w:r w:rsidDel="00000000" w:rsidR="00000000" w:rsidRPr="00000000">
        <w:rPr>
          <w:rFonts w:ascii="Arial" w:cs="Arial" w:eastAsia="Arial" w:hAnsi="Arial"/>
          <w:color w:val="000000"/>
          <w:rtl w:val="0"/>
        </w:rPr>
        <w:t xml:space="preserve">, equating to </w:t>
      </w:r>
      <w:r w:rsidDel="00000000" w:rsidR="00000000" w:rsidRPr="00000000">
        <w:rPr>
          <w:rFonts w:ascii="Arial" w:cs="Arial" w:eastAsia="Arial" w:hAnsi="Arial"/>
          <w:b w:val="1"/>
          <w:bCs w:val="1"/>
          <w:color w:val="000000"/>
          <w:rtl w:val="0"/>
        </w:rPr>
        <w:t xml:space="preserve">~3.5 GB monthly</w:t>
      </w:r>
      <w:r w:rsidDel="00000000" w:rsidR="00000000" w:rsidRPr="00000000">
        <w:rPr>
          <w:rFonts w:ascii="Arial" w:cs="Arial" w:eastAsia="Arial" w:hAnsi="Arial"/>
          <w:color w:val="000000"/>
          <w:rtl w:val="0"/>
        </w:rPr>
        <w:t xml:space="preserve">, or </w:t>
      </w:r>
      <w:r w:rsidDel="00000000" w:rsidR="00000000" w:rsidRPr="00000000">
        <w:rPr>
          <w:rFonts w:ascii="Arial" w:cs="Arial" w:eastAsia="Arial" w:hAnsi="Arial"/>
          <w:b w:val="1"/>
          <w:bCs w:val="1"/>
          <w:color w:val="000000"/>
          <w:rtl w:val="0"/>
        </w:rPr>
        <w:t xml:space="preserve">~42 GB annually</w:t>
      </w:r>
      <w:r w:rsidDel="00000000" w:rsidR="00000000" w:rsidRPr="00000000">
        <w:rPr>
          <w:rFonts w:ascii="Arial" w:cs="Arial" w:eastAsia="Arial" w:hAnsi="Arial"/>
          <w:color w:val="000000"/>
          <w:rtl w:val="0"/>
        </w:rPr>
        <w:t xml:space="preserve"> of analytics history.</w:t>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Steady Ingestion Impact:</w:t>
      </w:r>
      <w:r w:rsidDel="00000000" w:rsidR="00000000" w:rsidRPr="00000000">
        <w:rPr>
          <w:rFonts w:ascii="Arial" w:cs="Arial" w:eastAsia="Arial" w:hAnsi="Arial"/>
          <w:color w:val="000000"/>
          <w:rtl w:val="0"/>
        </w:rPr>
        <w:t xml:space="preserve"> PostgreSQL must execute a steady stream of </w:t>
      </w:r>
      <w:r w:rsidDel="00000000" w:rsidR="00000000" w:rsidRPr="00000000">
        <w:rPr>
          <w:rFonts w:ascii="Arial" w:cs="Arial" w:eastAsia="Arial" w:hAnsi="Arial"/>
          <w:b w:val="1"/>
          <w:bCs w:val="1"/>
          <w:color w:val="000000"/>
          <w:rtl w:val="0"/>
        </w:rPr>
        <w:t xml:space="preserve">13 to 15 write operations per second</w:t>
      </w:r>
      <w:r w:rsidDel="00000000" w:rsidR="00000000" w:rsidRPr="00000000">
        <w:rPr>
          <w:rFonts w:ascii="Arial" w:cs="Arial" w:eastAsia="Arial" w:hAnsi="Arial"/>
          <w:color w:val="000000"/>
          <w:rtl w:val="0"/>
        </w:rPr>
        <w:t xml:space="preserve"> without caching delays or thread blocks.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rFonts w:ascii="Arial" w:cs="Arial" w:eastAsia="Arial" w:hAnsi="Arial"/>
          <w:color w:val="000000"/>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25" w:lineRule="auto"/>
        <w:rPr>
          <w:rFonts w:ascii="Arial" w:cs="Arial" w:eastAsia="Arial" w:hAnsi="Arial"/>
          <w:color w:val="000000"/>
        </w:rPr>
      </w:pPr>
      <w:r w:rsidDel="00000000" w:rsidR="00000000" w:rsidRPr="00000000">
        <w:rPr>
          <w:rtl w:val="0"/>
        </w:rPr>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color w:val="2b6cb0"/>
        </w:rPr>
      </w:pPr>
      <w:r w:rsidDel="00000000" w:rsidR="00000000" w:rsidRPr="00000000">
        <w:rPr>
          <w:rFonts w:ascii="Arial" w:cs="Arial" w:eastAsia="Arial" w:hAnsi="Arial"/>
          <w:color w:val="2b6cb0"/>
          <w:rtl w:val="0"/>
        </w:rPr>
        <w:t xml:space="preserve">4. Infrastructure Sizing Matrices</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2c5282"/>
        </w:rPr>
      </w:pPr>
      <w:r w:rsidDel="00000000" w:rsidR="00000000" w:rsidRPr="00000000">
        <w:rPr>
          <w:rFonts w:ascii="Arial" w:cs="Arial" w:eastAsia="Arial" w:hAnsi="Arial"/>
          <w:color w:val="2c5282"/>
          <w:rtl w:val="0"/>
        </w:rPr>
        <w:t xml:space="preserve">4.1 Minimum Operational Specification</w:t>
      </w:r>
    </w:p>
    <w:tbl>
      <w:tblPr>
        <w:tblStyle w:val="Table1"/>
        <w:tblW w:w="9360.0" w:type="dxa"/>
        <w:jc w:val="left"/>
        <w:tblBorders>
          <w:top w:color="e2e8f0" w:space="0" w:sz="6" w:val="single"/>
          <w:left w:color="e2e8f0" w:space="0" w:sz="6" w:val="single"/>
          <w:bottom w:color="e2e8f0" w:space="0" w:sz="6" w:val="single"/>
          <w:right w:color="e2e8f0" w:space="0" w:sz="6" w:val="single"/>
          <w:insideH w:color="e2e8f0" w:space="0" w:sz="6" w:val="single"/>
          <w:insideV w:color="e2e8f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e2e8f0" w:space="0" w:sz="6" w:val="single"/>
              <w:left w:color="e2e8f0" w:space="0" w:sz="6" w:val="single"/>
              <w:bottom w:color="e2e8f0" w:space="0" w:sz="6" w:val="single"/>
              <w:right w:color="e2e8f0" w:space="0" w:sz="6" w:val="single"/>
            </w:tcBorders>
            <w:shd w:fill="ebf8ff" w:val="clear"/>
            <w:tcMar>
              <w:top w:w="180.0" w:type="dxa"/>
              <w:left w:w="180.0" w:type="dxa"/>
              <w:bottom w:w="18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b w:val="1"/>
                <w:bCs w:val="1"/>
                <w:color w:val="000000"/>
                <w:sz w:val="20"/>
                <w:szCs w:val="20"/>
                <w:shd w:fill="auto" w:val="clear"/>
              </w:rPr>
            </w:pPr>
            <w:r w:rsidDel="00000000" w:rsidR="00000000" w:rsidRPr="00000000">
              <w:rPr>
                <w:rFonts w:ascii="Arial" w:cs="Arial" w:eastAsia="Arial" w:hAnsi="Arial"/>
                <w:b w:val="1"/>
                <w:bCs w:val="1"/>
                <w:color w:val="000000"/>
                <w:sz w:val="20"/>
                <w:szCs w:val="20"/>
                <w:shd w:fill="auto" w:val="clear"/>
                <w:rtl w:val="0"/>
              </w:rPr>
              <w:t xml:space="preserve">Hardware Element</w:t>
            </w:r>
          </w:p>
        </w:tc>
        <w:tc>
          <w:tcPr>
            <w:tcBorders>
              <w:top w:color="e2e8f0" w:space="0" w:sz="6" w:val="single"/>
              <w:left w:color="e2e8f0" w:space="0" w:sz="6" w:val="single"/>
              <w:bottom w:color="e2e8f0" w:space="0" w:sz="6" w:val="single"/>
              <w:right w:color="e2e8f0" w:space="0" w:sz="6" w:val="single"/>
            </w:tcBorders>
            <w:shd w:fill="ebf8ff" w:val="clear"/>
            <w:tcMar>
              <w:top w:w="180.0" w:type="dxa"/>
              <w:left w:w="180.0" w:type="dxa"/>
              <w:bottom w:w="18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b w:val="1"/>
                <w:bCs w:val="1"/>
                <w:color w:val="000000"/>
                <w:sz w:val="20"/>
                <w:szCs w:val="20"/>
                <w:shd w:fill="auto" w:val="clear"/>
              </w:rPr>
            </w:pPr>
            <w:r w:rsidDel="00000000" w:rsidR="00000000" w:rsidRPr="00000000">
              <w:rPr>
                <w:rFonts w:ascii="Arial" w:cs="Arial" w:eastAsia="Arial" w:hAnsi="Arial"/>
                <w:b w:val="1"/>
                <w:bCs w:val="1"/>
                <w:color w:val="000000"/>
                <w:sz w:val="20"/>
                <w:szCs w:val="20"/>
                <w:shd w:fill="auto" w:val="clear"/>
                <w:rtl w:val="0"/>
              </w:rPr>
              <w:t xml:space="preserve">Minimum Threshold</w:t>
            </w:r>
          </w:p>
        </w:tc>
        <w:tc>
          <w:tcPr>
            <w:tcBorders>
              <w:top w:color="e2e8f0" w:space="0" w:sz="6" w:val="single"/>
              <w:left w:color="e2e8f0" w:space="0" w:sz="6" w:val="single"/>
              <w:bottom w:color="e2e8f0" w:space="0" w:sz="6" w:val="single"/>
              <w:right w:color="e2e8f0" w:space="0" w:sz="6" w:val="single"/>
            </w:tcBorders>
            <w:shd w:fill="ebf8ff" w:val="clear"/>
            <w:tcMar>
              <w:top w:w="180.0" w:type="dxa"/>
              <w:left w:w="180.0" w:type="dxa"/>
              <w:bottom w:w="18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b w:val="1"/>
                <w:bCs w:val="1"/>
                <w:color w:val="000000"/>
                <w:sz w:val="20"/>
                <w:szCs w:val="20"/>
                <w:shd w:fill="auto" w:val="clear"/>
              </w:rPr>
            </w:pPr>
            <w:r w:rsidDel="00000000" w:rsidR="00000000" w:rsidRPr="00000000">
              <w:rPr>
                <w:rFonts w:ascii="Arial" w:cs="Arial" w:eastAsia="Arial" w:hAnsi="Arial"/>
                <w:b w:val="1"/>
                <w:bCs w:val="1"/>
                <w:color w:val="000000"/>
                <w:sz w:val="20"/>
                <w:szCs w:val="20"/>
                <w:shd w:fill="auto" w:val="clear"/>
                <w:rtl w:val="0"/>
              </w:rPr>
              <w:t xml:space="preserve">Operational Purpose &amp; Context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color w:val="000000"/>
                <w:sz w:val="20"/>
                <w:szCs w:val="20"/>
                <w:shd w:fill="auto" w:val="clear"/>
              </w:rPr>
            </w:pPr>
            <w:r w:rsidDel="00000000" w:rsidR="00000000" w:rsidRPr="00000000">
              <w:rPr>
                <w:rFonts w:ascii="Arial" w:cs="Arial" w:eastAsia="Arial" w:hAnsi="Arial"/>
                <w:b w:val="1"/>
                <w:bCs w:val="1"/>
                <w:color w:val="000000"/>
                <w:sz w:val="20"/>
                <w:szCs w:val="20"/>
                <w:shd w:fill="auto" w:val="clear"/>
                <w:rtl w:val="0"/>
              </w:rPr>
              <w:t xml:space="preserve">Processor Cores</w:t>
            </w:r>
          </w:p>
        </w:tc>
        <w:tc>
          <w:tcPr>
            <w:tcBorders>
              <w:top w:color="e2e8f0" w:space="0" w:sz="6" w:val="single"/>
              <w:left w:color="e2e8f0" w:space="0" w:sz="6" w:val="single"/>
              <w:bottom w:color="e2e8f0" w:space="0" w:sz="6" w:val="single"/>
              <w:right w:color="e2e8f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4 Logical vCPUs</w:t>
            </w:r>
          </w:p>
        </w:tc>
        <w:tc>
          <w:tcPr>
            <w:tcBorders>
              <w:top w:color="e2e8f0" w:space="0" w:sz="6" w:val="single"/>
              <w:left w:color="e2e8f0" w:space="0" w:sz="6" w:val="single"/>
              <w:bottom w:color="e2e8f0" w:space="0" w:sz="6" w:val="single"/>
              <w:right w:color="e2e8f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Allocates 2 cores explicitly for basic Windows Host operating services and provisions the remaining 2 cores to handle the virtualized WSL2 core runtime environment.</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color w:val="000000"/>
                <w:sz w:val="20"/>
                <w:szCs w:val="20"/>
                <w:shd w:fill="auto" w:val="clear"/>
              </w:rPr>
            </w:pPr>
            <w:r w:rsidDel="00000000" w:rsidR="00000000" w:rsidRPr="00000000">
              <w:rPr>
                <w:rFonts w:ascii="Arial" w:cs="Arial" w:eastAsia="Arial" w:hAnsi="Arial"/>
                <w:b w:val="1"/>
                <w:bCs w:val="1"/>
                <w:color w:val="000000"/>
                <w:sz w:val="20"/>
                <w:szCs w:val="20"/>
                <w:shd w:fill="auto" w:val="clear"/>
                <w:rtl w:val="0"/>
              </w:rPr>
              <w:t xml:space="preserve">System RAM</w:t>
            </w:r>
          </w:p>
        </w:tc>
        <w:tc>
          <w:tcPr>
            <w:tcBorders>
              <w:top w:color="e2e8f0" w:space="0" w:sz="6" w:val="single"/>
              <w:left w:color="e2e8f0" w:space="0" w:sz="6" w:val="single"/>
              <w:bottom w:color="e2e8f0" w:space="0" w:sz="6" w:val="single"/>
              <w:right w:color="e2e8f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8 GB Capacity</w:t>
            </w:r>
          </w:p>
        </w:tc>
        <w:tc>
          <w:tcPr>
            <w:tcBorders>
              <w:top w:color="e2e8f0" w:space="0" w:sz="6" w:val="single"/>
              <w:left w:color="e2e8f0" w:space="0" w:sz="6" w:val="single"/>
              <w:bottom w:color="e2e8f0" w:space="0" w:sz="6" w:val="single"/>
              <w:right w:color="e2e8f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Strictly divided via tuning restrictions: Windows OS Base (~2.5 GB), Docker WSL2 Core Sandbox (~3.5 GB capped), Node.js API (250 MB), PostgreSQL (512 MB Buffer), Redis (100 MB), MinIO engine (250 MB).</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color w:val="000000"/>
                <w:sz w:val="20"/>
                <w:szCs w:val="20"/>
                <w:shd w:fill="auto" w:val="clear"/>
              </w:rPr>
            </w:pPr>
            <w:r w:rsidDel="00000000" w:rsidR="00000000" w:rsidRPr="00000000">
              <w:rPr>
                <w:rFonts w:ascii="Arial" w:cs="Arial" w:eastAsia="Arial" w:hAnsi="Arial"/>
                <w:b w:val="1"/>
                <w:bCs w:val="1"/>
                <w:color w:val="000000"/>
                <w:sz w:val="20"/>
                <w:szCs w:val="20"/>
                <w:shd w:fill="auto" w:val="clear"/>
                <w:rtl w:val="0"/>
              </w:rPr>
              <w:t xml:space="preserve">Disk Capacity</w:t>
            </w:r>
          </w:p>
        </w:tc>
        <w:tc>
          <w:tcPr>
            <w:tcBorders>
              <w:top w:color="e2e8f0" w:space="0" w:sz="6" w:val="single"/>
              <w:left w:color="e2e8f0" w:space="0" w:sz="6" w:val="single"/>
              <w:bottom w:color="e2e8f0" w:space="0" w:sz="6" w:val="single"/>
              <w:right w:color="e2e8f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150 GB Solid-State Drive</w:t>
            </w:r>
          </w:p>
        </w:tc>
        <w:tc>
          <w:tcPr>
            <w:tcBorders>
              <w:top w:color="e2e8f0" w:space="0" w:sz="6" w:val="single"/>
              <w:left w:color="e2e8f0" w:space="0" w:sz="6" w:val="single"/>
              <w:bottom w:color="e2e8f0" w:space="0" w:sz="6" w:val="single"/>
              <w:right w:color="e2e8f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Allocates space for OS &amp; Core Container runtimes (~50 GB), local S3 media volumes (~50 GB asset library), and PostgreSQL transactional files (~50 GB). Requires strict 6-month historical table pruning routines.</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color w:val="000000"/>
                <w:sz w:val="20"/>
                <w:szCs w:val="20"/>
                <w:shd w:fill="auto" w:val="clear"/>
              </w:rPr>
            </w:pPr>
            <w:r w:rsidDel="00000000" w:rsidR="00000000" w:rsidRPr="00000000">
              <w:rPr>
                <w:rFonts w:ascii="Arial" w:cs="Arial" w:eastAsia="Arial" w:hAnsi="Arial"/>
                <w:b w:val="1"/>
                <w:bCs w:val="1"/>
                <w:color w:val="000000"/>
                <w:sz w:val="20"/>
                <w:szCs w:val="20"/>
                <w:shd w:fill="auto" w:val="clear"/>
                <w:rtl w:val="0"/>
              </w:rPr>
              <w:t xml:space="preserve">Storage Medium</w:t>
            </w:r>
          </w:p>
        </w:tc>
        <w:tc>
          <w:tcPr>
            <w:tcBorders>
              <w:top w:color="e2e8f0" w:space="0" w:sz="6" w:val="single"/>
              <w:left w:color="e2e8f0" w:space="0" w:sz="6" w:val="single"/>
              <w:bottom w:color="e2e8f0" w:space="0" w:sz="6" w:val="single"/>
              <w:right w:color="e2e8f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SATA-III Solid State Drive</w:t>
            </w:r>
          </w:p>
        </w:tc>
        <w:tc>
          <w:tcPr>
            <w:tcBorders>
              <w:top w:color="e2e8f0" w:space="0" w:sz="6" w:val="single"/>
              <w:left w:color="e2e8f0" w:space="0" w:sz="6" w:val="single"/>
              <w:bottom w:color="e2e8f0" w:space="0" w:sz="6" w:val="single"/>
              <w:right w:color="e2e8f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Mandatory baseline to protect against disk write locks. Traditional hard disk drives (HDDs) are completely prohibited due to head-seek latency saturation during 15 writes/sec metrics ingestion.</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color w:val="000000"/>
                <w:sz w:val="20"/>
                <w:szCs w:val="20"/>
                <w:shd w:fill="auto" w:val="clear"/>
              </w:rPr>
            </w:pPr>
            <w:r w:rsidDel="00000000" w:rsidR="00000000" w:rsidRPr="00000000">
              <w:rPr>
                <w:rFonts w:ascii="Arial" w:cs="Arial" w:eastAsia="Arial" w:hAnsi="Arial"/>
                <w:b w:val="1"/>
                <w:bCs w:val="1"/>
                <w:color w:val="000000"/>
                <w:sz w:val="20"/>
                <w:szCs w:val="20"/>
                <w:shd w:fill="auto" w:val="clear"/>
                <w:rtl w:val="0"/>
              </w:rPr>
              <w:t xml:space="preserve">Network Interface</w:t>
            </w:r>
          </w:p>
        </w:tc>
        <w:tc>
          <w:tcPr>
            <w:tcBorders>
              <w:top w:color="e2e8f0" w:space="0" w:sz="6" w:val="single"/>
              <w:left w:color="e2e8f0" w:space="0" w:sz="6" w:val="single"/>
              <w:bottom w:color="e2e8f0" w:space="0" w:sz="6" w:val="single"/>
              <w:right w:color="e2e8f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100 Mbps Ethernet NIC</w:t>
            </w:r>
          </w:p>
        </w:tc>
        <w:tc>
          <w:tcPr>
            <w:tcBorders>
              <w:top w:color="e2e8f0" w:space="0" w:sz="6" w:val="single"/>
              <w:left w:color="e2e8f0" w:space="0" w:sz="6" w:val="single"/>
              <w:bottom w:color="e2e8f0" w:space="0" w:sz="6" w:val="single"/>
              <w:right w:color="e2e8f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Sufficient for normal heartbeats and simple telemetry tracking. Introduces noticeable interface latency spikes during simultaneous 100-display playlist distribution shifts.</w:t>
            </w:r>
          </w:p>
        </w:tc>
      </w:tr>
    </w:tbl>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Rule="auto"/>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rPr>
          <w:rFonts w:ascii="Arial" w:cs="Arial" w:eastAsia="Arial" w:hAnsi="Arial"/>
          <w:color w:val="2c5282"/>
          <w:sz w:val="24"/>
          <w:szCs w:val="24"/>
        </w:rPr>
      </w:pPr>
      <w:r w:rsidDel="00000000" w:rsidR="00000000" w:rsidRPr="00000000">
        <w:rPr>
          <w:rFonts w:ascii="Arial" w:cs="Arial" w:eastAsia="Arial" w:hAnsi="Arial"/>
          <w:color w:val="2c5282"/>
          <w:sz w:val="24"/>
          <w:szCs w:val="24"/>
          <w:rtl w:val="0"/>
        </w:rPr>
        <w:t xml:space="preserve">4.2 Recommended Enterprise Specification (Target Authorization Target)</w:t>
      </w:r>
    </w:p>
    <w:tbl>
      <w:tblPr>
        <w:tblStyle w:val="Table2"/>
        <w:tblW w:w="9360.0" w:type="dxa"/>
        <w:jc w:val="left"/>
        <w:tblBorders>
          <w:top w:color="e2e8f0" w:space="0" w:sz="6" w:val="single"/>
          <w:left w:color="e2e8f0" w:space="0" w:sz="6" w:val="single"/>
          <w:bottom w:color="e2e8f0" w:space="0" w:sz="6" w:val="single"/>
          <w:right w:color="e2e8f0" w:space="0" w:sz="6" w:val="single"/>
          <w:insideH w:color="e2e8f0" w:space="0" w:sz="6" w:val="single"/>
          <w:insideV w:color="e2e8f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e2e8f0" w:space="0" w:sz="6" w:val="single"/>
              <w:left w:color="e2e8f0" w:space="0" w:sz="6" w:val="single"/>
              <w:bottom w:color="e2e8f0" w:space="0" w:sz="6" w:val="single"/>
              <w:right w:color="e2e8f0" w:space="0" w:sz="6" w:val="single"/>
            </w:tcBorders>
            <w:shd w:fill="f0fff4" w:val="clear"/>
            <w:tcMar>
              <w:top w:w="180.0" w:type="dxa"/>
              <w:left w:w="180.0" w:type="dxa"/>
              <w:bottom w:w="18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b w:val="1"/>
                <w:bCs w:val="1"/>
                <w:color w:val="000000"/>
                <w:sz w:val="20"/>
                <w:szCs w:val="20"/>
                <w:shd w:fill="auto" w:val="clear"/>
              </w:rPr>
            </w:pPr>
            <w:r w:rsidDel="00000000" w:rsidR="00000000" w:rsidRPr="00000000">
              <w:rPr>
                <w:rFonts w:ascii="Arial" w:cs="Arial" w:eastAsia="Arial" w:hAnsi="Arial"/>
                <w:b w:val="1"/>
                <w:bCs w:val="1"/>
                <w:color w:val="000000"/>
                <w:sz w:val="20"/>
                <w:szCs w:val="20"/>
                <w:shd w:fill="auto" w:val="clear"/>
                <w:rtl w:val="0"/>
              </w:rPr>
              <w:t xml:space="preserve">Hardware Element</w:t>
            </w:r>
          </w:p>
        </w:tc>
        <w:tc>
          <w:tcPr>
            <w:tcBorders>
              <w:top w:color="e2e8f0" w:space="0" w:sz="6" w:val="single"/>
              <w:left w:color="e2e8f0" w:space="0" w:sz="6" w:val="single"/>
              <w:bottom w:color="e2e8f0" w:space="0" w:sz="6" w:val="single"/>
              <w:right w:color="e2e8f0" w:space="0" w:sz="6" w:val="single"/>
            </w:tcBorders>
            <w:shd w:fill="f0fff4" w:val="clear"/>
            <w:tcMar>
              <w:top w:w="180.0" w:type="dxa"/>
              <w:left w:w="180.0" w:type="dxa"/>
              <w:bottom w:w="18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b w:val="1"/>
                <w:bCs w:val="1"/>
                <w:color w:val="000000"/>
                <w:sz w:val="20"/>
                <w:szCs w:val="20"/>
                <w:shd w:fill="auto" w:val="clear"/>
              </w:rPr>
            </w:pPr>
            <w:r w:rsidDel="00000000" w:rsidR="00000000" w:rsidRPr="00000000">
              <w:rPr>
                <w:rFonts w:ascii="Arial" w:cs="Arial" w:eastAsia="Arial" w:hAnsi="Arial"/>
                <w:b w:val="1"/>
                <w:bCs w:val="1"/>
                <w:color w:val="000000"/>
                <w:sz w:val="20"/>
                <w:szCs w:val="20"/>
                <w:shd w:fill="auto" w:val="clear"/>
                <w:rtl w:val="0"/>
              </w:rPr>
              <w:t xml:space="preserve">Recommended Target</w:t>
            </w:r>
          </w:p>
        </w:tc>
        <w:tc>
          <w:tcPr>
            <w:tcBorders>
              <w:top w:color="e2e8f0" w:space="0" w:sz="6" w:val="single"/>
              <w:left w:color="e2e8f0" w:space="0" w:sz="6" w:val="single"/>
              <w:bottom w:color="e2e8f0" w:space="0" w:sz="6" w:val="single"/>
              <w:right w:color="e2e8f0" w:space="0" w:sz="6" w:val="single"/>
            </w:tcBorders>
            <w:shd w:fill="f0fff4" w:val="clear"/>
            <w:tcMar>
              <w:top w:w="180.0" w:type="dxa"/>
              <w:left w:w="180.0" w:type="dxa"/>
              <w:bottom w:w="18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b w:val="1"/>
                <w:bCs w:val="1"/>
                <w:color w:val="000000"/>
                <w:sz w:val="20"/>
                <w:szCs w:val="20"/>
                <w:shd w:fill="auto" w:val="clear"/>
              </w:rPr>
            </w:pPr>
            <w:r w:rsidDel="00000000" w:rsidR="00000000" w:rsidRPr="00000000">
              <w:rPr>
                <w:rFonts w:ascii="Arial" w:cs="Arial" w:eastAsia="Arial" w:hAnsi="Arial"/>
                <w:b w:val="1"/>
                <w:bCs w:val="1"/>
                <w:color w:val="000000"/>
                <w:sz w:val="20"/>
                <w:szCs w:val="20"/>
                <w:shd w:fill="auto" w:val="clear"/>
                <w:rtl w:val="0"/>
              </w:rPr>
              <w:t xml:space="preserve">Operational Purpose &amp; Context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color w:val="000000"/>
                <w:sz w:val="20"/>
                <w:szCs w:val="20"/>
                <w:shd w:fill="auto" w:val="clear"/>
              </w:rPr>
            </w:pPr>
            <w:r w:rsidDel="00000000" w:rsidR="00000000" w:rsidRPr="00000000">
              <w:rPr>
                <w:rFonts w:ascii="Arial" w:cs="Arial" w:eastAsia="Arial" w:hAnsi="Arial"/>
                <w:b w:val="1"/>
                <w:bCs w:val="1"/>
                <w:color w:val="000000"/>
                <w:sz w:val="20"/>
                <w:szCs w:val="20"/>
                <w:shd w:fill="auto" w:val="clear"/>
                <w:rtl w:val="0"/>
              </w:rPr>
              <w:t xml:space="preserve">Processor Cores</w:t>
            </w:r>
          </w:p>
        </w:tc>
        <w:tc>
          <w:tcPr>
            <w:tcBorders>
              <w:top w:color="e2e8f0" w:space="0" w:sz="6" w:val="single"/>
              <w:left w:color="e2e8f0" w:space="0" w:sz="6" w:val="single"/>
              <w:bottom w:color="e2e8f0" w:space="0" w:sz="6" w:val="single"/>
              <w:right w:color="e2e8f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6 to 8 Core Architecture</w:t>
            </w:r>
          </w:p>
        </w:tc>
        <w:tc>
          <w:tcPr>
            <w:tcBorders>
              <w:top w:color="e2e8f0" w:space="0" w:sz="6" w:val="single"/>
              <w:left w:color="e2e8f0" w:space="0" w:sz="6" w:val="single"/>
              <w:bottom w:color="e2e8f0" w:space="0" w:sz="6" w:val="single"/>
              <w:right w:color="e2e8f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Provides the required multi-threaded core density to execute live database structural indexing, complex analytics compilation routines within Grafana, and unhindered concurrency for admin interactions.</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color w:val="000000"/>
                <w:sz w:val="20"/>
                <w:szCs w:val="20"/>
                <w:shd w:fill="auto" w:val="clear"/>
              </w:rPr>
            </w:pPr>
            <w:r w:rsidDel="00000000" w:rsidR="00000000" w:rsidRPr="00000000">
              <w:rPr>
                <w:rFonts w:ascii="Arial" w:cs="Arial" w:eastAsia="Arial" w:hAnsi="Arial"/>
                <w:b w:val="1"/>
                <w:bCs w:val="1"/>
                <w:color w:val="000000"/>
                <w:sz w:val="20"/>
                <w:szCs w:val="20"/>
                <w:shd w:fill="auto" w:val="clear"/>
                <w:rtl w:val="0"/>
              </w:rPr>
              <w:t xml:space="preserve">System RAM</w:t>
            </w:r>
          </w:p>
        </w:tc>
        <w:tc>
          <w:tcPr>
            <w:tcBorders>
              <w:top w:color="e2e8f0" w:space="0" w:sz="6" w:val="single"/>
              <w:left w:color="e2e8f0" w:space="0" w:sz="6" w:val="single"/>
              <w:bottom w:color="e2e8f0" w:space="0" w:sz="6" w:val="single"/>
              <w:right w:color="e2e8f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16 GB Capacity</w:t>
            </w:r>
          </w:p>
        </w:tc>
        <w:tc>
          <w:tcPr>
            <w:tcBorders>
              <w:top w:color="e2e8f0" w:space="0" w:sz="6" w:val="single"/>
              <w:left w:color="e2e8f0" w:space="0" w:sz="6" w:val="single"/>
              <w:bottom w:color="e2e8f0" w:space="0" w:sz="6" w:val="single"/>
              <w:right w:color="e2e8f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Ensures optimal host balancing: Windows Base OS (~3 GB), specialized WSL2 Container VM layer allocated up to ~10 GB. Permits large PostgreSQL shared memory configurations, entirely eliminating page swapping risks.</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color w:val="000000"/>
                <w:sz w:val="20"/>
                <w:szCs w:val="20"/>
                <w:shd w:fill="auto" w:val="clear"/>
              </w:rPr>
            </w:pPr>
            <w:r w:rsidDel="00000000" w:rsidR="00000000" w:rsidRPr="00000000">
              <w:rPr>
                <w:rFonts w:ascii="Arial" w:cs="Arial" w:eastAsia="Arial" w:hAnsi="Arial"/>
                <w:b w:val="1"/>
                <w:bCs w:val="1"/>
                <w:color w:val="000000"/>
                <w:sz w:val="20"/>
                <w:szCs w:val="20"/>
                <w:shd w:fill="auto" w:val="clear"/>
                <w:rtl w:val="0"/>
              </w:rPr>
              <w:t xml:space="preserve">Disk Capacity</w:t>
            </w:r>
          </w:p>
        </w:tc>
        <w:tc>
          <w:tcPr>
            <w:tcBorders>
              <w:top w:color="e2e8f0" w:space="0" w:sz="6" w:val="single"/>
              <w:left w:color="e2e8f0" w:space="0" w:sz="6" w:val="single"/>
              <w:bottom w:color="e2e8f0" w:space="0" w:sz="6" w:val="single"/>
              <w:right w:color="e2e8f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500 GB Non-Volatile Space</w:t>
            </w:r>
          </w:p>
        </w:tc>
        <w:tc>
          <w:tcPr>
            <w:tcBorders>
              <w:top w:color="e2e8f0" w:space="0" w:sz="6" w:val="single"/>
              <w:left w:color="e2e8f0" w:space="0" w:sz="6" w:val="single"/>
              <w:bottom w:color="e2e8f0" w:space="0" w:sz="6" w:val="single"/>
              <w:right w:color="e2e8f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Accommodates multiple years of telemetry database logs without requiring aggressive analytical data deletions, while leaving substantial overhead for expansive 4K/HD video campaign assets.</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color w:val="000000"/>
                <w:sz w:val="20"/>
                <w:szCs w:val="20"/>
                <w:shd w:fill="auto" w:val="clear"/>
              </w:rPr>
            </w:pPr>
            <w:r w:rsidDel="00000000" w:rsidR="00000000" w:rsidRPr="00000000">
              <w:rPr>
                <w:rFonts w:ascii="Arial" w:cs="Arial" w:eastAsia="Arial" w:hAnsi="Arial"/>
                <w:b w:val="1"/>
                <w:bCs w:val="1"/>
                <w:color w:val="000000"/>
                <w:sz w:val="20"/>
                <w:szCs w:val="20"/>
                <w:shd w:fill="auto" w:val="clear"/>
                <w:rtl w:val="0"/>
              </w:rPr>
              <w:t xml:space="preserve">Storage Medium</w:t>
            </w:r>
          </w:p>
        </w:tc>
        <w:tc>
          <w:tcPr>
            <w:tcBorders>
              <w:top w:color="e2e8f0" w:space="0" w:sz="6" w:val="single"/>
              <w:left w:color="e2e8f0" w:space="0" w:sz="6" w:val="single"/>
              <w:bottom w:color="e2e8f0" w:space="0" w:sz="6" w:val="single"/>
              <w:right w:color="e2e8f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PCIe NVMe M.2 SSD</w:t>
            </w:r>
          </w:p>
        </w:tc>
        <w:tc>
          <w:tcPr>
            <w:tcBorders>
              <w:top w:color="e2e8f0" w:space="0" w:sz="6" w:val="single"/>
              <w:left w:color="e2e8f0" w:space="0" w:sz="6" w:val="single"/>
              <w:bottom w:color="e2e8f0" w:space="0" w:sz="6" w:val="single"/>
              <w:right w:color="e2e8f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Delivers ultra-high random write IOPS. Ensures seamless database interactions during peak tracking load, even when concurrent system synchronizations and large file asset allocations run simultaneously.</w:t>
            </w:r>
          </w:p>
        </w:tc>
      </w:tr>
      <w:tr>
        <w:trPr>
          <w:cantSplit w:val="0"/>
          <w:tblHeader w:val="0"/>
        </w:trPr>
        <w:tc>
          <w:tcPr>
            <w:tcBorders>
              <w:top w:color="e2e8f0" w:space="0" w:sz="6" w:val="single"/>
              <w:left w:color="e2e8f0" w:space="0" w:sz="6" w:val="single"/>
              <w:bottom w:color="e2e8f0" w:space="0" w:sz="6" w:val="single"/>
              <w:right w:color="e2e8f0" w:space="0" w:sz="6" w:val="single"/>
            </w:tcBorders>
            <w:shd w:fill="f7fafc" w:val="clear"/>
            <w:tcMar>
              <w:top w:w="150.0" w:type="dxa"/>
              <w:left w:w="150.0" w:type="dxa"/>
              <w:bottom w:w="150.0" w:type="dxa"/>
              <w:right w:w="15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color w:val="000000"/>
                <w:sz w:val="20"/>
                <w:szCs w:val="20"/>
                <w:shd w:fill="auto" w:val="clear"/>
              </w:rPr>
            </w:pPr>
            <w:r w:rsidDel="00000000" w:rsidR="00000000" w:rsidRPr="00000000">
              <w:rPr>
                <w:rFonts w:ascii="Arial" w:cs="Arial" w:eastAsia="Arial" w:hAnsi="Arial"/>
                <w:b w:val="1"/>
                <w:bCs w:val="1"/>
                <w:color w:val="000000"/>
                <w:sz w:val="20"/>
                <w:szCs w:val="20"/>
                <w:shd w:fill="auto" w:val="clear"/>
                <w:rtl w:val="0"/>
              </w:rPr>
              <w:t xml:space="preserve">Network Interface</w:t>
            </w:r>
          </w:p>
        </w:tc>
        <w:tc>
          <w:tcPr>
            <w:tcBorders>
              <w:top w:color="e2e8f0" w:space="0" w:sz="6" w:val="single"/>
              <w:left w:color="e2e8f0" w:space="0" w:sz="6" w:val="single"/>
              <w:bottom w:color="e2e8f0" w:space="0" w:sz="6" w:val="single"/>
              <w:right w:color="e2e8f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1 Gbps Full-Duplex NIC</w:t>
            </w:r>
          </w:p>
        </w:tc>
        <w:tc>
          <w:tcPr>
            <w:tcBorders>
              <w:top w:color="e2e8f0" w:space="0" w:sz="6" w:val="single"/>
              <w:left w:color="e2e8f0" w:space="0" w:sz="6" w:val="single"/>
              <w:bottom w:color="e2e8f0" w:space="0" w:sz="6" w:val="single"/>
              <w:right w:color="e2e8f0"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Eliminates distribution interfaces bottlenecks. Allows the system to rapidly disperse a newly staged 100 MB high-impact multi-screen broadcast to all terminal displays without affecting ongoing telemetry.</w:t>
            </w:r>
          </w:p>
        </w:tc>
      </w:tr>
    </w:tbl>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25" w:lineRule="auto"/>
        <w:rPr>
          <w:rFonts w:ascii="Arial" w:cs="Arial" w:eastAsia="Arial" w:hAnsi="Arial"/>
          <w:color w:val="000000"/>
          <w:sz w:val="20"/>
          <w:szCs w:val="20"/>
        </w:rPr>
      </w:pPr>
      <w:r w:rsidDel="00000000" w:rsidR="00000000" w:rsidRPr="00000000">
        <w:rPr>
          <w:rtl w:val="0"/>
        </w:rPr>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b6cb0"/>
        </w:rPr>
      </w:pPr>
      <w:r w:rsidDel="00000000" w:rsidR="00000000" w:rsidRPr="00000000">
        <w:rPr>
          <w:rFonts w:ascii="Arial" w:cs="Arial" w:eastAsia="Arial" w:hAnsi="Arial"/>
          <w:color w:val="2b6cb0"/>
          <w:rtl w:val="0"/>
        </w:rPr>
        <w:t xml:space="preserve">5. Critical Production Operational Configuration Protocols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To secure flawless 24/7 reliability on the Windows Server framework, the infrastructure engineers must enforce specific administrative configurations immediately during installation:</w:t>
      </w:r>
    </w:p>
    <w:p w:rsidR="00000000" w:rsidDel="00000000" w:rsidP="00000000" w:rsidRDefault="00000000" w:rsidRPr="00000000" w14:paraId="00000052">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WSL2 Internal Resource Isolation (.wslconfig):</w:t>
      </w:r>
      <w:r w:rsidDel="00000000" w:rsidR="00000000" w:rsidRPr="00000000">
        <w:rPr>
          <w:rFonts w:ascii="Arial" w:cs="Arial" w:eastAsia="Arial" w:hAnsi="Arial"/>
          <w:color w:val="000000"/>
          <w:rtl w:val="0"/>
        </w:rPr>
        <w:t xml:space="preserve"> A specialized system restriction configuration file must be applied at C:\Users\&lt;TargetAdminUser&gt;\.wslconfig specifying strict upper memory caps (e.g., memory=10GB, processors=4). This prevents the Linux subsystem from dynamically bleeding into host OS memory structures and starving native services.</w:t>
      </w:r>
    </w:p>
    <w:p w:rsidR="00000000" w:rsidDel="00000000" w:rsidP="00000000" w:rsidRDefault="00000000" w:rsidRPr="00000000" w14:paraId="00000053">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Automated Ingestion Lifecycle Maintenance:</w:t>
      </w:r>
      <w:r w:rsidDel="00000000" w:rsidR="00000000" w:rsidRPr="00000000">
        <w:rPr>
          <w:rFonts w:ascii="Arial" w:cs="Arial" w:eastAsia="Arial" w:hAnsi="Arial"/>
          <w:color w:val="000000"/>
          <w:rtl w:val="0"/>
        </w:rPr>
        <w:t xml:space="preserve"> Because the system accumulates over half a million tracking lines every 24 hours, an automated daily task or built-in database maintenance routine must be active. This policy must automatically compress, partition, or clear database records older than 30 or 60 days to prevent drive exhaustion.</w:t>
      </w:r>
    </w:p>
    <w:p w:rsidR="00000000" w:rsidDel="00000000" w:rsidP="00000000" w:rsidRDefault="00000000" w:rsidRPr="00000000" w14:paraId="00000054">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Secure Networking Layer Mappings:</w:t>
      </w:r>
      <w:r w:rsidDel="00000000" w:rsidR="00000000" w:rsidRPr="00000000">
        <w:rPr>
          <w:rFonts w:ascii="Arial" w:cs="Arial" w:eastAsia="Arial" w:hAnsi="Arial"/>
          <w:color w:val="000000"/>
          <w:rtl w:val="0"/>
        </w:rPr>
        <w:t xml:space="preserve"> Hardware terminal players operate outward from the server's internal bridge. The Windows Defender Firewall profile must explicitly register incoming ingress authorization parameters for core listening endpoints, specifically port 3000 (Portal), port 3001 (Core System API), port 3002 (Web Terminal Client Engine), port 3003 (Grafana Telemetry), and ports 9000/9001 (MinIO Storage Gateway).</w:t>
      </w:r>
    </w:p>
    <w:p w:rsidR="00000000" w:rsidDel="00000000" w:rsidP="00000000" w:rsidRDefault="00000000" w:rsidRPr="00000000" w14:paraId="00000055">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000000"/>
          <w:rtl w:val="0"/>
        </w:rPr>
        <w:t xml:space="preserve">NGINX Reverse Proxy Route Optimization:</w:t>
      </w:r>
      <w:r w:rsidDel="00000000" w:rsidR="00000000" w:rsidRPr="00000000">
        <w:rPr>
          <w:rFonts w:ascii="Arial" w:cs="Arial" w:eastAsia="Arial" w:hAnsi="Arial"/>
          <w:color w:val="000000"/>
          <w:rtl w:val="0"/>
        </w:rPr>
        <w:t xml:space="preserve"> To circumvent routing exceptions when directing traffic through a secure custom gateway, the proxy routing layer must perform prefix stripping to clean endpoints before passing queries to underlying containers: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000000"/>
          <w:shd w:fill="f7fafc" w:val="clear"/>
          <w:rtl w:val="0"/>
        </w:rPr>
        <w:t xml:space="preserve">location /api/ {</w:t>
        <w:br w:type="textWrapping"/>
        <w:t xml:space="preserve">    rewrite ^/api/(.*)$ /$1 break;</w:t>
        <w:br w:type="textWrapping"/>
        <w:t xml:space="preserve">    proxy_pass http://localhost:3001;</w:t>
        <w:br w:type="textWrapping"/>
        <w:t xml:space="preserve">    proxy_set_header Host $host;</w:t>
        <w:br w:type="textWrapping"/>
        <w:t xml:space="preserve">    proxy_set_header X-Forwarded-Proto $scheme;</w:t>
        <w:br w:type="textWrapping"/>
        <w:t xml:space="preserve">}</w:t>
        <w:br w:type="textWrapping"/>
        <w:t xml:space="preserve">        </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rFonts w:ascii="Arial" w:cs="Arial" w:eastAsia="Arial" w:hAnsi="Arial"/>
          <w:color w:val="000000"/>
          <w:shd w:fill="f7fafc" w:val="clear"/>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25" w:lineRule="auto"/>
        <w:rPr>
          <w:rFonts w:ascii="Arial" w:cs="Arial" w:eastAsia="Arial" w:hAnsi="Arial"/>
          <w:color w:val="000000"/>
          <w:shd w:fill="f7fafc" w:val="clear"/>
        </w:rPr>
      </w:pPr>
      <w:r w:rsidDel="00000000" w:rsidR="00000000" w:rsidRPr="00000000">
        <w:rPr>
          <w:rtl w:val="0"/>
        </w:rPr>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b6cb0"/>
        </w:rPr>
      </w:pPr>
      <w:r w:rsidDel="00000000" w:rsidR="00000000" w:rsidRPr="00000000">
        <w:rPr>
          <w:rFonts w:ascii="Arial" w:cs="Arial" w:eastAsia="Arial" w:hAnsi="Arial"/>
          <w:color w:val="2b6cb0"/>
          <w:rtl w:val="0"/>
        </w:rPr>
        <w:t xml:space="preserve">6. Conclusion &amp; Request for Authorization</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000000"/>
        </w:rPr>
      </w:pPr>
      <w:r w:rsidDel="00000000" w:rsidR="00000000" w:rsidRPr="00000000">
        <w:rPr>
          <w:rFonts w:ascii="Arial" w:cs="Arial" w:eastAsia="Arial" w:hAnsi="Arial"/>
          <w:color w:val="000000"/>
          <w:rtl w:val="0"/>
        </w:rPr>
        <w:t xml:space="preserve">The containerized Desh-IT Dash architecture presents an exceptionally efficient infrastructure blueprint by utilizing edge caching models on client hardware. Provisioning the hosting ecosystem under the </w:t>
      </w:r>
      <w:r w:rsidDel="00000000" w:rsidR="00000000" w:rsidRPr="00000000">
        <w:rPr>
          <w:rFonts w:ascii="Arial" w:cs="Arial" w:eastAsia="Arial" w:hAnsi="Arial"/>
          <w:b w:val="1"/>
          <w:bCs w:val="1"/>
          <w:color w:val="000000"/>
          <w:rtl w:val="0"/>
        </w:rPr>
        <w:t xml:space="preserve">Recommended Specification</w:t>
      </w:r>
      <w:r w:rsidDel="00000000" w:rsidR="00000000" w:rsidRPr="00000000">
        <w:rPr>
          <w:rFonts w:ascii="Arial" w:cs="Arial" w:eastAsia="Arial" w:hAnsi="Arial"/>
          <w:color w:val="000000"/>
          <w:rtl w:val="0"/>
        </w:rPr>
        <w:t xml:space="preserve"> ensures that the transaction layer preserves low latency during continuous analytical metric ingestion, while preventing distribution interface bottlenecks during critical corporate campaign updates.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We request formal management sign-off and capital allocation approval to deploy the system under the 16 GB RAM / NVMe SSD Recommended Infrastructure tier.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