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80"/>
        <w:jc w:val="center"/>
      </w:pPr>
      <w:r>
        <w:rPr>
          <w:rFonts w:ascii="Times New Roman" w:cs="Times New Roman" w:eastAsia="Times New Roman" w:hAnsi="Times New Roman"/>
          <w:b/>
          <w:bCs/>
          <w:sz w:val="32"/>
          <w:szCs w:val="32"/>
        </w:rPr>
        <w:t xml:space="preserve">RNR Coding — Experimental Design Companion</w:t>
      </w:r>
    </w:p>
    <w:p>
      <w:pPr>
        <w:spacing w:after="240"/>
        <w:jc w:val="center"/>
      </w:pPr>
      <w:r>
        <w:rPr>
          <w:rFonts w:ascii="Times New Roman" w:cs="Times New Roman" w:eastAsia="Times New Roman" w:hAnsi="Times New Roman"/>
          <w:i/>
          <w:iCs/>
          <w:sz w:val="24"/>
          <w:szCs w:val="24"/>
        </w:rPr>
        <w:t xml:space="preserve">Empirical validation plan for the framework paper, v0.7</w:t>
      </w:r>
    </w:p>
    <w:p>
      <w:pPr>
        <w:spacing w:after="480"/>
        <w:jc w:val="center"/>
      </w:pPr>
      <w:r>
        <w:rPr>
          <w:rFonts w:ascii="Times New Roman" w:cs="Times New Roman" w:eastAsia="Times New Roman" w:hAnsi="Times New Roman"/>
          <w:sz w:val="22"/>
          <w:szCs w:val="22"/>
        </w:rPr>
        <w:t xml:space="preserve">Pavlo Ratushnyi — May 2026</w:t>
      </w:r>
    </w:p>
    <w:p>
      <w:r>
        <w:br w:type="page"/>
      </w:r>
    </w:p>
    <w:p>
      <w:pPr>
        <w:pStyle w:val="Heading1"/>
        <w:spacing w:after="200" w:before="360"/>
      </w:pPr>
      <w:r>
        <w:rPr>
          <w:rFonts w:ascii="Times New Roman" w:cs="Times New Roman" w:eastAsia="Times New Roman" w:hAnsi="Times New Roman"/>
          <w:b/>
          <w:bCs/>
          <w:sz w:val="28"/>
          <w:szCs w:val="28"/>
        </w:rPr>
        <w:t xml:space="preserve">1. Purpose and scope</w:t>
      </w:r>
    </w:p>
    <w:p>
      <w:pPr>
        <w:spacing w:after="120" w:before="0" w:line="276"/>
        <w:jc w:val="both"/>
      </w:pPr>
      <w:r>
        <w:rPr>
          <w:rFonts w:ascii="Times New Roman" w:cs="Times New Roman" w:eastAsia="Times New Roman" w:hAnsi="Times New Roman"/>
          <w:sz w:val="22"/>
          <w:szCs w:val="22"/>
        </w:rPr>
        <w:t xml:space="preserve">This document specifies the experimental program required to convert the theoretical claims of RNR Coding v0.5 into empirically verified statements. The main paper is theory-only by design: every quantitative prediction in its §11 is labeled as a conjecture, every theorem is conditional on stated assumptions, and Remark 5.7 invokes the manifold hypothesis without verifying it on specific data. This companion document fills the gap by stating exactly what must be measured, on what data, with what baselines, under what statistical methodology, and how the results should be reported to falsify or confirm each theoretical claim.</w:t>
      </w:r>
    </w:p>
    <w:p>
      <w:pPr>
        <w:spacing w:after="120" w:before="0" w:line="276"/>
        <w:jc w:val="both"/>
      </w:pPr>
      <w:r>
        <w:rPr>
          <w:rFonts w:ascii="Times New Roman" w:cs="Times New Roman" w:eastAsia="Times New Roman" w:hAnsi="Times New Roman"/>
          <w:sz w:val="22"/>
          <w:szCs w:val="22"/>
        </w:rPr>
        <w:t xml:space="preserve">The document covers three classes of empirical work: (a) coding-rate measurements that test each Type's predicted advantage against baselines; (b) information-theoretic measurements (total correlation TC(D_N) and intrinsic dimension d) that test whether specific natural data classes satisfy the conditions of Theorem 5.6 and Remark 5.7; and (c) cross-platform reproducibility tests that verify Theorems 10.1 and 10.2 hold for a specific reference implementation.</w:t>
      </w:r>
    </w:p>
    <w:p>
      <w:pPr>
        <w:spacing w:after="120" w:before="0" w:line="276"/>
        <w:jc w:val="both"/>
      </w:pPr>
      <w:r>
        <w:rPr>
          <w:rFonts w:ascii="Times New Roman" w:cs="Times New Roman" w:eastAsia="Times New Roman" w:hAnsi="Times New Roman"/>
          <w:sz w:val="22"/>
          <w:szCs w:val="22"/>
        </w:rPr>
        <w:t xml:space="preserve">Scope deliberately excluded: privacy auditing (a separate effort with its own threat model), end-user benchmarking (a deployment concern), and large-scale model training (the framework assumes a small distilled predictor; training methodology is upstream of this evaluation).</w:t>
      </w:r>
    </w:p>
    <w:p>
      <w:pPr>
        <w:pStyle w:val="Heading2"/>
        <w:spacing w:after="160" w:before="280"/>
      </w:pPr>
      <w:r>
        <w:rPr>
          <w:rFonts w:ascii="Times New Roman" w:cs="Times New Roman" w:eastAsia="Times New Roman" w:hAnsi="Times New Roman"/>
          <w:b/>
          <w:bCs/>
          <w:sz w:val="25"/>
          <w:szCs w:val="25"/>
        </w:rPr>
        <w:t xml:space="preserve">1.1 Relation to the main paper</w:t>
      </w:r>
    </w:p>
    <w:p>
      <w:pPr>
        <w:spacing w:after="120" w:before="0" w:line="276"/>
        <w:jc w:val="both"/>
      </w:pPr>
      <w:r>
        <w:rPr>
          <w:rFonts w:ascii="Times New Roman" w:cs="Times New Roman" w:eastAsia="Times New Roman" w:hAnsi="Times New Roman"/>
          <w:sz w:val="22"/>
          <w:szCs w:val="22"/>
        </w:rPr>
        <w:t xml:space="preserve">This document does not modify any claim in the main paper. The main paper's §13.3 explicitly marks empirical validation as out of scope; this document is the artifact that §13.3 points to. Results from executing this plan would normally be published as a separate experimental paper, jointly authored or independently. Both documents stand alone.</w:t>
      </w:r>
    </w:p>
    <w:p>
      <w:r>
        <w:br w:type="page"/>
      </w:r>
    </w:p>
    <w:p>
      <w:pPr>
        <w:pStyle w:val="Heading1"/>
        <w:spacing w:after="200" w:before="360"/>
      </w:pPr>
      <w:r>
        <w:rPr>
          <w:rFonts w:ascii="Times New Roman" w:cs="Times New Roman" w:eastAsia="Times New Roman" w:hAnsi="Times New Roman"/>
          <w:b/>
          <w:bCs/>
          <w:sz w:val="28"/>
          <w:szCs w:val="28"/>
        </w:rPr>
        <w:t xml:space="preserve">2. Hypotheses to test</w:t>
      </w:r>
    </w:p>
    <w:p>
      <w:pPr>
        <w:spacing w:after="120" w:before="0" w:line="276"/>
        <w:jc w:val="both"/>
      </w:pPr>
      <w:r>
        <w:rPr>
          <w:rFonts w:ascii="Times New Roman" w:cs="Times New Roman" w:eastAsia="Times New Roman" w:hAnsi="Times New Roman"/>
          <w:sz w:val="22"/>
          <w:szCs w:val="22"/>
        </w:rPr>
        <w:t xml:space="preserve">Each numbered hypothesis below corresponds to one or more theorems in the main paper. Hypotheses are stated in falsifiable form with explicit measurement procedures. The relationship to theory is given as either confirming (the theorem holds; the experiment is checking that conditions are realistic) or quantifying (the theorem's effect size on real data).</w:t>
      </w:r>
    </w:p>
    <w:p>
      <w:pPr>
        <w:pStyle w:val="Heading2"/>
        <w:spacing w:after="160" w:before="280"/>
      </w:pPr>
      <w:r>
        <w:rPr>
          <w:rFonts w:ascii="Times New Roman" w:cs="Times New Roman" w:eastAsia="Times New Roman" w:hAnsi="Times New Roman"/>
          <w:b/>
          <w:bCs/>
          <w:sz w:val="25"/>
          <w:szCs w:val="25"/>
        </w:rPr>
        <w:t xml:space="preserve">2.1 Type-I rate (Theorems 4.1, 4.2)</w:t>
      </w:r>
    </w:p>
    <w:p>
      <w:pPr>
        <w:spacing w:after="120" w:before="0" w:line="276"/>
        <w:jc w:val="both"/>
      </w:pPr>
      <w:r>
        <w:rPr>
          <w:rFonts w:ascii="Times New Roman" w:cs="Times New Roman" w:eastAsia="Times New Roman" w:hAnsi="Times New Roman"/>
          <w:b/>
          <w:bCs/>
          <w:sz w:val="22"/>
          <w:szCs w:val="22"/>
        </w:rPr>
        <w:t xml:space="preserve">H1 [quantifying]: </w:t>
      </w:r>
      <w:r>
        <w:rPr>
          <w:rFonts w:ascii="Times New Roman" w:cs="Times New Roman" w:eastAsia="Times New Roman" w:hAnsi="Times New Roman"/>
          <w:sz w:val="22"/>
          <w:szCs w:val="22"/>
        </w:rPr>
        <w:t xml:space="preserve">On English-language text and source code corpora, an RNR Type-I coder with the Code12 E12-A mapping and a small (5–20 MB amortized) byte-level transformer predictor achieves coding rate 1.5–2.0 bits per byte, competitive with LZMA at maximum preset (2.1–2.5 bpb) and behind NNCP (1.3–1.6 bpb). The gap to NNCP narrows under E12-C (learned mapping).</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Type-I rate exceeds 2.5 bpb on enwik9 (worse than LZMA), or if Type-I rate exceeds NNCP rate by more than 0.5 bpb after E12-C optimization, the conjecture in §11 is falsified for this regime.</w:t>
      </w:r>
    </w:p>
    <w:p>
      <w:pPr>
        <w:pStyle w:val="Heading2"/>
        <w:spacing w:after="160" w:before="280"/>
      </w:pPr>
      <w:r>
        <w:rPr>
          <w:rFonts w:ascii="Times New Roman" w:cs="Times New Roman" w:eastAsia="Times New Roman" w:hAnsi="Times New Roman"/>
          <w:b/>
          <w:bCs/>
          <w:sz w:val="25"/>
          <w:szCs w:val="25"/>
        </w:rPr>
        <w:t xml:space="preserve">2.2 Type-II separation on structured data (Theorems 5.3, 5.4, 5.6)</w:t>
      </w:r>
    </w:p>
    <w:p>
      <w:pPr>
        <w:spacing w:after="120" w:before="0" w:line="276"/>
        <w:jc w:val="both"/>
      </w:pPr>
      <w:r>
        <w:rPr>
          <w:rFonts w:ascii="Times New Roman" w:cs="Times New Roman" w:eastAsia="Times New Roman" w:hAnsi="Times New Roman"/>
          <w:b/>
          <w:bCs/>
          <w:sz w:val="22"/>
          <w:szCs w:val="22"/>
        </w:rPr>
        <w:t xml:space="preserve">H2 [quantifying]: </w:t>
      </w:r>
      <w:r>
        <w:rPr>
          <w:rFonts w:ascii="Times New Roman" w:cs="Times New Roman" w:eastAsia="Times New Roman" w:hAnsi="Times New Roman"/>
          <w:sz w:val="22"/>
          <w:szCs w:val="22"/>
        </w:rPr>
        <w:t xml:space="preserve">On database pages, structured binary records (Protocol Buffers, MessagePack, Apache Parquet), and instruction streams (x86-64, RISC-V), an RNR Type-II coder with semi-non-factorized positional model achieves coding rate 10–20% below LZMA at maximum preset.</w:t>
      </w:r>
    </w:p>
    <w:p>
      <w:pPr>
        <w:spacing w:after="120" w:before="0" w:line="276"/>
        <w:jc w:val="both"/>
      </w:pPr>
      <w:r>
        <w:rPr>
          <w:rFonts w:ascii="Times New Roman" w:cs="Times New Roman" w:eastAsia="Times New Roman" w:hAnsi="Times New Roman"/>
          <w:b/>
          <w:bCs/>
          <w:sz w:val="22"/>
          <w:szCs w:val="22"/>
        </w:rPr>
        <w:t xml:space="preserve">H3 [confirming]: </w:t>
      </w:r>
      <w:r>
        <w:rPr>
          <w:rFonts w:ascii="Times New Roman" w:cs="Times New Roman" w:eastAsia="Times New Roman" w:hAnsi="Times New Roman"/>
          <w:sz w:val="22"/>
          <w:szCs w:val="22"/>
        </w:rPr>
        <w:t xml:space="preserve">For each of the data classes in H2, the measured total correlation TC(D_N) is Theta(N), i.e., remains at least 10% of N as N grows over the range 1 KiB to 16 KiB.</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measured TC(D_N) decays as o(N) for any of the data classes, then Theorem 5.6's separation regime does not apply and Type-II provides only logarithmic-scale gains. If Type-II rate equals or exceeds LZMA on database pages, the separation regime is not realized at the predictor size tested.</w:t>
      </w:r>
    </w:p>
    <w:p>
      <w:pPr>
        <w:pStyle w:val="Heading2"/>
        <w:spacing w:after="160" w:before="280"/>
      </w:pPr>
      <w:r>
        <w:rPr>
          <w:rFonts w:ascii="Times New Roman" w:cs="Times New Roman" w:eastAsia="Times New Roman" w:hAnsi="Times New Roman"/>
          <w:b/>
          <w:bCs/>
          <w:sz w:val="25"/>
          <w:szCs w:val="25"/>
        </w:rPr>
        <w:t xml:space="preserve">2.3 Manifold-hypothesis quantification (Remark 5.7)</w:t>
      </w:r>
    </w:p>
    <w:p>
      <w:pPr>
        <w:spacing w:after="120" w:before="0" w:line="276"/>
        <w:jc w:val="both"/>
      </w:pPr>
      <w:r>
        <w:rPr>
          <w:rFonts w:ascii="Times New Roman" w:cs="Times New Roman" w:eastAsia="Times New Roman" w:hAnsi="Times New Roman"/>
          <w:b/>
          <w:bCs/>
          <w:sz w:val="22"/>
          <w:szCs w:val="22"/>
        </w:rPr>
        <w:t xml:space="preserve">H4 [confirming]: </w:t>
      </w:r>
      <w:r>
        <w:rPr>
          <w:rFonts w:ascii="Times New Roman" w:cs="Times New Roman" w:eastAsia="Times New Roman" w:hAnsi="Times New Roman"/>
          <w:sz w:val="22"/>
          <w:szCs w:val="22"/>
        </w:rPr>
        <w:t xml:space="preserve">For each natural-data class in H2 and H6, the estimated intrinsic dimension d, computed via the Levina-Bickel maximum-likelihood estimator on byte-level embedding vectors at multiple ambient dimensions, lies in the regime d much less than ambient dimension N.</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d is comparable to N (within a factor of 2) for any tested natural-data class, the manifold-hypothesis quantification in Remark 5.7 does not apply to that class, and TC(D_N) is not predicted to be Theta(N) for it. The conditional theorem still holds; only the empirical applicability is in question.</w:t>
      </w:r>
    </w:p>
    <w:p>
      <w:pPr>
        <w:pStyle w:val="Heading2"/>
        <w:spacing w:after="160" w:before="280"/>
      </w:pPr>
      <w:r>
        <w:rPr>
          <w:rFonts w:ascii="Times New Roman" w:cs="Times New Roman" w:eastAsia="Times New Roman" w:hAnsi="Times New Roman"/>
          <w:b/>
          <w:bCs/>
          <w:sz w:val="25"/>
          <w:szCs w:val="25"/>
        </w:rPr>
        <w:t xml:space="preserve">2.4 Type-III-A mode-selection effectiveness (Theorems 6.1, 6.4)</w:t>
      </w:r>
    </w:p>
    <w:p>
      <w:pPr>
        <w:spacing w:after="120" w:before="0" w:line="276"/>
        <w:jc w:val="both"/>
      </w:pPr>
      <w:r>
        <w:rPr>
          <w:rFonts w:ascii="Times New Roman" w:cs="Times New Roman" w:eastAsia="Times New Roman" w:hAnsi="Times New Roman"/>
          <w:b/>
          <w:bCs/>
          <w:sz w:val="22"/>
          <w:szCs w:val="22"/>
        </w:rPr>
        <w:t xml:space="preserve">H5 [quantifying]: </w:t>
      </w:r>
      <w:r>
        <w:rPr>
          <w:rFonts w:ascii="Times New Roman" w:cs="Times New Roman" w:eastAsia="Times New Roman" w:hAnsi="Times New Roman"/>
          <w:sz w:val="22"/>
          <w:szCs w:val="22"/>
        </w:rPr>
        <w:t xml:space="preserve">On heterogeneous archives (mixed text/binary, container files, database dumps with header and payload), an RNR Type-III-A scheduler with calibrated U_m(t) achieves rate within 5% of the per-tile oracle best mode. The per-mode prediction error eps_t averages below 0.1 bits per position.</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the scheduler's rate exceeds the per-tile oracle by more than 20% on heterogeneous data, the predictor for U is undercalibrated and the 2*eps bound is not approached in practice.</w:t>
      </w:r>
    </w:p>
    <w:p>
      <w:pPr>
        <w:pStyle w:val="Heading2"/>
        <w:spacing w:after="160" w:before="280"/>
      </w:pPr>
      <w:r>
        <w:rPr>
          <w:rFonts w:ascii="Times New Roman" w:cs="Times New Roman" w:eastAsia="Times New Roman" w:hAnsi="Times New Roman"/>
          <w:b/>
          <w:bCs/>
          <w:sz w:val="25"/>
          <w:szCs w:val="25"/>
        </w:rPr>
        <w:t xml:space="preserve">2.5 Type-III-B mutual-information advantage (Theorem 6.2)</w:t>
      </w:r>
    </w:p>
    <w:p>
      <w:pPr>
        <w:spacing w:after="120" w:before="0" w:line="276"/>
        <w:jc w:val="both"/>
      </w:pPr>
      <w:r>
        <w:rPr>
          <w:rFonts w:ascii="Times New Roman" w:cs="Times New Roman" w:eastAsia="Times New Roman" w:hAnsi="Times New Roman"/>
          <w:b/>
          <w:bCs/>
          <w:sz w:val="22"/>
          <w:szCs w:val="22"/>
        </w:rPr>
        <w:t xml:space="preserve">H6 [quantifying]: </w:t>
      </w:r>
      <w:r>
        <w:rPr>
          <w:rFonts w:ascii="Times New Roman" w:cs="Times New Roman" w:eastAsia="Times New Roman" w:hAnsi="Times New Roman"/>
          <w:sz w:val="22"/>
          <w:szCs w:val="22"/>
        </w:rPr>
        <w:t xml:space="preserve">Measured I(H ; L | C) on ASCII text falls in 0.3–0.7 bits per byte; on x86-64 instruction streams, 0.4–0.9 bits per byte; on float32 numeric arrays (scientific data), 1.0–2.0 bits per byte.</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I(H ; L | C) is below 0.1 bits per byte on any of these classes, the Type-III-B advantage over Type-II at nibble alphabet is negligible and not worth the additional model cost.</w:t>
      </w:r>
    </w:p>
    <w:p>
      <w:pPr>
        <w:pStyle w:val="Heading2"/>
        <w:spacing w:after="160" w:before="280"/>
      </w:pPr>
      <w:r>
        <w:rPr>
          <w:rFonts w:ascii="Times New Roman" w:cs="Times New Roman" w:eastAsia="Times New Roman" w:hAnsi="Times New Roman"/>
          <w:b/>
          <w:bCs/>
          <w:sz w:val="25"/>
          <w:szCs w:val="25"/>
        </w:rPr>
        <w:t xml:space="preserve">2.6 Type-III-C with bits-back (Theorem 6.6)</w:t>
      </w:r>
    </w:p>
    <w:p>
      <w:pPr>
        <w:spacing w:after="120" w:before="0" w:line="276"/>
        <w:jc w:val="both"/>
      </w:pPr>
      <w:r>
        <w:rPr>
          <w:rFonts w:ascii="Times New Roman" w:cs="Times New Roman" w:eastAsia="Times New Roman" w:hAnsi="Times New Roman"/>
          <w:b/>
          <w:bCs/>
          <w:sz w:val="22"/>
          <w:szCs w:val="22"/>
        </w:rPr>
        <w:t xml:space="preserve">H7 [confirming]: </w:t>
      </w:r>
      <w:r>
        <w:rPr>
          <w:rFonts w:ascii="Times New Roman" w:cs="Times New Roman" w:eastAsia="Times New Roman" w:hAnsi="Times New Roman"/>
          <w:sz w:val="22"/>
          <w:szCs w:val="22"/>
        </w:rPr>
        <w:t xml:space="preserve">An RNR Type-III-C coder with bits-back ANS over a small VAE-style latent predictor achieves rate within 2% of H(X | Y) on natural image data, matching the bits-back identity. The empirical KL(q || P_posterior) gap is bounded by the variational training loss.</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the measured rate exceeds H(X | Y) + 5% on image data, the bits-back accounting in Theorem 6.6 has implementation defects or the variational posterior q is poorly fit. The theorem is unaffected.</w:t>
      </w:r>
    </w:p>
    <w:p>
      <w:pPr>
        <w:pStyle w:val="Heading2"/>
        <w:spacing w:after="160" w:before="280"/>
      </w:pPr>
      <w:r>
        <w:rPr>
          <w:rFonts w:ascii="Times New Roman" w:cs="Times New Roman" w:eastAsia="Times New Roman" w:hAnsi="Times New Roman"/>
          <w:b/>
          <w:bCs/>
          <w:sz w:val="25"/>
          <w:szCs w:val="25"/>
        </w:rPr>
        <w:t xml:space="preserve">2.7 Reproducibility (Theorems 10.1, 10.2)</w:t>
      </w:r>
    </w:p>
    <w:p>
      <w:pPr>
        <w:spacing w:after="120" w:before="0" w:line="276"/>
        <w:jc w:val="both"/>
      </w:pPr>
      <w:r>
        <w:rPr>
          <w:rFonts w:ascii="Times New Roman" w:cs="Times New Roman" w:eastAsia="Times New Roman" w:hAnsi="Times New Roman"/>
          <w:b/>
          <w:bCs/>
          <w:sz w:val="22"/>
          <w:szCs w:val="22"/>
        </w:rPr>
        <w:t xml:space="preserve">H8 [confirming]: </w:t>
      </w:r>
      <w:r>
        <w:rPr>
          <w:rFonts w:ascii="Times New Roman" w:cs="Times New Roman" w:eastAsia="Times New Roman" w:hAnsi="Times New Roman"/>
          <w:sz w:val="22"/>
          <w:szCs w:val="22"/>
        </w:rPr>
        <w:t xml:space="preserve">A reference RNR implementation built to Definition 10.1 produces byte-identical archive outputs across (a) x86-64 Linux with stock libc, (b) ARM64 Linux on Apple Silicon, (c) RISC-V QEMU emulation, (d) Windows x86-64 with MSVC runtime, on a 100-block test corpus.</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any platform produces a byte-divergent archive on any test block, the reference implementation does not meet Theorem 10.1's conditions and must be fixed. The theorem is unaffected.</w:t>
      </w:r>
    </w:p>
    <w:p>
      <w:pPr>
        <w:spacing w:after="120" w:before="0" w:line="276"/>
        <w:jc w:val="both"/>
      </w:pPr>
      <w:r>
        <w:rPr>
          <w:rFonts w:ascii="Times New Roman" w:cs="Times New Roman" w:eastAsia="Times New Roman" w:hAnsi="Times New Roman"/>
          <w:b/>
          <w:bCs/>
          <w:sz w:val="22"/>
          <w:szCs w:val="22"/>
        </w:rPr>
        <w:t xml:space="preserve">H9 [confirming]: </w:t>
      </w:r>
      <w:r>
        <w:rPr>
          <w:rFonts w:ascii="Times New Roman" w:cs="Times New Roman" w:eastAsia="Times New Roman" w:hAnsi="Times New Roman"/>
          <w:sz w:val="22"/>
          <w:szCs w:val="22"/>
        </w:rPr>
        <w:t xml:space="preserve">Online adaptation via a compatible integer-arithmetic optimizer (integer SGD, signSGD, or integer Adam per Definition 10.1) produces byte-identical archives across the same four platforms as H8, after 1000 adaptation steps.</w:t>
      </w:r>
    </w:p>
    <w:p>
      <w:pPr>
        <w:pStyle w:val="Heading2"/>
        <w:spacing w:after="160" w:before="280"/>
      </w:pPr>
      <w:r>
        <w:rPr>
          <w:rFonts w:ascii="Times New Roman" w:cs="Times New Roman" w:eastAsia="Times New Roman" w:hAnsi="Times New Roman"/>
          <w:b/>
          <w:bCs/>
          <w:sz w:val="25"/>
          <w:szCs w:val="25"/>
        </w:rPr>
        <w:t xml:space="preserve">2.8 Random access scaling (Theorems 10.3, 10.4)</w:t>
      </w:r>
    </w:p>
    <w:p>
      <w:pPr>
        <w:spacing w:after="120" w:before="0" w:line="276"/>
        <w:jc w:val="both"/>
      </w:pPr>
      <w:r>
        <w:rPr>
          <w:rFonts w:ascii="Times New Roman" w:cs="Times New Roman" w:eastAsia="Times New Roman" w:hAnsi="Times New Roman"/>
          <w:b/>
          <w:bCs/>
          <w:sz w:val="22"/>
          <w:szCs w:val="22"/>
        </w:rPr>
        <w:t xml:space="preserve">H10 [confirming]: </w:t>
      </w:r>
      <w:r>
        <w:rPr>
          <w:rFonts w:ascii="Times New Roman" w:cs="Times New Roman" w:eastAsia="Times New Roman" w:hAnsi="Times New Roman"/>
          <w:sz w:val="22"/>
          <w:szCs w:val="22"/>
        </w:rPr>
        <w:t xml:space="preserve">For RNR archives built with a W-bounded transformer predictor (W = 4 KiB) and sync points placed every K = 64 KiB, wall-clock time for random access to k = 1 KiB at any position N satisfies: (a) T(N, k) is independent of N within measurement noise, across archive sizes spanning 100 MiB to 100 GiB; (b) T(N, k) lies in the range 20 to 200 milliseconds on commodity hardware; (c) ratio overhead from sync points relative to a no-sync RNR baseline is below 2 percent for K = 64 KiB and below 5 percent for K = 4 KiB.</w:t>
      </w:r>
    </w:p>
    <w:p>
      <w:pPr>
        <w:spacing w:after="120" w:before="0" w:line="276"/>
        <w:jc w:val="both"/>
      </w:pPr>
      <w:r>
        <w:rPr>
          <w:rFonts w:ascii="Times New Roman" w:cs="Times New Roman" w:eastAsia="Times New Roman" w:hAnsi="Times New Roman"/>
          <w:b/>
          <w:bCs/>
          <w:sz w:val="22"/>
          <w:szCs w:val="22"/>
        </w:rPr>
        <w:t xml:space="preserve">H11 [quantifying]: </w:t>
      </w:r>
      <w:r>
        <w:rPr>
          <w:rFonts w:ascii="Times New Roman" w:cs="Times New Roman" w:eastAsia="Times New Roman" w:hAnsi="Times New Roman"/>
          <w:sz w:val="22"/>
          <w:szCs w:val="22"/>
        </w:rPr>
        <w:t xml:space="preserve">For the LSTM-based RNR variant (non-W-bounded, requiring state snapshots), random-access time T(N, k) is 3 to 10 times higher than the W-bounded transformer variant at matched K, due to state-snapshot deserialization and predictor warm-start cost. Seek index size grows by approximately L(state) per sync point.</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T(N, k) grows monotonically with N for the W-bounded variant, the bounded-context assumption is not realized in the implementation, or sync points are ineffective. If sync-point ratio overhead exceeds 10 percent at K = 64 KiB, the per-sync-point cold-context cost is larger than predicted, requiring reconsideration of W or K.</w:t>
      </w:r>
    </w:p>
    <w:p>
      <w:pPr>
        <w:spacing w:after="120" w:before="0" w:line="276"/>
        <w:jc w:val="both"/>
      </w:pPr>
      <w:r>
        <w:rPr>
          <w:rFonts w:ascii="Times New Roman" w:cs="Times New Roman" w:eastAsia="Times New Roman" w:hAnsi="Times New Roman"/>
          <w:i/>
          <w:iCs/>
          <w:sz w:val="22"/>
          <w:szCs w:val="22"/>
        </w:rPr>
        <w:t xml:space="preserve">Comparison baselines: </w:t>
      </w:r>
      <w:r>
        <w:rPr>
          <w:rFonts w:ascii="Times New Roman" w:cs="Times New Roman" w:eastAsia="Times New Roman" w:hAnsi="Times New Roman"/>
          <w:sz w:val="22"/>
          <w:szCs w:val="22"/>
        </w:rPr>
        <w:t xml:space="preserve">T(N, k) for sequential decoding of NNCP at the same archive sizes (expected: O(N) scaling, hours for 1 GiB); T(N, k) for bgzip and zstd seekable mode at matched block sizes (expected: comparable to RNR W-bounded). The kill-feature claim of §10.7 stands or falls on this comparison.</w:t>
      </w:r>
    </w:p>
    <w:p>
      <w:pPr>
        <w:pStyle w:val="Heading2"/>
        <w:spacing w:after="160" w:before="280"/>
      </w:pPr>
      <w:r>
        <w:rPr>
          <w:rFonts w:ascii="Times New Roman" w:cs="Times New Roman" w:eastAsia="Times New Roman" w:hAnsi="Times New Roman"/>
          <w:b/>
          <w:bCs/>
          <w:sz w:val="25"/>
          <w:szCs w:val="25"/>
        </w:rPr>
        <w:t xml:space="preserve">2.9 Mounted-filesystem performance (Theorem 10.5)</w:t>
      </w:r>
    </w:p>
    <w:p>
      <w:pPr>
        <w:spacing w:after="120" w:before="0" w:line="276"/>
        <w:jc w:val="both"/>
      </w:pPr>
      <w:r>
        <w:rPr>
          <w:rFonts w:ascii="Times New Roman" w:cs="Times New Roman" w:eastAsia="Times New Roman" w:hAnsi="Times New Roman"/>
          <w:b/>
          <w:bCs/>
          <w:sz w:val="22"/>
          <w:szCs w:val="22"/>
        </w:rPr>
        <w:t xml:space="preserve">H12 [confirming]: </w:t>
      </w:r>
      <w:r>
        <w:rPr>
          <w:rFonts w:ascii="Times New Roman" w:cs="Times New Roman" w:eastAsia="Times New Roman" w:hAnsi="Times New Roman"/>
          <w:sz w:val="22"/>
          <w:szCs w:val="22"/>
        </w:rPr>
        <w:t xml:space="preserve">A FUSE-based driver wrapping an RNR archive of a typical Linux distribution ISO (5 to 20 GiB) supports standard filesystem operations (open, read, stat, readdir) with per-operation latency within 3 times the latency of the same operations on a squashfs-compressed version of the same ISO. Sequential read throughput of large files is within 2 times the squashfs throughput on the same hardware. Compression ratio is at least 1.5 times better than squashfs+zstd on the same ISO.</w:t>
      </w:r>
    </w:p>
    <w:p>
      <w:pPr>
        <w:spacing w:after="120" w:before="0" w:line="276"/>
        <w:jc w:val="both"/>
      </w:pPr>
      <w:r>
        <w:rPr>
          <w:rFonts w:ascii="Times New Roman" w:cs="Times New Roman" w:eastAsia="Times New Roman" w:hAnsi="Times New Roman"/>
          <w:b/>
          <w:bCs/>
          <w:sz w:val="22"/>
          <w:szCs w:val="22"/>
        </w:rPr>
        <w:t xml:space="preserve">H13 [confirming]: </w:t>
      </w:r>
      <w:r>
        <w:rPr>
          <w:rFonts w:ascii="Times New Roman" w:cs="Times New Roman" w:eastAsia="Times New Roman" w:hAnsi="Times New Roman"/>
          <w:sz w:val="22"/>
          <w:szCs w:val="22"/>
        </w:rPr>
        <w:t xml:space="preserve">Random 4 KiB reads issued via the mounted filesystem at uniformly random offsets show 95th-percentile latency below 100 milliseconds on CPU SIMD path, below 5 milliseconds on GPU path, and below 1 millisecond on NPU path, for a small distilled byte-level transformer predictor (10 to 50 million int8 parameters).</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if mounted-filesystem latency exceeds 5 times squashfs latency on any tested platform, the inference cost dominates and the deployment is not interactive. If compression ratio is not improved versus squashfs+zstd, RNR offers no deployment-time benefit over the existing alternative.</w:t>
      </w:r>
    </w:p>
    <w:p>
      <w:pPr>
        <w:pStyle w:val="Heading2"/>
        <w:spacing w:after="160" w:before="280"/>
      </w:pPr>
      <w:r>
        <w:rPr>
          <w:rFonts w:ascii="Times New Roman" w:cs="Times New Roman" w:eastAsia="Times New Roman" w:hAnsi="Times New Roman"/>
          <w:b/>
          <w:bCs/>
          <w:sz w:val="25"/>
          <w:szCs w:val="25"/>
        </w:rPr>
        <w:t xml:space="preserve">2.10 Hardware-target portability (Theorem 10.6)</w:t>
      </w:r>
    </w:p>
    <w:p>
      <w:pPr>
        <w:spacing w:after="120" w:before="0" w:line="276"/>
        <w:jc w:val="both"/>
      </w:pPr>
      <w:r>
        <w:rPr>
          <w:rFonts w:ascii="Times New Roman" w:cs="Times New Roman" w:eastAsia="Times New Roman" w:hAnsi="Times New Roman"/>
          <w:b/>
          <w:bCs/>
          <w:sz w:val="22"/>
          <w:szCs w:val="22"/>
        </w:rPr>
        <w:t xml:space="preserve">H14 [confirming]: </w:t>
      </w:r>
      <w:r>
        <w:rPr>
          <w:rFonts w:ascii="Times New Roman" w:cs="Times New Roman" w:eastAsia="Times New Roman" w:hAnsi="Times New Roman"/>
          <w:sz w:val="22"/>
          <w:szCs w:val="22"/>
        </w:rPr>
        <w:t xml:space="preserve">A reference RNR predictor implementation, ported to each of (a) x86-64 scalar CPU, (b) AVX-512 SIMD CPU, (c) NVIDIA GPU using int8 Tensor Cores, (d) AMD GPU using matrix accelerators, (e) Apple Neural Engine, (f) Google Edge TPU (if accessible), produces byte-identical predictor output on a fixed 1000-input test set. Cross-target byte-identity rate is 100 percent.</w:t>
      </w:r>
    </w:p>
    <w:p>
      <w:pPr>
        <w:spacing w:after="120" w:before="0" w:line="276"/>
        <w:jc w:val="both"/>
      </w:pPr>
      <w:r>
        <w:rPr>
          <w:rFonts w:ascii="Times New Roman" w:cs="Times New Roman" w:eastAsia="Times New Roman" w:hAnsi="Times New Roman"/>
          <w:i/>
          <w:iCs/>
          <w:sz w:val="22"/>
          <w:szCs w:val="22"/>
        </w:rPr>
        <w:t xml:space="preserve">Falsification: </w:t>
      </w:r>
      <w:r>
        <w:rPr>
          <w:rFonts w:ascii="Times New Roman" w:cs="Times New Roman" w:eastAsia="Times New Roman" w:hAnsi="Times New Roman"/>
          <w:sz w:val="22"/>
          <w:szCs w:val="22"/>
        </w:rPr>
        <w:t xml:space="preserve">any divergent output between two conforming targets falsifies the hardware-target portability claim and indicates that Theorem 10.6's conformance specification is incomplete for the diverging path. The fix is to identify the specific integer-arithmetic or lookup-table behavior that diverges and either (i) revise the conformance specification to require it explicitly, or (ii) exclude the diverging target from the conforming-target set.</w:t>
      </w:r>
    </w:p>
    <w:p>
      <w:r>
        <w:br w:type="page"/>
      </w:r>
    </w:p>
    <w:p>
      <w:pPr>
        <w:pStyle w:val="Heading1"/>
        <w:spacing w:after="200" w:before="360"/>
      </w:pPr>
      <w:r>
        <w:rPr>
          <w:rFonts w:ascii="Times New Roman" w:cs="Times New Roman" w:eastAsia="Times New Roman" w:hAnsi="Times New Roman"/>
          <w:b/>
          <w:bCs/>
          <w:sz w:val="28"/>
          <w:szCs w:val="28"/>
        </w:rPr>
        <w:t xml:space="preserve">3. Corpus selection</w:t>
      </w:r>
    </w:p>
    <w:p>
      <w:pPr>
        <w:spacing w:after="120" w:before="0" w:line="276"/>
        <w:jc w:val="both"/>
      </w:pPr>
      <w:r>
        <w:rPr>
          <w:rFonts w:ascii="Times New Roman" w:cs="Times New Roman" w:eastAsia="Times New Roman" w:hAnsi="Times New Roman"/>
          <w:sz w:val="22"/>
          <w:szCs w:val="22"/>
        </w:rPr>
        <w:t xml:space="preserve">The corpus is chosen to exercise each Type on its target regime, with explicit negative controls. All corpora are public or publicly reproducible to support independent verification.</w:t>
      </w:r>
    </w:p>
    <w:p>
      <w:pPr>
        <w:pStyle w:val="Heading2"/>
        <w:spacing w:after="160" w:before="280"/>
      </w:pPr>
      <w:r>
        <w:rPr>
          <w:rFonts w:ascii="Times New Roman" w:cs="Times New Roman" w:eastAsia="Times New Roman" w:hAnsi="Times New Roman"/>
          <w:b/>
          <w:bCs/>
          <w:sz w:val="25"/>
          <w:szCs w:val="25"/>
        </w:rPr>
        <w:t xml:space="preserve">3.1 Text and source code</w:t>
      </w:r>
    </w:p>
    <w:p>
      <w:pPr>
        <w:pStyle w:val="ListParagraph"/>
        <w:numPr>
          <w:ilvl w:val="0"/>
          <w:numId w:val="2"/>
        </w:numPr>
        <w:spacing w:after="80" w:line="276"/>
      </w:pPr>
      <w:r>
        <w:rPr>
          <w:rFonts w:ascii="Times New Roman" w:cs="Times New Roman" w:eastAsia="Times New Roman" w:hAnsi="Times New Roman"/>
          <w:sz w:val="22"/>
          <w:szCs w:val="22"/>
        </w:rPr>
        <w:t xml:space="preserve">enwik9 (first 10^9 bytes of English Wikipedia, standard Hutter Prize corpus). Tests Type-I and Type-III-B on ASCII text.</w:t>
      </w:r>
    </w:p>
    <w:p>
      <w:pPr>
        <w:pStyle w:val="ListParagraph"/>
        <w:numPr>
          <w:ilvl w:val="0"/>
          <w:numId w:val="2"/>
        </w:numPr>
        <w:spacing w:after="80" w:line="276"/>
      </w:pPr>
      <w:r>
        <w:rPr>
          <w:rFonts w:ascii="Times New Roman" w:cs="Times New Roman" w:eastAsia="Times New Roman" w:hAnsi="Times New Roman"/>
          <w:sz w:val="22"/>
          <w:szCs w:val="22"/>
        </w:rPr>
        <w:t xml:space="preserve">Linux kernel source tarball (latest LTS release, .tar without compression). Tests Type-I and Type-III-C on source code with structural repetition.</w:t>
      </w:r>
    </w:p>
    <w:p>
      <w:pPr>
        <w:pStyle w:val="ListParagraph"/>
        <w:numPr>
          <w:ilvl w:val="0"/>
          <w:numId w:val="2"/>
        </w:numPr>
        <w:spacing w:after="80" w:line="276"/>
      </w:pPr>
      <w:r>
        <w:rPr>
          <w:rFonts w:ascii="Times New Roman" w:cs="Times New Roman" w:eastAsia="Times New Roman" w:hAnsi="Times New Roman"/>
          <w:sz w:val="22"/>
          <w:szCs w:val="22"/>
        </w:rPr>
        <w:t xml:space="preserve">CommonCrawl HTML subset (10 GB, fixed snapshot hash). Tests Type-III-C with JSON/HTML token dictionaries.</w:t>
      </w:r>
    </w:p>
    <w:p>
      <w:pPr>
        <w:pStyle w:val="Heading2"/>
        <w:spacing w:after="160" w:before="280"/>
      </w:pPr>
      <w:r>
        <w:rPr>
          <w:rFonts w:ascii="Times New Roman" w:cs="Times New Roman" w:eastAsia="Times New Roman" w:hAnsi="Times New Roman"/>
          <w:b/>
          <w:bCs/>
          <w:sz w:val="25"/>
          <w:szCs w:val="25"/>
        </w:rPr>
        <w:t xml:space="preserve">3.2 Structured binary</w:t>
      </w:r>
    </w:p>
    <w:p>
      <w:pPr>
        <w:pStyle w:val="ListParagraph"/>
        <w:numPr>
          <w:ilvl w:val="0"/>
          <w:numId w:val="2"/>
        </w:numPr>
        <w:spacing w:after="80" w:line="276"/>
      </w:pPr>
      <w:r>
        <w:rPr>
          <w:rFonts w:ascii="Times New Roman" w:cs="Times New Roman" w:eastAsia="Times New Roman" w:hAnsi="Times New Roman"/>
          <w:sz w:val="22"/>
          <w:szCs w:val="22"/>
        </w:rPr>
        <w:t xml:space="preserve">PostgreSQL pg_dump output from a real schema (10 GB, anonymized or synthetic). Tests Type-II positional regularity.</w:t>
      </w:r>
    </w:p>
    <w:p>
      <w:pPr>
        <w:pStyle w:val="ListParagraph"/>
        <w:numPr>
          <w:ilvl w:val="0"/>
          <w:numId w:val="2"/>
        </w:numPr>
        <w:spacing w:after="80" w:line="276"/>
      </w:pPr>
      <w:r>
        <w:rPr>
          <w:rFonts w:ascii="Times New Roman" w:cs="Times New Roman" w:eastAsia="Times New Roman" w:hAnsi="Times New Roman"/>
          <w:sz w:val="22"/>
          <w:szCs w:val="22"/>
        </w:rPr>
        <w:t xml:space="preserve">Protocol Buffers serialized messages from a public schema (e.g., TensorFlow saved-model files). Tests Type-III-C structural-marker tokens.</w:t>
      </w:r>
    </w:p>
    <w:p>
      <w:pPr>
        <w:pStyle w:val="ListParagraph"/>
        <w:numPr>
          <w:ilvl w:val="0"/>
          <w:numId w:val="2"/>
        </w:numPr>
        <w:spacing w:after="80" w:line="276"/>
      </w:pPr>
      <w:r>
        <w:rPr>
          <w:rFonts w:ascii="Times New Roman" w:cs="Times New Roman" w:eastAsia="Times New Roman" w:hAnsi="Times New Roman"/>
          <w:sz w:val="22"/>
          <w:szCs w:val="22"/>
        </w:rPr>
        <w:t xml:space="preserve">Apache Parquet column files. Tests Type-II on columnar layouts.</w:t>
      </w:r>
    </w:p>
    <w:p>
      <w:pPr>
        <w:pStyle w:val="Heading2"/>
        <w:spacing w:after="160" w:before="280"/>
      </w:pPr>
      <w:r>
        <w:rPr>
          <w:rFonts w:ascii="Times New Roman" w:cs="Times New Roman" w:eastAsia="Times New Roman" w:hAnsi="Times New Roman"/>
          <w:b/>
          <w:bCs/>
          <w:sz w:val="25"/>
          <w:szCs w:val="25"/>
        </w:rPr>
        <w:t xml:space="preserve">3.3 Image and numeric data</w:t>
      </w:r>
    </w:p>
    <w:p>
      <w:pPr>
        <w:pStyle w:val="ListParagraph"/>
        <w:numPr>
          <w:ilvl w:val="0"/>
          <w:numId w:val="2"/>
        </w:numPr>
        <w:spacing w:after="80" w:line="276"/>
      </w:pPr>
      <w:r>
        <w:rPr>
          <w:rFonts w:ascii="Times New Roman" w:cs="Times New Roman" w:eastAsia="Times New Roman" w:hAnsi="Times New Roman"/>
          <w:sz w:val="22"/>
          <w:szCs w:val="22"/>
        </w:rPr>
        <w:t xml:space="preserve">CIFAR-10 raw uncompressed pixel data (50000 32x32 images, 150 MB). Tests Type-III-B and Type-III-C with bits-back on small images.</w:t>
      </w:r>
    </w:p>
    <w:p>
      <w:pPr>
        <w:pStyle w:val="ListParagraph"/>
        <w:numPr>
          <w:ilvl w:val="0"/>
          <w:numId w:val="2"/>
        </w:numPr>
        <w:spacing w:after="80" w:line="276"/>
      </w:pPr>
      <w:r>
        <w:rPr>
          <w:rFonts w:ascii="Times New Roman" w:cs="Times New Roman" w:eastAsia="Times New Roman" w:hAnsi="Times New Roman"/>
          <w:sz w:val="22"/>
          <w:szCs w:val="22"/>
        </w:rPr>
        <w:t xml:space="preserve">ImageNet validation set raw RGB (50000 images at original resolution). Tests Type-III-C with bits-back at scale.</w:t>
      </w:r>
    </w:p>
    <w:p>
      <w:pPr>
        <w:pStyle w:val="ListParagraph"/>
        <w:numPr>
          <w:ilvl w:val="0"/>
          <w:numId w:val="2"/>
        </w:numPr>
        <w:spacing w:after="80" w:line="276"/>
      </w:pPr>
      <w:r>
        <w:rPr>
          <w:rFonts w:ascii="Times New Roman" w:cs="Times New Roman" w:eastAsia="Times New Roman" w:hAnsi="Times New Roman"/>
          <w:sz w:val="22"/>
          <w:szCs w:val="22"/>
        </w:rPr>
        <w:t xml:space="preserve">Bayer-mosaic DSLR raw files (sample dataset of 1000 NEF or DNG files, public mirror). Tests Type-II on positional sensor structure.</w:t>
      </w:r>
    </w:p>
    <w:p>
      <w:pPr>
        <w:pStyle w:val="ListParagraph"/>
        <w:numPr>
          <w:ilvl w:val="0"/>
          <w:numId w:val="2"/>
        </w:numPr>
        <w:spacing w:after="80" w:line="276"/>
      </w:pPr>
      <w:r>
        <w:rPr>
          <w:rFonts w:ascii="Times New Roman" w:cs="Times New Roman" w:eastAsia="Times New Roman" w:hAnsi="Times New Roman"/>
          <w:sz w:val="22"/>
          <w:szCs w:val="22"/>
        </w:rPr>
        <w:t xml:space="preserve">HDF5 scientific arrays (sample subset of CERN or LSST public data). Tests Type-III-B on float32 numeric columns.</w:t>
      </w:r>
    </w:p>
    <w:p>
      <w:pPr>
        <w:pStyle w:val="Heading2"/>
        <w:spacing w:after="160" w:before="280"/>
      </w:pPr>
      <w:r>
        <w:rPr>
          <w:rFonts w:ascii="Times New Roman" w:cs="Times New Roman" w:eastAsia="Times New Roman" w:hAnsi="Times New Roman"/>
          <w:b/>
          <w:bCs/>
          <w:sz w:val="25"/>
          <w:szCs w:val="25"/>
        </w:rPr>
        <w:t xml:space="preserve">3.4 Heterogeneous and negative controls</w:t>
      </w:r>
    </w:p>
    <w:p>
      <w:pPr>
        <w:pStyle w:val="ListParagraph"/>
        <w:numPr>
          <w:ilvl w:val="0"/>
          <w:numId w:val="2"/>
        </w:numPr>
        <w:spacing w:after="80" w:line="276"/>
      </w:pPr>
      <w:r>
        <w:rPr>
          <w:rFonts w:ascii="Times New Roman" w:cs="Times New Roman" w:eastAsia="Times New Roman" w:hAnsi="Times New Roman"/>
          <w:sz w:val="22"/>
          <w:szCs w:val="22"/>
        </w:rPr>
        <w:t xml:space="preserve">Linux distribution ISO (one specific release, archived for reproducibility). Tests Type-III-A heterogeneous scheduling.</w:t>
      </w:r>
    </w:p>
    <w:p>
      <w:pPr>
        <w:pStyle w:val="ListParagraph"/>
        <w:numPr>
          <w:ilvl w:val="0"/>
          <w:numId w:val="2"/>
        </w:numPr>
        <w:spacing w:after="80" w:line="276"/>
      </w:pPr>
      <w:r>
        <w:rPr>
          <w:rFonts w:ascii="Times New Roman" w:cs="Times New Roman" w:eastAsia="Times New Roman" w:hAnsi="Times New Roman"/>
          <w:sz w:val="22"/>
          <w:szCs w:val="22"/>
        </w:rPr>
        <w:t xml:space="preserve">64 MB of /dev/urandom output (negative control: incompressible).</w:t>
      </w:r>
    </w:p>
    <w:p>
      <w:pPr>
        <w:pStyle w:val="ListParagraph"/>
        <w:numPr>
          <w:ilvl w:val="0"/>
          <w:numId w:val="2"/>
        </w:numPr>
        <w:spacing w:after="80" w:line="276"/>
      </w:pPr>
      <w:r>
        <w:rPr>
          <w:rFonts w:ascii="Times New Roman" w:cs="Times New Roman" w:eastAsia="Times New Roman" w:hAnsi="Times New Roman"/>
          <w:sz w:val="22"/>
          <w:szCs w:val="22"/>
        </w:rPr>
        <w:t xml:space="preserve">32 MB of AES-CTR encrypted text (negative control: appears random).</w:t>
      </w:r>
    </w:p>
    <w:p>
      <w:pPr>
        <w:pStyle w:val="ListParagraph"/>
        <w:numPr>
          <w:ilvl w:val="0"/>
          <w:numId w:val="2"/>
        </w:numPr>
        <w:spacing w:after="80" w:line="276"/>
      </w:pPr>
      <w:r>
        <w:rPr>
          <w:rFonts w:ascii="Times New Roman" w:cs="Times New Roman" w:eastAsia="Times New Roman" w:hAnsi="Times New Roman"/>
          <w:sz w:val="22"/>
          <w:szCs w:val="22"/>
        </w:rPr>
        <w:t xml:space="preserve">128 MB of zstd-precompressed text (negative control: high-entropy residual).</w:t>
      </w:r>
    </w:p>
    <w:p>
      <w:pPr>
        <w:spacing w:after="120" w:before="0" w:line="276"/>
        <w:jc w:val="both"/>
      </w:pPr>
      <w:r>
        <w:rPr>
          <w:rFonts w:ascii="Times New Roman" w:cs="Times New Roman" w:eastAsia="Times New Roman" w:hAnsi="Times New Roman"/>
          <w:sz w:val="22"/>
          <w:szCs w:val="22"/>
        </w:rPr>
        <w:t xml:space="preserve">All corpora are versioned by SHA-256 hash; experimental scripts reference corpora by hash, not filename, to ensure long-term reproducibility.</w:t>
      </w:r>
    </w:p>
    <w:p>
      <w:r>
        <w:br w:type="page"/>
      </w:r>
    </w:p>
    <w:p>
      <w:pPr>
        <w:pStyle w:val="Heading1"/>
        <w:spacing w:after="200" w:before="360"/>
      </w:pPr>
      <w:r>
        <w:rPr>
          <w:rFonts w:ascii="Times New Roman" w:cs="Times New Roman" w:eastAsia="Times New Roman" w:hAnsi="Times New Roman"/>
          <w:b/>
          <w:bCs/>
          <w:sz w:val="28"/>
          <w:szCs w:val="28"/>
        </w:rPr>
        <w:t xml:space="preserve">4. Baseline implementations</w:t>
      </w:r>
    </w:p>
    <w:p>
      <w:pPr>
        <w:spacing w:after="120" w:before="0" w:line="276"/>
        <w:jc w:val="both"/>
      </w:pPr>
      <w:r>
        <w:rPr>
          <w:rFonts w:ascii="Times New Roman" w:cs="Times New Roman" w:eastAsia="Times New Roman" w:hAnsi="Times New Roman"/>
          <w:sz w:val="22"/>
          <w:szCs w:val="22"/>
        </w:rPr>
        <w:t xml:space="preserve">Every measurement compares the RNR variant against multiple baselines drawn from classical, dictionary-based, and neural lossless compressors. Baselines are pinned to specific releases.</w:t>
      </w:r>
    </w:p>
    <w:p>
      <w:pPr>
        <w:pStyle w:val="Heading2"/>
        <w:spacing w:after="160" w:before="280"/>
      </w:pPr>
      <w:r>
        <w:rPr>
          <w:rFonts w:ascii="Times New Roman" w:cs="Times New Roman" w:eastAsia="Times New Roman" w:hAnsi="Times New Roman"/>
          <w:b/>
          <w:bCs/>
          <w:sz w:val="25"/>
          <w:szCs w:val="25"/>
        </w:rPr>
        <w:t xml:space="preserve">4.1 Classical and dictionary-based</w:t>
      </w:r>
    </w:p>
    <w:p>
      <w:pPr>
        <w:pStyle w:val="ListParagraph"/>
        <w:numPr>
          <w:ilvl w:val="0"/>
          <w:numId w:val="2"/>
        </w:numPr>
        <w:spacing w:after="80" w:line="276"/>
      </w:pPr>
      <w:r>
        <w:rPr>
          <w:rFonts w:ascii="Times New Roman" w:cs="Times New Roman" w:eastAsia="Times New Roman" w:hAnsi="Times New Roman"/>
          <w:sz w:val="22"/>
          <w:szCs w:val="22"/>
        </w:rPr>
        <w:t xml:space="preserve">gzip 1.10+ at level 9 (low baseline).</w:t>
      </w:r>
    </w:p>
    <w:p>
      <w:pPr>
        <w:pStyle w:val="ListParagraph"/>
        <w:numPr>
          <w:ilvl w:val="0"/>
          <w:numId w:val="2"/>
        </w:numPr>
        <w:spacing w:after="80" w:line="276"/>
      </w:pPr>
      <w:r>
        <w:rPr>
          <w:rFonts w:ascii="Times New Roman" w:cs="Times New Roman" w:eastAsia="Times New Roman" w:hAnsi="Times New Roman"/>
          <w:sz w:val="22"/>
          <w:szCs w:val="22"/>
        </w:rPr>
        <w:t xml:space="preserve">bzip2 1.0.8 at default settings (block-sorting baseline).</w:t>
      </w:r>
    </w:p>
    <w:p>
      <w:pPr>
        <w:pStyle w:val="ListParagraph"/>
        <w:numPr>
          <w:ilvl w:val="0"/>
          <w:numId w:val="2"/>
        </w:numPr>
        <w:spacing w:after="80" w:line="276"/>
      </w:pPr>
      <w:r>
        <w:rPr>
          <w:rFonts w:ascii="Times New Roman" w:cs="Times New Roman" w:eastAsia="Times New Roman" w:hAnsi="Times New Roman"/>
          <w:sz w:val="22"/>
          <w:szCs w:val="22"/>
        </w:rPr>
        <w:t xml:space="preserve">xz/LZMA 5.4+ at preset -9e (extreme preset, current ceiling for general-purpose dictionary compression).</w:t>
      </w:r>
    </w:p>
    <w:p>
      <w:pPr>
        <w:pStyle w:val="ListParagraph"/>
        <w:numPr>
          <w:ilvl w:val="0"/>
          <w:numId w:val="2"/>
        </w:numPr>
        <w:spacing w:after="80" w:line="276"/>
      </w:pPr>
      <w:r>
        <w:rPr>
          <w:rFonts w:ascii="Times New Roman" w:cs="Times New Roman" w:eastAsia="Times New Roman" w:hAnsi="Times New Roman"/>
          <w:sz w:val="22"/>
          <w:szCs w:val="22"/>
        </w:rPr>
        <w:t xml:space="preserve">zstd 1.5+ at level 22 (high-throughput modern baseline).</w:t>
      </w:r>
    </w:p>
    <w:p>
      <w:pPr>
        <w:pStyle w:val="ListParagraph"/>
        <w:numPr>
          <w:ilvl w:val="0"/>
          <w:numId w:val="2"/>
        </w:numPr>
        <w:spacing w:after="80" w:line="276"/>
      </w:pPr>
      <w:r>
        <w:rPr>
          <w:rFonts w:ascii="Times New Roman" w:cs="Times New Roman" w:eastAsia="Times New Roman" w:hAnsi="Times New Roman"/>
          <w:sz w:val="22"/>
          <w:szCs w:val="22"/>
        </w:rPr>
        <w:t xml:space="preserve">zpaq 7.15 at -m5 (long-range context mixing baseline).</w:t>
      </w:r>
    </w:p>
    <w:p>
      <w:pPr>
        <w:pStyle w:val="Heading2"/>
        <w:spacing w:after="160" w:before="280"/>
      </w:pPr>
      <w:r>
        <w:rPr>
          <w:rFonts w:ascii="Times New Roman" w:cs="Times New Roman" w:eastAsia="Times New Roman" w:hAnsi="Times New Roman"/>
          <w:b/>
          <w:bCs/>
          <w:sz w:val="25"/>
          <w:szCs w:val="25"/>
        </w:rPr>
        <w:t xml:space="preserve">4.2 Context-mixing and neural</w:t>
      </w:r>
    </w:p>
    <w:p>
      <w:pPr>
        <w:pStyle w:val="ListParagraph"/>
        <w:numPr>
          <w:ilvl w:val="0"/>
          <w:numId w:val="2"/>
        </w:numPr>
        <w:spacing w:after="80" w:line="276"/>
      </w:pPr>
      <w:r>
        <w:rPr>
          <w:rFonts w:ascii="Times New Roman" w:cs="Times New Roman" w:eastAsia="Times New Roman" w:hAnsi="Times New Roman"/>
          <w:sz w:val="22"/>
          <w:szCs w:val="22"/>
        </w:rPr>
        <w:t xml:space="preserve">Cmix v19+ (current state-of-the-art among non-neural context-mixing coders).</w:t>
      </w:r>
    </w:p>
    <w:p>
      <w:pPr>
        <w:pStyle w:val="ListParagraph"/>
        <w:numPr>
          <w:ilvl w:val="0"/>
          <w:numId w:val="2"/>
        </w:numPr>
        <w:spacing w:after="80" w:line="276"/>
      </w:pPr>
      <w:r>
        <w:rPr>
          <w:rFonts w:ascii="Times New Roman" w:cs="Times New Roman" w:eastAsia="Times New Roman" w:hAnsi="Times New Roman"/>
          <w:sz w:val="22"/>
          <w:szCs w:val="22"/>
        </w:rPr>
        <w:t xml:space="preserve">NNCP latest release (Bellard, current state-of-the-art neural byte-level coder).</w:t>
      </w:r>
    </w:p>
    <w:p>
      <w:pPr>
        <w:pStyle w:val="ListParagraph"/>
        <w:numPr>
          <w:ilvl w:val="0"/>
          <w:numId w:val="2"/>
        </w:numPr>
        <w:spacing w:after="80" w:line="276"/>
      </w:pPr>
      <w:r>
        <w:rPr>
          <w:rFonts w:ascii="Times New Roman" w:cs="Times New Roman" w:eastAsia="Times New Roman" w:hAnsi="Times New Roman"/>
          <w:sz w:val="22"/>
          <w:szCs w:val="22"/>
        </w:rPr>
        <w:t xml:space="preserve">PixelCNN++ reference implementation (Salimans et al. 2017 release) on image corpora only.</w:t>
      </w:r>
    </w:p>
    <w:p>
      <w:pPr>
        <w:pStyle w:val="ListParagraph"/>
        <w:numPr>
          <w:ilvl w:val="0"/>
          <w:numId w:val="2"/>
        </w:numPr>
        <w:spacing w:after="80" w:line="276"/>
      </w:pPr>
      <w:r>
        <w:rPr>
          <w:rFonts w:ascii="Times New Roman" w:cs="Times New Roman" w:eastAsia="Times New Roman" w:hAnsi="Times New Roman"/>
          <w:sz w:val="22"/>
          <w:szCs w:val="22"/>
        </w:rPr>
        <w:t xml:space="preserve">Bit-Swap reference implementation (Kingma et al. 2019) on image corpora only.</w:t>
      </w:r>
    </w:p>
    <w:p>
      <w:pPr>
        <w:pStyle w:val="ListParagraph"/>
        <w:numPr>
          <w:ilvl w:val="0"/>
          <w:numId w:val="2"/>
        </w:numPr>
        <w:spacing w:after="80" w:line="276"/>
      </w:pPr>
      <w:r>
        <w:rPr>
          <w:rFonts w:ascii="Times New Roman" w:cs="Times New Roman" w:eastAsia="Times New Roman" w:hAnsi="Times New Roman"/>
          <w:sz w:val="22"/>
          <w:szCs w:val="22"/>
        </w:rPr>
        <w:t xml:space="preserve">IDF++ reference implementation (van den Berg et al. 2021) on image and numeric corpora.</w:t>
      </w:r>
    </w:p>
    <w:p>
      <w:pPr>
        <w:pStyle w:val="Heading2"/>
        <w:spacing w:after="160" w:before="280"/>
      </w:pPr>
      <w:r>
        <w:rPr>
          <w:rFonts w:ascii="Times New Roman" w:cs="Times New Roman" w:eastAsia="Times New Roman" w:hAnsi="Times New Roman"/>
          <w:b/>
          <w:bCs/>
          <w:sz w:val="25"/>
          <w:szCs w:val="25"/>
        </w:rPr>
        <w:t xml:space="preserve">4.3 RNR implementations under test</w:t>
      </w:r>
    </w:p>
    <w:p>
      <w:pPr>
        <w:spacing w:after="120" w:before="0" w:line="276"/>
        <w:jc w:val="both"/>
      </w:pPr>
      <w:r>
        <w:rPr>
          <w:rFonts w:ascii="Times New Roman" w:cs="Times New Roman" w:eastAsia="Times New Roman" w:hAnsi="Times New Roman"/>
          <w:sz w:val="22"/>
          <w:szCs w:val="22"/>
        </w:rPr>
        <w:t xml:space="preserve">Six RNR variants are evaluated, plus their Type-III-A composition:</w:t>
      </w:r>
    </w:p>
    <w:p>
      <w:pPr>
        <w:pStyle w:val="ListParagraph"/>
        <w:numPr>
          <w:ilvl w:val="0"/>
          <w:numId w:val="2"/>
        </w:numPr>
        <w:spacing w:after="80" w:line="276"/>
      </w:pPr>
      <w:r>
        <w:rPr>
          <w:rFonts w:ascii="Times New Roman" w:cs="Times New Roman" w:eastAsia="Times New Roman" w:hAnsi="Times New Roman"/>
          <w:sz w:val="22"/>
          <w:szCs w:val="22"/>
        </w:rPr>
        <w:t xml:space="preserve">RNR-I-A: Type-I with Code12 E12-A (shortened Hamming) mapping.</w:t>
      </w:r>
    </w:p>
    <w:p>
      <w:pPr>
        <w:pStyle w:val="ListParagraph"/>
        <w:numPr>
          <w:ilvl w:val="0"/>
          <w:numId w:val="2"/>
        </w:numPr>
        <w:spacing w:after="80" w:line="276"/>
      </w:pPr>
      <w:r>
        <w:rPr>
          <w:rFonts w:ascii="Times New Roman" w:cs="Times New Roman" w:eastAsia="Times New Roman" w:hAnsi="Times New Roman"/>
          <w:sz w:val="22"/>
          <w:szCs w:val="22"/>
        </w:rPr>
        <w:t xml:space="preserve">RNR-I-C: Type-I with E12-C (learned mapping, trained per corpus).</w:t>
      </w:r>
    </w:p>
    <w:p>
      <w:pPr>
        <w:pStyle w:val="ListParagraph"/>
        <w:numPr>
          <w:ilvl w:val="0"/>
          <w:numId w:val="2"/>
        </w:numPr>
        <w:spacing w:after="80" w:line="276"/>
      </w:pPr>
      <w:r>
        <w:rPr>
          <w:rFonts w:ascii="Times New Roman" w:cs="Times New Roman" w:eastAsia="Times New Roman" w:hAnsi="Times New Roman"/>
          <w:sz w:val="22"/>
          <w:szCs w:val="22"/>
        </w:rPr>
        <w:t xml:space="preserve">RNR-II: Type-II semi-non-factorized positional coder.</w:t>
      </w:r>
    </w:p>
    <w:p>
      <w:pPr>
        <w:pStyle w:val="ListParagraph"/>
        <w:numPr>
          <w:ilvl w:val="0"/>
          <w:numId w:val="2"/>
        </w:numPr>
        <w:spacing w:after="80" w:line="276"/>
      </w:pPr>
      <w:r>
        <w:rPr>
          <w:rFonts w:ascii="Times New Roman" w:cs="Times New Roman" w:eastAsia="Times New Roman" w:hAnsi="Times New Roman"/>
          <w:sz w:val="22"/>
          <w:szCs w:val="22"/>
        </w:rPr>
        <w:t xml:space="preserve">RNR-III-B: Type-III-B byte tensor coder.</w:t>
      </w:r>
    </w:p>
    <w:p>
      <w:pPr>
        <w:pStyle w:val="ListParagraph"/>
        <w:numPr>
          <w:ilvl w:val="0"/>
          <w:numId w:val="2"/>
        </w:numPr>
        <w:spacing w:after="80" w:line="276"/>
      </w:pPr>
      <w:r>
        <w:rPr>
          <w:rFonts w:ascii="Times New Roman" w:cs="Times New Roman" w:eastAsia="Times New Roman" w:hAnsi="Times New Roman"/>
          <w:sz w:val="22"/>
          <w:szCs w:val="22"/>
        </w:rPr>
        <w:t xml:space="preserve">RNR-III-C-D: Type-III-C with discrete BPE-style dictionary (1024 tokens, 32x32 grid).</w:t>
      </w:r>
    </w:p>
    <w:p>
      <w:pPr>
        <w:pStyle w:val="ListParagraph"/>
        <w:numPr>
          <w:ilvl w:val="0"/>
          <w:numId w:val="2"/>
        </w:numPr>
        <w:spacing w:after="80" w:line="276"/>
      </w:pPr>
      <w:r>
        <w:rPr>
          <w:rFonts w:ascii="Times New Roman" w:cs="Times New Roman" w:eastAsia="Times New Roman" w:hAnsi="Times New Roman"/>
          <w:sz w:val="22"/>
          <w:szCs w:val="22"/>
        </w:rPr>
        <w:t xml:space="preserve">RNR-III-C-V: Type-III-C with continuous latents via bits-back ANS over a VAE-style model.</w:t>
      </w:r>
    </w:p>
    <w:p>
      <w:pPr>
        <w:pStyle w:val="ListParagraph"/>
        <w:numPr>
          <w:ilvl w:val="0"/>
          <w:numId w:val="2"/>
        </w:numPr>
        <w:spacing w:after="80" w:line="276"/>
      </w:pPr>
      <w:r>
        <w:rPr>
          <w:rFonts w:ascii="Times New Roman" w:cs="Times New Roman" w:eastAsia="Times New Roman" w:hAnsi="Times New Roman"/>
          <w:sz w:val="22"/>
          <w:szCs w:val="22"/>
        </w:rPr>
        <w:t xml:space="preserve">RNR-Composed: Type-III-A scheduler over the above six.</w:t>
      </w:r>
    </w:p>
    <w:p>
      <w:pPr>
        <w:spacing w:after="120" w:before="0" w:line="276"/>
        <w:jc w:val="both"/>
      </w:pPr>
      <w:r>
        <w:rPr>
          <w:rFonts w:ascii="Times New Roman" w:cs="Times New Roman" w:eastAsia="Times New Roman" w:hAnsi="Times New Roman"/>
          <w:sz w:val="22"/>
          <w:szCs w:val="22"/>
        </w:rPr>
        <w:t xml:space="preserve">All RNR variants share the same underlying byte-level transformer predictor (8–16 MB amortized), with type-specific output heads. This isolates the effect of the representation choice from the effect of predictor capacity.</w:t>
      </w:r>
    </w:p>
    <w:p>
      <w:r>
        <w:br w:type="page"/>
      </w:r>
    </w:p>
    <w:p>
      <w:pPr>
        <w:pStyle w:val="Heading1"/>
        <w:spacing w:after="200" w:before="360"/>
      </w:pPr>
      <w:r>
        <w:rPr>
          <w:rFonts w:ascii="Times New Roman" w:cs="Times New Roman" w:eastAsia="Times New Roman" w:hAnsi="Times New Roman"/>
          <w:b/>
          <w:bCs/>
          <w:sz w:val="28"/>
          <w:szCs w:val="28"/>
        </w:rPr>
        <w:t xml:space="preserve">5. Metrics</w:t>
      </w:r>
    </w:p>
    <w:p>
      <w:pPr>
        <w:pStyle w:val="Heading2"/>
        <w:spacing w:after="160" w:before="280"/>
      </w:pPr>
      <w:r>
        <w:rPr>
          <w:rFonts w:ascii="Times New Roman" w:cs="Times New Roman" w:eastAsia="Times New Roman" w:hAnsi="Times New Roman"/>
          <w:b/>
          <w:bCs/>
          <w:sz w:val="25"/>
          <w:szCs w:val="25"/>
        </w:rPr>
        <w:t xml:space="preserve">5.1 Primary: coding rate</w:t>
      </w:r>
    </w:p>
    <w:p>
      <w:pPr>
        <w:spacing w:after="120" w:before="0" w:line="276"/>
        <w:jc w:val="both"/>
      </w:pPr>
      <w:r>
        <w:rPr>
          <w:rFonts w:ascii="Times New Roman" w:cs="Times New Roman" w:eastAsia="Times New Roman" w:hAnsi="Times New Roman"/>
          <w:sz w:val="22"/>
          <w:szCs w:val="22"/>
        </w:rPr>
        <w:t xml:space="preserve">Bits per byte, measured as (codeword size in bits) / (uncompressed size in bytes), reported separately for each (coder, corpus) pair. Report includes:</w:t>
      </w:r>
    </w:p>
    <w:p>
      <w:pPr>
        <w:pStyle w:val="ListParagraph"/>
        <w:numPr>
          <w:ilvl w:val="0"/>
          <w:numId w:val="2"/>
        </w:numPr>
        <w:spacing w:after="80" w:line="276"/>
      </w:pPr>
      <w:r>
        <w:rPr>
          <w:rFonts w:ascii="Times New Roman" w:cs="Times New Roman" w:eastAsia="Times New Roman" w:hAnsi="Times New Roman"/>
          <w:sz w:val="22"/>
          <w:szCs w:val="22"/>
        </w:rPr>
        <w:t xml:space="preserve">Total bits per byte (full archive).</w:t>
      </w:r>
    </w:p>
    <w:p>
      <w:pPr>
        <w:pStyle w:val="ListParagraph"/>
        <w:numPr>
          <w:ilvl w:val="0"/>
          <w:numId w:val="2"/>
        </w:numPr>
        <w:spacing w:after="80" w:line="276"/>
      </w:pPr>
      <w:r>
        <w:rPr>
          <w:rFonts w:ascii="Times New Roman" w:cs="Times New Roman" w:eastAsia="Times New Roman" w:hAnsi="Times New Roman"/>
          <w:sz w:val="22"/>
          <w:szCs w:val="22"/>
        </w:rPr>
        <w:t xml:space="preserve">Amortized rate excluding L(M) (relevant for large archives where model cost vanishes).</w:t>
      </w:r>
    </w:p>
    <w:p>
      <w:pPr>
        <w:pStyle w:val="ListParagraph"/>
        <w:numPr>
          <w:ilvl w:val="0"/>
          <w:numId w:val="2"/>
        </w:numPr>
        <w:spacing w:after="80" w:line="276"/>
      </w:pPr>
      <w:r>
        <w:rPr>
          <w:rFonts w:ascii="Times New Roman" w:cs="Times New Roman" w:eastAsia="Times New Roman" w:hAnsi="Times New Roman"/>
          <w:sz w:val="22"/>
          <w:szCs w:val="22"/>
        </w:rPr>
        <w:t xml:space="preserve">Per-block rate distribution: minimum, 25th percentile, median, 75th percentile, maximum.</w:t>
      </w:r>
    </w:p>
    <w:p>
      <w:pPr>
        <w:pStyle w:val="Heading2"/>
        <w:spacing w:after="160" w:before="280"/>
      </w:pPr>
      <w:r>
        <w:rPr>
          <w:rFonts w:ascii="Times New Roman" w:cs="Times New Roman" w:eastAsia="Times New Roman" w:hAnsi="Times New Roman"/>
          <w:b/>
          <w:bCs/>
          <w:sz w:val="25"/>
          <w:szCs w:val="25"/>
        </w:rPr>
        <w:t xml:space="preserve">5.2 Secondary: computational cost</w:t>
      </w:r>
    </w:p>
    <w:p>
      <w:pPr>
        <w:pStyle w:val="ListParagraph"/>
        <w:numPr>
          <w:ilvl w:val="0"/>
          <w:numId w:val="2"/>
        </w:numPr>
        <w:spacing w:after="80" w:line="276"/>
      </w:pPr>
      <w:r>
        <w:rPr>
          <w:rFonts w:ascii="Times New Roman" w:cs="Times New Roman" w:eastAsia="Times New Roman" w:hAnsi="Times New Roman"/>
          <w:sz w:val="22"/>
          <w:szCs w:val="22"/>
        </w:rPr>
        <w:t xml:space="preserve">Compression wall-clock time per MiB of input.</w:t>
      </w:r>
    </w:p>
    <w:p>
      <w:pPr>
        <w:pStyle w:val="ListParagraph"/>
        <w:numPr>
          <w:ilvl w:val="0"/>
          <w:numId w:val="2"/>
        </w:numPr>
        <w:spacing w:after="80" w:line="276"/>
      </w:pPr>
      <w:r>
        <w:rPr>
          <w:rFonts w:ascii="Times New Roman" w:cs="Times New Roman" w:eastAsia="Times New Roman" w:hAnsi="Times New Roman"/>
          <w:sz w:val="22"/>
          <w:szCs w:val="22"/>
        </w:rPr>
        <w:t xml:space="preserve">Compression peak resident memory (RSS).</w:t>
      </w:r>
    </w:p>
    <w:p>
      <w:pPr>
        <w:pStyle w:val="ListParagraph"/>
        <w:numPr>
          <w:ilvl w:val="0"/>
          <w:numId w:val="2"/>
        </w:numPr>
        <w:spacing w:after="80" w:line="276"/>
      </w:pPr>
      <w:r>
        <w:rPr>
          <w:rFonts w:ascii="Times New Roman" w:cs="Times New Roman" w:eastAsia="Times New Roman" w:hAnsi="Times New Roman"/>
          <w:sz w:val="22"/>
          <w:szCs w:val="22"/>
        </w:rPr>
        <w:t xml:space="preserve">Decompression wall-clock time per MiB of output.</w:t>
      </w:r>
    </w:p>
    <w:p>
      <w:pPr>
        <w:pStyle w:val="ListParagraph"/>
        <w:numPr>
          <w:ilvl w:val="0"/>
          <w:numId w:val="2"/>
        </w:numPr>
        <w:spacing w:after="80" w:line="276"/>
      </w:pPr>
      <w:r>
        <w:rPr>
          <w:rFonts w:ascii="Times New Roman" w:cs="Times New Roman" w:eastAsia="Times New Roman" w:hAnsi="Times New Roman"/>
          <w:sz w:val="22"/>
          <w:szCs w:val="22"/>
        </w:rPr>
        <w:t xml:space="preserve">Decompression peak resident memory (RSS).</w:t>
      </w:r>
    </w:p>
    <w:p>
      <w:pPr>
        <w:pStyle w:val="ListParagraph"/>
        <w:numPr>
          <w:ilvl w:val="0"/>
          <w:numId w:val="2"/>
        </w:numPr>
        <w:spacing w:after="80" w:line="276"/>
      </w:pPr>
      <w:r>
        <w:rPr>
          <w:rFonts w:ascii="Times New Roman" w:cs="Times New Roman" w:eastAsia="Times New Roman" w:hAnsi="Times New Roman"/>
          <w:sz w:val="22"/>
          <w:szCs w:val="22"/>
        </w:rPr>
        <w:t xml:space="preserve">CPU utilization (single-core; parallel speedup reported separately if multi-threaded).</w:t>
      </w:r>
    </w:p>
    <w:p>
      <w:pPr>
        <w:pStyle w:val="Heading2"/>
        <w:spacing w:after="160" w:before="280"/>
      </w:pPr>
      <w:r>
        <w:rPr>
          <w:rFonts w:ascii="Times New Roman" w:cs="Times New Roman" w:eastAsia="Times New Roman" w:hAnsi="Times New Roman"/>
          <w:b/>
          <w:bCs/>
          <w:sz w:val="25"/>
          <w:szCs w:val="25"/>
        </w:rPr>
        <w:t xml:space="preserve">5.3 Information-theoretic measurements</w:t>
      </w:r>
    </w:p>
    <w:p>
      <w:pPr>
        <w:spacing w:after="120" w:before="0" w:line="276"/>
        <w:jc w:val="both"/>
      </w:pPr>
      <w:r>
        <w:rPr>
          <w:rFonts w:ascii="Times New Roman" w:cs="Times New Roman" w:eastAsia="Times New Roman" w:hAnsi="Times New Roman"/>
          <w:sz w:val="22"/>
          <w:szCs w:val="22"/>
        </w:rPr>
        <w:t xml:space="preserve">Independent of compression rate, several information-theoretic quantities are estimated to test the conditions of Theorem 5.6 and Remark 5.7:</w:t>
      </w:r>
    </w:p>
    <w:p>
      <w:pPr>
        <w:pStyle w:val="ListParagraph"/>
        <w:numPr>
          <w:ilvl w:val="0"/>
          <w:numId w:val="2"/>
        </w:numPr>
        <w:spacing w:after="80" w:line="276"/>
      </w:pPr>
      <w:r>
        <w:rPr>
          <w:rFonts w:ascii="Times New Roman" w:cs="Times New Roman" w:eastAsia="Times New Roman" w:hAnsi="Times New Roman"/>
          <w:sz w:val="22"/>
          <w:szCs w:val="22"/>
        </w:rPr>
        <w:t xml:space="preserve">Total correlation TC(D_N) via the Cmix entropy estimator at multiple block lengths N in {256, 512, 1024, 2048, 4096, 8192, 16384}. Estimated as (sum of marginal entropies measured from histograms) minus (Cmix-estimated joint entropy).</w:t>
      </w:r>
    </w:p>
    <w:p>
      <w:pPr>
        <w:pStyle w:val="ListParagraph"/>
        <w:numPr>
          <w:ilvl w:val="0"/>
          <w:numId w:val="2"/>
        </w:numPr>
        <w:spacing w:after="80" w:line="276"/>
      </w:pPr>
      <w:r>
        <w:rPr>
          <w:rFonts w:ascii="Times New Roman" w:cs="Times New Roman" w:eastAsia="Times New Roman" w:hAnsi="Times New Roman"/>
          <w:sz w:val="22"/>
          <w:szCs w:val="22"/>
        </w:rPr>
        <w:t xml:space="preserve">Intrinsic dimension d via the Levina-Bickel maximum-likelihood estimator with k in {5, 10, 20, 50} nearest neighbors, computed on byte n-gram embedding spaces (n in {2, 4, 8, 16}). Report d as a function of (k, n).</w:t>
      </w:r>
    </w:p>
    <w:p>
      <w:pPr>
        <w:pStyle w:val="ListParagraph"/>
        <w:numPr>
          <w:ilvl w:val="0"/>
          <w:numId w:val="2"/>
        </w:numPr>
        <w:spacing w:after="80" w:line="276"/>
      </w:pPr>
      <w:r>
        <w:rPr>
          <w:rFonts w:ascii="Times New Roman" w:cs="Times New Roman" w:eastAsia="Times New Roman" w:hAnsi="Times New Roman"/>
          <w:sz w:val="22"/>
          <w:szCs w:val="22"/>
        </w:rPr>
        <w:t xml:space="preserve">Conditional mutual information I(H ; L | C) for Type-III-B, estimated via the empirical joint and marginal distributions of (high nibble, low nibble) conditioned on a sliding-window context.</w:t>
      </w:r>
    </w:p>
    <w:p>
      <w:pPr>
        <w:pStyle w:val="ListParagraph"/>
        <w:numPr>
          <w:ilvl w:val="0"/>
          <w:numId w:val="2"/>
        </w:numPr>
        <w:spacing w:after="80" w:line="276"/>
      </w:pPr>
      <w:r>
        <w:rPr>
          <w:rFonts w:ascii="Times New Roman" w:cs="Times New Roman" w:eastAsia="Times New Roman" w:hAnsi="Times New Roman"/>
          <w:sz w:val="22"/>
          <w:szCs w:val="22"/>
        </w:rPr>
        <w:t xml:space="preserve">Per-mode prediction error eps_t for Type-III-A, computed as the empirical maximum over modes of |U_m(t) - L_m(t)| over a sample of tiles.</w:t>
      </w:r>
    </w:p>
    <w:p>
      <w:pPr>
        <w:pStyle w:val="Heading2"/>
        <w:spacing w:after="160" w:before="280"/>
      </w:pPr>
      <w:r>
        <w:rPr>
          <w:rFonts w:ascii="Times New Roman" w:cs="Times New Roman" w:eastAsia="Times New Roman" w:hAnsi="Times New Roman"/>
          <w:b/>
          <w:bCs/>
          <w:sz w:val="25"/>
          <w:szCs w:val="25"/>
        </w:rPr>
        <w:t xml:space="preserve">5.4 Reproducibility metrics</w:t>
      </w:r>
    </w:p>
    <w:p>
      <w:pPr>
        <w:pStyle w:val="ListParagraph"/>
        <w:numPr>
          <w:ilvl w:val="0"/>
          <w:numId w:val="2"/>
        </w:numPr>
        <w:spacing w:after="80" w:line="276"/>
      </w:pPr>
      <w:r>
        <w:rPr>
          <w:rFonts w:ascii="Times New Roman" w:cs="Times New Roman" w:eastAsia="Times New Roman" w:hAnsi="Times New Roman"/>
          <w:sz w:val="22"/>
          <w:szCs w:val="22"/>
        </w:rPr>
        <w:t xml:space="preserve">Byte-identity rate across (platform_i, platform_j) pairs for each test block, reported as (number of byte-identical archives) / (total archives).</w:t>
      </w:r>
    </w:p>
    <w:p>
      <w:pPr>
        <w:pStyle w:val="ListParagraph"/>
        <w:numPr>
          <w:ilvl w:val="0"/>
          <w:numId w:val="2"/>
        </w:numPr>
        <w:spacing w:after="80" w:line="276"/>
      </w:pPr>
      <w:r>
        <w:rPr>
          <w:rFonts w:ascii="Times New Roman" w:cs="Times New Roman" w:eastAsia="Times New Roman" w:hAnsi="Times New Roman"/>
          <w:sz w:val="22"/>
          <w:szCs w:val="22"/>
        </w:rPr>
        <w:t xml:space="preserve">Earliest divergent byte offset on first divergence, if any, for diagnostic purposes.</w:t>
      </w:r>
    </w:p>
    <w:p>
      <w:pPr>
        <w:pStyle w:val="ListParagraph"/>
        <w:numPr>
          <w:ilvl w:val="0"/>
          <w:numId w:val="2"/>
        </w:numPr>
        <w:spacing w:after="80" w:line="276"/>
      </w:pPr>
      <w:r>
        <w:rPr>
          <w:rFonts w:ascii="Times New Roman" w:cs="Times New Roman" w:eastAsia="Times New Roman" w:hAnsi="Times New Roman"/>
          <w:sz w:val="22"/>
          <w:szCs w:val="22"/>
        </w:rPr>
        <w:t xml:space="preserve">Floating-point fallback count: any tile that, under the Theorem 10.1 specification, would have required floating-point arithmetic, is logged separately.</w:t>
      </w:r>
    </w:p>
    <w:p>
      <w:pPr>
        <w:pStyle w:val="Heading2"/>
        <w:spacing w:after="160" w:before="280"/>
      </w:pPr>
      <w:r>
        <w:rPr>
          <w:rFonts w:ascii="Times New Roman" w:cs="Times New Roman" w:eastAsia="Times New Roman" w:hAnsi="Times New Roman"/>
          <w:b/>
          <w:bCs/>
          <w:sz w:val="25"/>
          <w:szCs w:val="25"/>
        </w:rPr>
        <w:t xml:space="preserve">5.5 Random-access metrics</w:t>
      </w:r>
    </w:p>
    <w:p>
      <w:pPr>
        <w:pStyle w:val="ListParagraph"/>
        <w:numPr>
          <w:ilvl w:val="0"/>
          <w:numId w:val="2"/>
        </w:numPr>
        <w:spacing w:after="80" w:line="276"/>
      </w:pPr>
      <w:r>
        <w:rPr>
          <w:rFonts w:ascii="Times New Roman" w:cs="Times New Roman" w:eastAsia="Times New Roman" w:hAnsi="Times New Roman"/>
          <w:sz w:val="22"/>
          <w:szCs w:val="22"/>
        </w:rPr>
        <w:t xml:space="preserve">Random-access wall-clock time T(N, k) for k in {1 KiB, 4 KiB, 16 KiB, 64 KiB} and N sampled uniformly over the archive, with at least 1000 samples per (archive size, k) pair. Report mean, median, 95th percentile.</w:t>
      </w:r>
    </w:p>
    <w:p>
      <w:pPr>
        <w:pStyle w:val="ListParagraph"/>
        <w:numPr>
          <w:ilvl w:val="0"/>
          <w:numId w:val="2"/>
        </w:numPr>
        <w:spacing w:after="80" w:line="276"/>
      </w:pPr>
      <w:r>
        <w:rPr>
          <w:rFonts w:ascii="Times New Roman" w:cs="Times New Roman" w:eastAsia="Times New Roman" w:hAnsi="Times New Roman"/>
          <w:sz w:val="22"/>
          <w:szCs w:val="22"/>
        </w:rPr>
        <w:t xml:space="preserve">Random-access throughput: number of independent random-access reads per second under serial query load.</w:t>
      </w:r>
    </w:p>
    <w:p>
      <w:pPr>
        <w:pStyle w:val="ListParagraph"/>
        <w:numPr>
          <w:ilvl w:val="0"/>
          <w:numId w:val="2"/>
        </w:numPr>
        <w:spacing w:after="80" w:line="276"/>
      </w:pPr>
      <w:r>
        <w:rPr>
          <w:rFonts w:ascii="Times New Roman" w:cs="Times New Roman" w:eastAsia="Times New Roman" w:hAnsi="Times New Roman"/>
          <w:sz w:val="22"/>
          <w:szCs w:val="22"/>
        </w:rPr>
        <w:t xml:space="preserve">Sync-point overhead: ratio cost as (archive size with sync points) / (archive size without sync points) - 1, reported at K in {4 KiB, 16 KiB, 64 KiB, 256 KiB, 1 MiB}.</w:t>
      </w:r>
    </w:p>
    <w:p>
      <w:pPr>
        <w:pStyle w:val="ListParagraph"/>
        <w:numPr>
          <w:ilvl w:val="0"/>
          <w:numId w:val="2"/>
        </w:numPr>
        <w:spacing w:after="80" w:line="276"/>
      </w:pPr>
      <w:r>
        <w:rPr>
          <w:rFonts w:ascii="Times New Roman" w:cs="Times New Roman" w:eastAsia="Times New Roman" w:hAnsi="Times New Roman"/>
          <w:sz w:val="22"/>
          <w:szCs w:val="22"/>
        </w:rPr>
        <w:t xml:space="preserve">Seek index size as a fraction of total archive size, with W-bounded versus non-W-bounded predictor variants separately reported.</w:t>
      </w:r>
    </w:p>
    <w:p>
      <w:r>
        <w:br w:type="page"/>
      </w:r>
    </w:p>
    <w:p>
      <w:pPr>
        <w:pStyle w:val="Heading1"/>
        <w:spacing w:after="200" w:before="360"/>
      </w:pPr>
      <w:r>
        <w:rPr>
          <w:rFonts w:ascii="Times New Roman" w:cs="Times New Roman" w:eastAsia="Times New Roman" w:hAnsi="Times New Roman"/>
          <w:b/>
          <w:bCs/>
          <w:sz w:val="28"/>
          <w:szCs w:val="28"/>
        </w:rPr>
        <w:t xml:space="preserve">6. Statistical methodology</w:t>
      </w:r>
    </w:p>
    <w:p>
      <w:pPr>
        <w:pStyle w:val="Heading2"/>
        <w:spacing w:after="160" w:before="280"/>
      </w:pPr>
      <w:r>
        <w:rPr>
          <w:rFonts w:ascii="Times New Roman" w:cs="Times New Roman" w:eastAsia="Times New Roman" w:hAnsi="Times New Roman"/>
          <w:b/>
          <w:bCs/>
          <w:sz w:val="25"/>
          <w:szCs w:val="25"/>
        </w:rPr>
        <w:t xml:space="preserve">6.1 Sampling and runs</w:t>
      </w:r>
    </w:p>
    <w:p>
      <w:pPr>
        <w:spacing w:after="120" w:before="0" w:line="276"/>
        <w:jc w:val="both"/>
      </w:pPr>
      <w:r>
        <w:rPr>
          <w:rFonts w:ascii="Times New Roman" w:cs="Times New Roman" w:eastAsia="Times New Roman" w:hAnsi="Times New Roman"/>
          <w:sz w:val="22"/>
          <w:szCs w:val="22"/>
        </w:rPr>
        <w:t xml:space="preserve">For each (coder, corpus) pair, run the experiment 5 times with distinct deterministic seeds, controlling for any non-determinism in baseline coders (e.g., adaptive context mixing initialization). Report mean and 95% confidence interval via bootstrap with 10000 resamples.</w:t>
      </w:r>
    </w:p>
    <w:p>
      <w:pPr>
        <w:spacing w:after="120" w:before="0" w:line="276"/>
        <w:jc w:val="both"/>
      </w:pPr>
      <w:r>
        <w:rPr>
          <w:rFonts w:ascii="Times New Roman" w:cs="Times New Roman" w:eastAsia="Times New Roman" w:hAnsi="Times New Roman"/>
          <w:sz w:val="22"/>
          <w:szCs w:val="22"/>
        </w:rPr>
        <w:t xml:space="preserve">For randomized corpora (CommonCrawl subset, image samples), use deterministic seeds for subset selection; verify subset hashes match across runs.</w:t>
      </w:r>
    </w:p>
    <w:p>
      <w:pPr>
        <w:pStyle w:val="Heading2"/>
        <w:spacing w:after="160" w:before="280"/>
      </w:pPr>
      <w:r>
        <w:rPr>
          <w:rFonts w:ascii="Times New Roman" w:cs="Times New Roman" w:eastAsia="Times New Roman" w:hAnsi="Times New Roman"/>
          <w:b/>
          <w:bCs/>
          <w:sz w:val="25"/>
          <w:szCs w:val="25"/>
        </w:rPr>
        <w:t xml:space="preserve">6.2 Effect-size reporting</w:t>
      </w:r>
    </w:p>
    <w:p>
      <w:pPr>
        <w:spacing w:after="120" w:before="0" w:line="276"/>
        <w:jc w:val="both"/>
      </w:pPr>
      <w:r>
        <w:rPr>
          <w:rFonts w:ascii="Times New Roman" w:cs="Times New Roman" w:eastAsia="Times New Roman" w:hAnsi="Times New Roman"/>
          <w:sz w:val="22"/>
          <w:szCs w:val="22"/>
        </w:rPr>
        <w:t xml:space="preserve">For comparisons between RNR variants and baselines, report:</w:t>
      </w:r>
    </w:p>
    <w:p>
      <w:pPr>
        <w:pStyle w:val="ListParagraph"/>
        <w:numPr>
          <w:ilvl w:val="0"/>
          <w:numId w:val="2"/>
        </w:numPr>
        <w:spacing w:after="80" w:line="276"/>
      </w:pPr>
      <w:r>
        <w:rPr>
          <w:rFonts w:ascii="Times New Roman" w:cs="Times New Roman" w:eastAsia="Times New Roman" w:hAnsi="Times New Roman"/>
          <w:sz w:val="22"/>
          <w:szCs w:val="22"/>
        </w:rPr>
        <w:t xml:space="preserve">Mean rate difference in bits per byte (RNR minus baseline; negative is better).</w:t>
      </w:r>
    </w:p>
    <w:p>
      <w:pPr>
        <w:pStyle w:val="ListParagraph"/>
        <w:numPr>
          <w:ilvl w:val="0"/>
          <w:numId w:val="2"/>
        </w:numPr>
        <w:spacing w:after="80" w:line="276"/>
      </w:pPr>
      <w:r>
        <w:rPr>
          <w:rFonts w:ascii="Times New Roman" w:cs="Times New Roman" w:eastAsia="Times New Roman" w:hAnsi="Times New Roman"/>
          <w:sz w:val="22"/>
          <w:szCs w:val="22"/>
        </w:rPr>
        <w:t xml:space="preserve">Relative improvement as a percentage of the baseline rate.</w:t>
      </w:r>
    </w:p>
    <w:p>
      <w:pPr>
        <w:pStyle w:val="ListParagraph"/>
        <w:numPr>
          <w:ilvl w:val="0"/>
          <w:numId w:val="2"/>
        </w:numPr>
        <w:spacing w:after="80" w:line="276"/>
      </w:pPr>
      <w:r>
        <w:rPr>
          <w:rFonts w:ascii="Times New Roman" w:cs="Times New Roman" w:eastAsia="Times New Roman" w:hAnsi="Times New Roman"/>
          <w:sz w:val="22"/>
          <w:szCs w:val="22"/>
        </w:rPr>
        <w:t xml:space="preserve">95% confidence interval on the difference, via paired bootstrap on per-block rates.</w:t>
      </w:r>
    </w:p>
    <w:p>
      <w:pPr>
        <w:pStyle w:val="ListParagraph"/>
        <w:numPr>
          <w:ilvl w:val="0"/>
          <w:numId w:val="2"/>
        </w:numPr>
        <w:spacing w:after="80" w:line="276"/>
      </w:pPr>
      <w:r>
        <w:rPr>
          <w:rFonts w:ascii="Times New Roman" w:cs="Times New Roman" w:eastAsia="Times New Roman" w:hAnsi="Times New Roman"/>
          <w:sz w:val="22"/>
          <w:szCs w:val="22"/>
        </w:rPr>
        <w:t xml:space="preserve">Cohen's d effect size where applicable (block-level comparisons).</w:t>
      </w:r>
    </w:p>
    <w:p>
      <w:pPr>
        <w:pStyle w:val="Heading2"/>
        <w:spacing w:after="160" w:before="280"/>
      </w:pPr>
      <w:r>
        <w:rPr>
          <w:rFonts w:ascii="Times New Roman" w:cs="Times New Roman" w:eastAsia="Times New Roman" w:hAnsi="Times New Roman"/>
          <w:b/>
          <w:bCs/>
          <w:sz w:val="25"/>
          <w:szCs w:val="25"/>
        </w:rPr>
        <w:t xml:space="preserve">6.3 Pre-registration</w:t>
      </w:r>
    </w:p>
    <w:p>
      <w:pPr>
        <w:spacing w:after="120" w:before="0" w:line="276"/>
        <w:jc w:val="both"/>
      </w:pPr>
      <w:r>
        <w:rPr>
          <w:rFonts w:ascii="Times New Roman" w:cs="Times New Roman" w:eastAsia="Times New Roman" w:hAnsi="Times New Roman"/>
          <w:sz w:val="22"/>
          <w:szCs w:val="22"/>
        </w:rPr>
        <w:t xml:space="preserve">To avoid p-hacking and result-cherry-picking, the experimental hypothesis list (Section 2), the corpus list (Section 3), the metric list (Section 5), and the analysis procedure (this section) are committed in a pre-registration document with a publication timestamp, prior to any experimental run. Pre-registration follows the protocol of the OSF Registries or equivalent open-science platform.</w:t>
      </w:r>
    </w:p>
    <w:p>
      <w:pPr>
        <w:pStyle w:val="Heading2"/>
        <w:spacing w:after="160" w:before="280"/>
      </w:pPr>
      <w:r>
        <w:rPr>
          <w:rFonts w:ascii="Times New Roman" w:cs="Times New Roman" w:eastAsia="Times New Roman" w:hAnsi="Times New Roman"/>
          <w:b/>
          <w:bCs/>
          <w:sz w:val="25"/>
          <w:szCs w:val="25"/>
        </w:rPr>
        <w:t xml:space="preserve">6.4 Multiple-comparisons correction</w:t>
      </w:r>
    </w:p>
    <w:p>
      <w:pPr>
        <w:spacing w:after="120" w:before="0" w:line="276"/>
        <w:jc w:val="both"/>
      </w:pPr>
      <w:r>
        <w:rPr>
          <w:rFonts w:ascii="Times New Roman" w:cs="Times New Roman" w:eastAsia="Times New Roman" w:hAnsi="Times New Roman"/>
          <w:sz w:val="22"/>
          <w:szCs w:val="22"/>
        </w:rPr>
        <w:t xml:space="preserve">With 9 hypotheses and multiple coder/corpus pairs each, the per-comparison alpha of 0.05 would inflate the family-wise error rate substantially. Apply Holm-Bonferroni correction across all primary-hypothesis tests. Secondary analyses (effect sizes, exploratory measurements) report uncorrected confidence intervals with a clear label distinguishing them from primary hypothesis tests.</w:t>
      </w:r>
    </w:p>
    <w:p>
      <w:r>
        <w:br w:type="page"/>
      </w:r>
    </w:p>
    <w:p>
      <w:pPr>
        <w:pStyle w:val="Heading1"/>
        <w:spacing w:after="200" w:before="360"/>
      </w:pPr>
      <w:r>
        <w:rPr>
          <w:rFonts w:ascii="Times New Roman" w:cs="Times New Roman" w:eastAsia="Times New Roman" w:hAnsi="Times New Roman"/>
          <w:b/>
          <w:bCs/>
          <w:sz w:val="28"/>
          <w:szCs w:val="28"/>
        </w:rPr>
        <w:t xml:space="preserve">7. Reporting template</w:t>
      </w:r>
    </w:p>
    <w:p>
      <w:pPr>
        <w:spacing w:after="120" w:before="0" w:line="276"/>
        <w:jc w:val="both"/>
      </w:pPr>
      <w:r>
        <w:rPr>
          <w:rFonts w:ascii="Times New Roman" w:cs="Times New Roman" w:eastAsia="Times New Roman" w:hAnsi="Times New Roman"/>
          <w:sz w:val="22"/>
          <w:szCs w:val="22"/>
        </w:rPr>
        <w:t xml:space="preserve">Each experiment is reported in a uniform template for downstream meta-analysis. The template is:</w:t>
      </w:r>
    </w:p>
    <w:p>
      <w:pPr>
        <w:spacing w:after="40" w:line="240"/>
        <w:ind w:left="720"/>
      </w:pPr>
      <w:r>
        <w:rPr>
          <w:rFonts w:ascii="Consolas" w:cs="Consolas" w:eastAsia="Consolas" w:hAnsi="Consolas"/>
          <w:sz w:val="20"/>
          <w:szCs w:val="20"/>
        </w:rPr>
        <w:t xml:space="preserve">Experiment ID: &lt;slug, e.g., 'h2-pgdump-rnr-ii'&gt;</w:t>
      </w:r>
    </w:p>
    <w:p>
      <w:pPr>
        <w:spacing w:after="40" w:line="240"/>
        <w:ind w:left="720"/>
      </w:pPr>
      <w:r>
        <w:rPr>
          <w:rFonts w:ascii="Consolas" w:cs="Consolas" w:eastAsia="Consolas" w:hAnsi="Consolas"/>
          <w:sz w:val="20"/>
          <w:szCs w:val="20"/>
        </w:rPr>
        <w:t xml:space="preserve">Hypothesis: &lt;H1..H9 from Section 2&gt;</w:t>
      </w:r>
    </w:p>
    <w:p>
      <w:pPr>
        <w:spacing w:after="40" w:line="240"/>
        <w:ind w:left="720"/>
      </w:pPr>
      <w:r>
        <w:rPr>
          <w:rFonts w:ascii="Consolas" w:cs="Consolas" w:eastAsia="Consolas" w:hAnsi="Consolas"/>
          <w:sz w:val="20"/>
          <w:szCs w:val="20"/>
        </w:rPr>
        <w:t xml:space="preserve">Corpus: &lt;slug + SHA-256 hash&gt;</w:t>
      </w:r>
    </w:p>
    <w:p>
      <w:pPr>
        <w:spacing w:after="40" w:line="240"/>
        <w:ind w:left="720"/>
      </w:pPr>
      <w:r>
        <w:rPr>
          <w:rFonts w:ascii="Consolas" w:cs="Consolas" w:eastAsia="Consolas" w:hAnsi="Consolas"/>
          <w:sz w:val="20"/>
          <w:szCs w:val="20"/>
        </w:rPr>
        <w:t xml:space="preserve">Coder: &lt;RNR variant or baseline name + version&gt;</w:t>
      </w:r>
    </w:p>
    <w:p>
      <w:pPr>
        <w:spacing w:after="40" w:line="240"/>
        <w:ind w:left="720"/>
      </w:pPr>
      <w:r>
        <w:rPr>
          <w:rFonts w:ascii="Consolas" w:cs="Consolas" w:eastAsia="Consolas" w:hAnsi="Consolas"/>
          <w:sz w:val="20"/>
          <w:szCs w:val="20"/>
        </w:rPr>
        <w:t xml:space="preserve">Hardware: &lt;CPU, RAM, OS&gt;</w:t>
      </w:r>
    </w:p>
    <w:p>
      <w:pPr>
        <w:spacing w:after="40" w:line="240"/>
        <w:ind w:left="720"/>
      </w:pPr>
      <w:r>
        <w:rPr>
          <w:rFonts w:ascii="Consolas" w:cs="Consolas" w:eastAsia="Consolas" w:hAnsi="Consolas"/>
          <w:sz w:val="20"/>
          <w:szCs w:val="20"/>
        </w:rPr>
        <w:t xml:space="preserve">Software: &lt;library versions, RNR git commit hash&gt;</w:t>
      </w:r>
    </w:p>
    <w:p>
      <w:pPr>
        <w:spacing w:after="40" w:line="240"/>
        <w:ind w:left="720"/>
      </w:pPr>
      <w:r>
        <w:rPr>
          <w:rFonts w:ascii="Consolas" w:cs="Consolas" w:eastAsia="Consolas" w:hAnsi="Consolas"/>
          <w:sz w:val="20"/>
          <w:szCs w:val="20"/>
        </w:rPr>
        <w:t xml:space="preserve">Pre-registration ID: &lt;OSF URL or equivalent&gt;</w:t>
      </w:r>
    </w:p>
    <w:p>
      <w:pPr>
        <w:spacing w:after="40" w:line="240"/>
        <w:ind w:left="720"/>
      </w:pPr>
      <w:r>
        <w:rPr>
          <w:rFonts w:ascii="Consolas" w:cs="Consolas" w:eastAsia="Consolas" w:hAnsi="Consolas"/>
          <w:sz w:val="20"/>
          <w:szCs w:val="20"/>
        </w:rPr>
        <w:t xml:space="preserve">Runs: 5</w:t>
      </w:r>
    </w:p>
    <w:p>
      <w:pPr>
        <w:spacing w:after="40" w:line="240"/>
        <w:ind w:left="720"/>
      </w:pPr>
      <w:r>
        <w:rPr>
          <w:rFonts w:ascii="Consolas" w:cs="Consolas" w:eastAsia="Consolas" w:hAnsi="Consolas"/>
          <w:sz w:val="20"/>
          <w:szCs w:val="20"/>
        </w:rPr>
        <w:t xml:space="preserve">Result table:</w:t>
      </w:r>
    </w:p>
    <w:p>
      <w:pPr>
        <w:spacing w:after="40" w:line="240"/>
        <w:ind w:left="720"/>
      </w:pPr>
      <w:r>
        <w:rPr>
          <w:rFonts w:ascii="Consolas" w:cs="Consolas" w:eastAsia="Consolas" w:hAnsi="Consolas"/>
          <w:sz w:val="20"/>
          <w:szCs w:val="20"/>
        </w:rPr>
        <w:t xml:space="preserve">  Rate (bpb):    mean +/- 95% CI</w:t>
      </w:r>
    </w:p>
    <w:p>
      <w:pPr>
        <w:spacing w:after="40" w:line="240"/>
        <w:ind w:left="720"/>
      </w:pPr>
      <w:r>
        <w:rPr>
          <w:rFonts w:ascii="Consolas" w:cs="Consolas" w:eastAsia="Consolas" w:hAnsi="Consolas"/>
          <w:sz w:val="20"/>
          <w:szCs w:val="20"/>
        </w:rPr>
        <w:t xml:space="preserve">  Time (s/MiB):  mean +/- 95% CI</w:t>
      </w:r>
    </w:p>
    <w:p>
      <w:pPr>
        <w:spacing w:after="40" w:line="240"/>
        <w:ind w:left="720"/>
      </w:pPr>
      <w:r>
        <w:rPr>
          <w:rFonts w:ascii="Consolas" w:cs="Consolas" w:eastAsia="Consolas" w:hAnsi="Consolas"/>
          <w:sz w:val="20"/>
          <w:szCs w:val="20"/>
        </w:rPr>
        <w:t xml:space="preserve">  Memory (MiB):  mean +/- 95% CI</w:t>
      </w:r>
    </w:p>
    <w:p>
      <w:pPr>
        <w:spacing w:after="40" w:line="240"/>
        <w:ind w:left="720"/>
      </w:pPr>
      <w:r>
        <w:rPr>
          <w:rFonts w:ascii="Consolas" w:cs="Consolas" w:eastAsia="Consolas" w:hAnsi="Consolas"/>
          <w:sz w:val="20"/>
          <w:szCs w:val="20"/>
        </w:rPr>
        <w:t xml:space="preserve">Comparison to &lt;baseline name&gt;:</w:t>
      </w:r>
    </w:p>
    <w:p>
      <w:pPr>
        <w:spacing w:after="40" w:line="240"/>
        <w:ind w:left="720"/>
      </w:pPr>
      <w:r>
        <w:rPr>
          <w:rFonts w:ascii="Consolas" w:cs="Consolas" w:eastAsia="Consolas" w:hAnsi="Consolas"/>
          <w:sz w:val="20"/>
          <w:szCs w:val="20"/>
        </w:rPr>
        <w:t xml:space="preserve">  Delta rate: &lt;value&gt; bpb (&lt;percentage&gt;%)</w:t>
      </w:r>
    </w:p>
    <w:p>
      <w:pPr>
        <w:spacing w:after="40" w:line="240"/>
        <w:ind w:left="720"/>
      </w:pPr>
      <w:r>
        <w:rPr>
          <w:rFonts w:ascii="Consolas" w:cs="Consolas" w:eastAsia="Consolas" w:hAnsi="Consolas"/>
          <w:sz w:val="20"/>
          <w:szCs w:val="20"/>
        </w:rPr>
        <w:t xml:space="preserve">  Bootstrap 95% CI on delta: [&lt;low&gt;, &lt;high&gt;]</w:t>
      </w:r>
    </w:p>
    <w:p>
      <w:pPr>
        <w:spacing w:after="40" w:line="240"/>
        <w:ind w:left="720"/>
      </w:pPr>
      <w:r>
        <w:rPr>
          <w:rFonts w:ascii="Consolas" w:cs="Consolas" w:eastAsia="Consolas" w:hAnsi="Consolas"/>
          <w:sz w:val="20"/>
          <w:szCs w:val="20"/>
        </w:rPr>
        <w:t xml:space="preserve">  Cohen's d (block-level): &lt;value&gt;</w:t>
      </w:r>
    </w:p>
    <w:p>
      <w:pPr>
        <w:spacing w:after="40" w:line="240"/>
        <w:ind w:left="720"/>
      </w:pPr>
      <w:r>
        <w:rPr>
          <w:rFonts w:ascii="Consolas" w:cs="Consolas" w:eastAsia="Consolas" w:hAnsi="Consolas"/>
          <w:sz w:val="20"/>
          <w:szCs w:val="20"/>
        </w:rPr>
        <w:t xml:space="preserve">Hypothesis verdict: &lt;confirmed / falsified / inconclusive&gt;</w:t>
      </w:r>
    </w:p>
    <w:p>
      <w:pPr>
        <w:spacing w:after="40" w:line="240"/>
        <w:ind w:left="720"/>
      </w:pPr>
      <w:r>
        <w:rPr>
          <w:rFonts w:ascii="Consolas" w:cs="Consolas" w:eastAsia="Consolas" w:hAnsi="Consolas"/>
          <w:sz w:val="20"/>
          <w:szCs w:val="20"/>
        </w:rPr>
        <w:t xml:space="preserve">Notes: &lt;implementation details, anomalies, caveats&gt;</w:t>
      </w:r>
    </w:p>
    <w:p>
      <w:r>
        <w:br w:type="page"/>
      </w:r>
    </w:p>
    <w:p>
      <w:pPr>
        <w:pStyle w:val="Heading1"/>
        <w:spacing w:after="200" w:before="360"/>
      </w:pPr>
      <w:r>
        <w:rPr>
          <w:rFonts w:ascii="Times New Roman" w:cs="Times New Roman" w:eastAsia="Times New Roman" w:hAnsi="Times New Roman"/>
          <w:b/>
          <w:bCs/>
          <w:sz w:val="28"/>
          <w:szCs w:val="28"/>
        </w:rPr>
        <w:t xml:space="preserve">8. Cross-platform reproducibility test (H8, H9)</w:t>
      </w:r>
    </w:p>
    <w:p>
      <w:pPr>
        <w:spacing w:after="120" w:before="0" w:line="276"/>
        <w:jc w:val="both"/>
      </w:pPr>
      <w:r>
        <w:rPr>
          <w:rFonts w:ascii="Times New Roman" w:cs="Times New Roman" w:eastAsia="Times New Roman" w:hAnsi="Times New Roman"/>
          <w:sz w:val="22"/>
          <w:szCs w:val="22"/>
        </w:rPr>
        <w:t xml:space="preserve">Theorems 10.1 and 10.2 reduce reproducibility to a conformance specification. This section operationalizes the conformance test.</w:t>
      </w:r>
    </w:p>
    <w:p>
      <w:pPr>
        <w:pStyle w:val="Heading2"/>
        <w:spacing w:after="160" w:before="280"/>
      </w:pPr>
      <w:r>
        <w:rPr>
          <w:rFonts w:ascii="Times New Roman" w:cs="Times New Roman" w:eastAsia="Times New Roman" w:hAnsi="Times New Roman"/>
          <w:b/>
          <w:bCs/>
          <w:sz w:val="25"/>
          <w:szCs w:val="25"/>
        </w:rPr>
        <w:t xml:space="preserve">8.1 Test corpus</w:t>
      </w:r>
    </w:p>
    <w:p>
      <w:pPr>
        <w:spacing w:after="120" w:before="0" w:line="276"/>
        <w:jc w:val="both"/>
      </w:pPr>
      <w:r>
        <w:rPr>
          <w:rFonts w:ascii="Times New Roman" w:cs="Times New Roman" w:eastAsia="Times New Roman" w:hAnsi="Times New Roman"/>
          <w:sz w:val="22"/>
          <w:szCs w:val="22"/>
        </w:rPr>
        <w:t xml:space="preserve">100 test blocks of varying size and content, drawn from the corpora in Section 3. Each block is 1–16 KiB. The set is fixed by SHA-256 hashes published with the test suite. The selection covers all RNR Types and at least 10 blocks per Type.</w:t>
      </w:r>
    </w:p>
    <w:p>
      <w:pPr>
        <w:pStyle w:val="Heading2"/>
        <w:spacing w:after="160" w:before="280"/>
      </w:pPr>
      <w:r>
        <w:rPr>
          <w:rFonts w:ascii="Times New Roman" w:cs="Times New Roman" w:eastAsia="Times New Roman" w:hAnsi="Times New Roman"/>
          <w:b/>
          <w:bCs/>
          <w:sz w:val="25"/>
          <w:szCs w:val="25"/>
        </w:rPr>
        <w:t xml:space="preserve">8.2 Test platforms</w:t>
      </w:r>
    </w:p>
    <w:p>
      <w:pPr>
        <w:pStyle w:val="ListParagraph"/>
        <w:numPr>
          <w:ilvl w:val="0"/>
          <w:numId w:val="2"/>
        </w:numPr>
        <w:spacing w:after="80" w:line="276"/>
      </w:pPr>
      <w:r>
        <w:rPr>
          <w:rFonts w:ascii="Times New Roman" w:cs="Times New Roman" w:eastAsia="Times New Roman" w:hAnsi="Times New Roman"/>
          <w:sz w:val="22"/>
          <w:szCs w:val="22"/>
        </w:rPr>
        <w:t xml:space="preserve">x86-64 Linux: Ubuntu 24.04 LTS, glibc 2.39, no AVX-512 (forced via taskset to a core without it).</w:t>
      </w:r>
    </w:p>
    <w:p>
      <w:pPr>
        <w:pStyle w:val="ListParagraph"/>
        <w:numPr>
          <w:ilvl w:val="0"/>
          <w:numId w:val="2"/>
        </w:numPr>
        <w:spacing w:after="80" w:line="276"/>
      </w:pPr>
      <w:r>
        <w:rPr>
          <w:rFonts w:ascii="Times New Roman" w:cs="Times New Roman" w:eastAsia="Times New Roman" w:hAnsi="Times New Roman"/>
          <w:sz w:val="22"/>
          <w:szCs w:val="22"/>
        </w:rPr>
        <w:t xml:space="preserve">x86-64 Linux with AVX-512 enabled (separate run, same OS).</w:t>
      </w:r>
    </w:p>
    <w:p>
      <w:pPr>
        <w:pStyle w:val="ListParagraph"/>
        <w:numPr>
          <w:ilvl w:val="0"/>
          <w:numId w:val="2"/>
        </w:numPr>
        <w:spacing w:after="80" w:line="276"/>
      </w:pPr>
      <w:r>
        <w:rPr>
          <w:rFonts w:ascii="Times New Roman" w:cs="Times New Roman" w:eastAsia="Times New Roman" w:hAnsi="Times New Roman"/>
          <w:sz w:val="22"/>
          <w:szCs w:val="22"/>
        </w:rPr>
        <w:t xml:space="preserve">ARM64 Linux: Apple Silicon under Asahi Linux, native code.</w:t>
      </w:r>
    </w:p>
    <w:p>
      <w:pPr>
        <w:pStyle w:val="ListParagraph"/>
        <w:numPr>
          <w:ilvl w:val="0"/>
          <w:numId w:val="2"/>
        </w:numPr>
        <w:spacing w:after="80" w:line="276"/>
      </w:pPr>
      <w:r>
        <w:rPr>
          <w:rFonts w:ascii="Times New Roman" w:cs="Times New Roman" w:eastAsia="Times New Roman" w:hAnsi="Times New Roman"/>
          <w:sz w:val="22"/>
          <w:szCs w:val="22"/>
        </w:rPr>
        <w:t xml:space="preserve">ARM64 macOS: Apple Silicon, native code, system clang/libc.</w:t>
      </w:r>
    </w:p>
    <w:p>
      <w:pPr>
        <w:pStyle w:val="ListParagraph"/>
        <w:numPr>
          <w:ilvl w:val="0"/>
          <w:numId w:val="2"/>
        </w:numPr>
        <w:spacing w:after="80" w:line="276"/>
      </w:pPr>
      <w:r>
        <w:rPr>
          <w:rFonts w:ascii="Times New Roman" w:cs="Times New Roman" w:eastAsia="Times New Roman" w:hAnsi="Times New Roman"/>
          <w:sz w:val="22"/>
          <w:szCs w:val="22"/>
        </w:rPr>
        <w:t xml:space="preserve">RISC-V via QEMU emulation (Ubuntu RISC-V image), no native hardware acceleration.</w:t>
      </w:r>
    </w:p>
    <w:p>
      <w:pPr>
        <w:pStyle w:val="ListParagraph"/>
        <w:numPr>
          <w:ilvl w:val="0"/>
          <w:numId w:val="2"/>
        </w:numPr>
        <w:spacing w:after="80" w:line="276"/>
      </w:pPr>
      <w:r>
        <w:rPr>
          <w:rFonts w:ascii="Times New Roman" w:cs="Times New Roman" w:eastAsia="Times New Roman" w:hAnsi="Times New Roman"/>
          <w:sz w:val="22"/>
          <w:szCs w:val="22"/>
        </w:rPr>
        <w:t xml:space="preserve">Windows x86-64 with MSVC runtime.</w:t>
      </w:r>
    </w:p>
    <w:p>
      <w:pPr>
        <w:pStyle w:val="Heading2"/>
        <w:spacing w:after="160" w:before="280"/>
      </w:pPr>
      <w:r>
        <w:rPr>
          <w:rFonts w:ascii="Times New Roman" w:cs="Times New Roman" w:eastAsia="Times New Roman" w:hAnsi="Times New Roman"/>
          <w:b/>
          <w:bCs/>
          <w:sz w:val="25"/>
          <w:szCs w:val="25"/>
        </w:rPr>
        <w:t xml:space="preserve">8.3 Test procedure</w:t>
      </w:r>
    </w:p>
    <w:p>
      <w:pPr>
        <w:spacing w:after="120" w:before="0" w:line="276"/>
        <w:jc w:val="both"/>
      </w:pPr>
      <w:r>
        <w:rPr>
          <w:rFonts w:ascii="Times New Roman" w:cs="Times New Roman" w:eastAsia="Times New Roman" w:hAnsi="Times New Roman"/>
          <w:sz w:val="22"/>
          <w:szCs w:val="22"/>
        </w:rPr>
        <w:t xml:space="preserve">For each test block X and each RNR variant, on each platform:</w:t>
      </w:r>
    </w:p>
    <w:p>
      <w:pPr>
        <w:spacing w:after="40" w:line="240"/>
        <w:ind w:left="720"/>
      </w:pPr>
      <w:r>
        <w:rPr>
          <w:rFonts w:ascii="Consolas" w:cs="Consolas" w:eastAsia="Consolas" w:hAnsi="Consolas"/>
          <w:sz w:val="20"/>
          <w:szCs w:val="20"/>
        </w:rPr>
        <w:t xml:space="preserve">1. Run encoder on X with deterministic seed; emit archive A.</w:t>
      </w:r>
    </w:p>
    <w:p>
      <w:pPr>
        <w:spacing w:after="40" w:line="240"/>
        <w:ind w:left="720"/>
      </w:pPr>
      <w:r>
        <w:rPr>
          <w:rFonts w:ascii="Consolas" w:cs="Consolas" w:eastAsia="Consolas" w:hAnsi="Consolas"/>
          <w:sz w:val="20"/>
          <w:szCs w:val="20"/>
        </w:rPr>
        <w:t xml:space="preserve">2. Compute SHA-256(A).</w:t>
      </w:r>
    </w:p>
    <w:p>
      <w:pPr>
        <w:spacing w:after="40" w:line="240"/>
        <w:ind w:left="720"/>
      </w:pPr>
      <w:r>
        <w:rPr>
          <w:rFonts w:ascii="Consolas" w:cs="Consolas" w:eastAsia="Consolas" w:hAnsi="Consolas"/>
          <w:sz w:val="20"/>
          <w:szCs w:val="20"/>
        </w:rPr>
        <w:t xml:space="preserve">3. Cross-tabulate SHA-256 values across platforms.</w:t>
      </w:r>
    </w:p>
    <w:p>
      <w:pPr>
        <w:spacing w:after="40" w:line="240"/>
        <w:ind w:left="720"/>
      </w:pPr>
      <w:r>
        <w:rPr>
          <w:rFonts w:ascii="Consolas" w:cs="Consolas" w:eastAsia="Consolas" w:hAnsi="Consolas"/>
          <w:sz w:val="20"/>
          <w:szCs w:val="20"/>
        </w:rPr>
        <w:t xml:space="preserve">4. For all pairs (platform_i, platform_j), record byte-identity = (hash_i == hash_j).</w:t>
      </w:r>
    </w:p>
    <w:p>
      <w:pPr>
        <w:spacing w:after="40" w:line="240"/>
        <w:ind w:left="720"/>
      </w:pPr>
      <w:r>
        <w:rPr>
          <w:rFonts w:ascii="Consolas" w:cs="Consolas" w:eastAsia="Consolas" w:hAnsi="Consolas"/>
          <w:sz w:val="20"/>
          <w:szCs w:val="20"/>
        </w:rPr>
        <w:t xml:space="preserve">5. Run decoder on each A on each platform; emit X_hat.</w:t>
      </w:r>
    </w:p>
    <w:p>
      <w:pPr>
        <w:spacing w:after="40" w:line="240"/>
        <w:ind w:left="720"/>
      </w:pPr>
      <w:r>
        <w:rPr>
          <w:rFonts w:ascii="Consolas" w:cs="Consolas" w:eastAsia="Consolas" w:hAnsi="Consolas"/>
          <w:sz w:val="20"/>
          <w:szCs w:val="20"/>
        </w:rPr>
        <w:t xml:space="preserve">6. Verify X_hat == X on every (encoder_platform, decoder_platform) pair.</w:t>
      </w:r>
    </w:p>
    <w:p>
      <w:pPr>
        <w:spacing w:after="120" w:before="0" w:line="276"/>
        <w:jc w:val="both"/>
      </w:pPr>
      <w:r>
        <w:rPr>
          <w:rFonts w:ascii="Times New Roman" w:cs="Times New Roman" w:eastAsia="Times New Roman" w:hAnsi="Times New Roman"/>
          <w:sz w:val="22"/>
          <w:szCs w:val="22"/>
        </w:rPr>
        <w:t xml:space="preserve">Pass criterion: for every test block, all 6 platforms produce the same archive hash, and every cross-decoded result equals the original. Fail criterion: any byte difference. A single failure invalidates the conformance claim for that RNR variant on that platform pair and triggers diagnostic investigation (Section 8.4).</w:t>
      </w:r>
    </w:p>
    <w:p>
      <w:pPr>
        <w:pStyle w:val="Heading2"/>
        <w:spacing w:after="160" w:before="280"/>
      </w:pPr>
      <w:r>
        <w:rPr>
          <w:rFonts w:ascii="Times New Roman" w:cs="Times New Roman" w:eastAsia="Times New Roman" w:hAnsi="Times New Roman"/>
          <w:b/>
          <w:bCs/>
          <w:sz w:val="25"/>
          <w:szCs w:val="25"/>
        </w:rPr>
        <w:t xml:space="preserve">8.4 Diagnostic procedure on failure</w:t>
      </w:r>
    </w:p>
    <w:p>
      <w:pPr>
        <w:spacing w:after="120" w:before="0" w:line="276"/>
        <w:jc w:val="both"/>
      </w:pPr>
      <w:r>
        <w:rPr>
          <w:rFonts w:ascii="Times New Roman" w:cs="Times New Roman" w:eastAsia="Times New Roman" w:hAnsi="Times New Roman"/>
          <w:sz w:val="22"/>
          <w:szCs w:val="22"/>
        </w:rPr>
        <w:t xml:space="preserve">If a platform pair produces divergent archives:</w:t>
      </w:r>
    </w:p>
    <w:p>
      <w:pPr>
        <w:pStyle w:val="ListParagraph"/>
        <w:numPr>
          <w:ilvl w:val="0"/>
          <w:numId w:val="2"/>
        </w:numPr>
        <w:spacing w:after="80" w:line="276"/>
      </w:pPr>
      <w:r>
        <w:rPr>
          <w:rFonts w:ascii="Times New Roman" w:cs="Times New Roman" w:eastAsia="Times New Roman" w:hAnsi="Times New Roman"/>
          <w:sz w:val="22"/>
          <w:szCs w:val="22"/>
        </w:rPr>
        <w:t xml:space="preserve">Identify the earliest divergent byte in the archive.</w:t>
      </w:r>
    </w:p>
    <w:p>
      <w:pPr>
        <w:pStyle w:val="ListParagraph"/>
        <w:numPr>
          <w:ilvl w:val="0"/>
          <w:numId w:val="2"/>
        </w:numPr>
        <w:spacing w:after="80" w:line="276"/>
      </w:pPr>
      <w:r>
        <w:rPr>
          <w:rFonts w:ascii="Times New Roman" w:cs="Times New Roman" w:eastAsia="Times New Roman" w:hAnsi="Times New Roman"/>
          <w:sz w:val="22"/>
          <w:szCs w:val="22"/>
        </w:rPr>
        <w:t xml:space="preserve">Trace back to the encoder stage that produced it: predictor output, repair encoding, or metadata.</w:t>
      </w:r>
    </w:p>
    <w:p>
      <w:pPr>
        <w:pStyle w:val="ListParagraph"/>
        <w:numPr>
          <w:ilvl w:val="0"/>
          <w:numId w:val="2"/>
        </w:numPr>
        <w:spacing w:after="80" w:line="276"/>
      </w:pPr>
      <w:r>
        <w:rPr>
          <w:rFonts w:ascii="Times New Roman" w:cs="Times New Roman" w:eastAsia="Times New Roman" w:hAnsi="Times New Roman"/>
          <w:sz w:val="22"/>
          <w:szCs w:val="22"/>
        </w:rPr>
        <w:t xml:space="preserve">If predictor output diverges, check Theorem 10.1 conditions: integer bit-width, non-linearity table determinism, reduction order. Identify which condition is violated.</w:t>
      </w:r>
    </w:p>
    <w:p>
      <w:pPr>
        <w:pStyle w:val="ListParagraph"/>
        <w:numPr>
          <w:ilvl w:val="0"/>
          <w:numId w:val="2"/>
        </w:numPr>
        <w:spacing w:after="80" w:line="276"/>
      </w:pPr>
      <w:r>
        <w:rPr>
          <w:rFonts w:ascii="Times New Roman" w:cs="Times New Roman" w:eastAsia="Times New Roman" w:hAnsi="Times New Roman"/>
          <w:sz w:val="22"/>
          <w:szCs w:val="22"/>
        </w:rPr>
        <w:t xml:space="preserve">If repair encoding diverges, check entropy-coder state initialization and update order.</w:t>
      </w:r>
    </w:p>
    <w:p>
      <w:pPr>
        <w:pStyle w:val="ListParagraph"/>
        <w:numPr>
          <w:ilvl w:val="0"/>
          <w:numId w:val="2"/>
        </w:numPr>
        <w:spacing w:after="80" w:line="276"/>
      </w:pPr>
      <w:r>
        <w:rPr>
          <w:rFonts w:ascii="Times New Roman" w:cs="Times New Roman" w:eastAsia="Times New Roman" w:hAnsi="Times New Roman"/>
          <w:sz w:val="22"/>
          <w:szCs w:val="22"/>
        </w:rPr>
        <w:t xml:space="preserve">Publish the failure as an issue against the reference implementation, with the divergent input and the proposed fix.</w:t>
      </w:r>
    </w:p>
    <w:p>
      <w:r>
        <w:br w:type="page"/>
      </w:r>
    </w:p>
    <w:p>
      <w:pPr>
        <w:pStyle w:val="Heading1"/>
        <w:spacing w:after="200" w:before="360"/>
      </w:pPr>
      <w:r>
        <w:rPr>
          <w:rFonts w:ascii="Times New Roman" w:cs="Times New Roman" w:eastAsia="Times New Roman" w:hAnsi="Times New Roman"/>
          <w:b/>
          <w:bCs/>
          <w:sz w:val="28"/>
          <w:szCs w:val="28"/>
        </w:rPr>
        <w:t xml:space="preserve">9. Intrinsic-dimension estimation procedure (H4)</w:t>
      </w:r>
    </w:p>
    <w:p>
      <w:pPr>
        <w:spacing w:after="120" w:before="0" w:line="276"/>
        <w:jc w:val="both"/>
      </w:pPr>
      <w:r>
        <w:rPr>
          <w:rFonts w:ascii="Times New Roman" w:cs="Times New Roman" w:eastAsia="Times New Roman" w:hAnsi="Times New Roman"/>
          <w:sz w:val="22"/>
          <w:szCs w:val="22"/>
        </w:rPr>
        <w:t xml:space="preserve">Remark 5.7 connects Theorem 5.6's separation to natural-data intrinsic dimension. This section operationalizes the estimation.</w:t>
      </w:r>
    </w:p>
    <w:p>
      <w:pPr>
        <w:pStyle w:val="Heading2"/>
        <w:spacing w:after="160" w:before="280"/>
      </w:pPr>
      <w:r>
        <w:rPr>
          <w:rFonts w:ascii="Times New Roman" w:cs="Times New Roman" w:eastAsia="Times New Roman" w:hAnsi="Times New Roman"/>
          <w:b/>
          <w:bCs/>
          <w:sz w:val="25"/>
          <w:szCs w:val="25"/>
        </w:rPr>
        <w:t xml:space="preserve">9.1 Embedding choice</w:t>
      </w:r>
    </w:p>
    <w:p>
      <w:pPr>
        <w:spacing w:after="120" w:before="0" w:line="276"/>
        <w:jc w:val="both"/>
      </w:pPr>
      <w:r>
        <w:rPr>
          <w:rFonts w:ascii="Times New Roman" w:cs="Times New Roman" w:eastAsia="Times New Roman" w:hAnsi="Times New Roman"/>
          <w:sz w:val="22"/>
          <w:szCs w:val="22"/>
        </w:rPr>
        <w:t xml:space="preserve">Intrinsic dimension is estimated in an embedding space, not raw byte space, because raw bytes are unstructured. For each corpus, compute byte n-gram embeddings at n in {2, 4, 8, 16}. Each block becomes a vector of counts over a vocabulary of distinct n-grams observed in that corpus. Vocabulary is capped at 65536 by frequency.</w:t>
      </w:r>
    </w:p>
    <w:p>
      <w:pPr>
        <w:spacing w:after="120" w:before="0" w:line="276"/>
        <w:jc w:val="both"/>
      </w:pPr>
      <w:r>
        <w:rPr>
          <w:rFonts w:ascii="Times New Roman" w:cs="Times New Roman" w:eastAsia="Times New Roman" w:hAnsi="Times New Roman"/>
          <w:sz w:val="22"/>
          <w:szCs w:val="22"/>
        </w:rPr>
        <w:t xml:space="preserve">Alternative embedding: use the byte-level transformer's penultimate-layer hidden state at each position, averaged over the block. This requires running the RNR predictor in inference mode, which is acceptable since the predictor is already part of the framework.</w:t>
      </w:r>
    </w:p>
    <w:p>
      <w:pPr>
        <w:pStyle w:val="Heading2"/>
        <w:spacing w:after="160" w:before="280"/>
      </w:pPr>
      <w:r>
        <w:rPr>
          <w:rFonts w:ascii="Times New Roman" w:cs="Times New Roman" w:eastAsia="Times New Roman" w:hAnsi="Times New Roman"/>
          <w:b/>
          <w:bCs/>
          <w:sz w:val="25"/>
          <w:szCs w:val="25"/>
        </w:rPr>
        <w:t xml:space="preserve">9.2 Estimator</w:t>
      </w:r>
    </w:p>
    <w:p>
      <w:pPr>
        <w:spacing w:after="120" w:before="0" w:line="276"/>
        <w:jc w:val="both"/>
      </w:pPr>
      <w:r>
        <w:rPr>
          <w:rFonts w:ascii="Times New Roman" w:cs="Times New Roman" w:eastAsia="Times New Roman" w:hAnsi="Times New Roman"/>
          <w:sz w:val="22"/>
          <w:szCs w:val="22"/>
        </w:rPr>
        <w:t xml:space="preserve">Apply the Levina-Bickel maximum-likelihood estimator (Levina-Bickel 2004) with k nearest neighbors. For each sample point x_i and each of its k nearest neighbors x_{i,1}, ..., x_{i,k} (by Euclidean distance in the embedding space):</w:t>
      </w:r>
    </w:p>
    <w:p>
      <w:pPr>
        <w:spacing w:after="40" w:line="240"/>
        <w:ind w:left="720"/>
      </w:pPr>
      <w:r>
        <w:rPr>
          <w:rFonts w:ascii="Consolas" w:cs="Consolas" w:eastAsia="Consolas" w:hAnsi="Consolas"/>
          <w:sz w:val="20"/>
          <w:szCs w:val="20"/>
        </w:rPr>
        <w:t xml:space="preserve">T_k(x_i) = distance to k-th nearest neighbor</w:t>
      </w:r>
    </w:p>
    <w:p>
      <w:pPr>
        <w:spacing w:after="40" w:line="240"/>
        <w:ind w:left="720"/>
      </w:pPr>
      <w:r>
        <w:rPr>
          <w:rFonts w:ascii="Consolas" w:cs="Consolas" w:eastAsia="Consolas" w:hAnsi="Consolas"/>
          <w:sz w:val="20"/>
          <w:szCs w:val="20"/>
        </w:rPr>
        <w:t xml:space="preserve">d_hat(x_i, k) = (k - 1) / sum_{j=1..k-1} log(T_k(x_i) / T_j(x_i))</w:t>
      </w:r>
    </w:p>
    <w:p>
      <w:pPr>
        <w:spacing w:after="40" w:line="240"/>
        <w:ind w:left="720"/>
      </w:pPr>
      <w:r>
        <w:rPr>
          <w:rFonts w:ascii="Consolas" w:cs="Consolas" w:eastAsia="Consolas" w:hAnsi="Consolas"/>
          <w:sz w:val="20"/>
          <w:szCs w:val="20"/>
        </w:rPr>
        <w:t xml:space="preserve">d_hat(k) = mean over all sample points of d_hat(x_i, k)</w:t>
      </w:r>
    </w:p>
    <w:p>
      <w:pPr>
        <w:spacing w:after="120" w:before="0" w:line="276"/>
        <w:jc w:val="both"/>
      </w:pPr>
      <w:r>
        <w:rPr>
          <w:rFonts w:ascii="Times New Roman" w:cs="Times New Roman" w:eastAsia="Times New Roman" w:hAnsi="Times New Roman"/>
          <w:sz w:val="22"/>
          <w:szCs w:val="22"/>
        </w:rPr>
        <w:t xml:space="preserve">Report d_hat for k in {5, 10, 20, 50} and stable across these k values. If d_hat varies substantially across k, the corpus does not exhibit a clean low-dimensional manifold structure.</w:t>
      </w:r>
    </w:p>
    <w:p>
      <w:pPr>
        <w:pStyle w:val="Heading2"/>
        <w:spacing w:after="160" w:before="280"/>
      </w:pPr>
      <w:r>
        <w:rPr>
          <w:rFonts w:ascii="Times New Roman" w:cs="Times New Roman" w:eastAsia="Times New Roman" w:hAnsi="Times New Roman"/>
          <w:b/>
          <w:bCs/>
          <w:sz w:val="25"/>
          <w:szCs w:val="25"/>
        </w:rPr>
        <w:t xml:space="preserve">9.3 Validation against alternative estimators</w:t>
      </w:r>
    </w:p>
    <w:p>
      <w:pPr>
        <w:spacing w:after="120" w:before="0" w:line="276"/>
        <w:jc w:val="both"/>
      </w:pPr>
      <w:r>
        <w:rPr>
          <w:rFonts w:ascii="Times New Roman" w:cs="Times New Roman" w:eastAsia="Times New Roman" w:hAnsi="Times New Roman"/>
          <w:sz w:val="22"/>
          <w:szCs w:val="22"/>
        </w:rPr>
        <w:t xml:space="preserve">Cross-check with at least one alternative:</w:t>
      </w:r>
    </w:p>
    <w:p>
      <w:pPr>
        <w:pStyle w:val="ListParagraph"/>
        <w:numPr>
          <w:ilvl w:val="0"/>
          <w:numId w:val="2"/>
        </w:numPr>
        <w:spacing w:after="80" w:line="276"/>
      </w:pPr>
      <w:r>
        <w:rPr>
          <w:rFonts w:ascii="Times New Roman" w:cs="Times New Roman" w:eastAsia="Times New Roman" w:hAnsi="Times New Roman"/>
          <w:sz w:val="22"/>
          <w:szCs w:val="22"/>
        </w:rPr>
        <w:t xml:space="preserve">Correlation dimension via the Grassberger-Procaccia algorithm.</w:t>
      </w:r>
    </w:p>
    <w:p>
      <w:pPr>
        <w:pStyle w:val="ListParagraph"/>
        <w:numPr>
          <w:ilvl w:val="0"/>
          <w:numId w:val="2"/>
        </w:numPr>
        <w:spacing w:after="80" w:line="276"/>
      </w:pPr>
      <w:r>
        <w:rPr>
          <w:rFonts w:ascii="Times New Roman" w:cs="Times New Roman" w:eastAsia="Times New Roman" w:hAnsi="Times New Roman"/>
          <w:sz w:val="22"/>
          <w:szCs w:val="22"/>
        </w:rPr>
        <w:t xml:space="preserve">Persistent homology dimension via the persistent-homology approach (Bubenik 2015 or similar).</w:t>
      </w:r>
    </w:p>
    <w:p>
      <w:pPr>
        <w:pStyle w:val="ListParagraph"/>
        <w:numPr>
          <w:ilvl w:val="0"/>
          <w:numId w:val="2"/>
        </w:numPr>
        <w:spacing w:after="80" w:line="276"/>
      </w:pPr>
      <w:r>
        <w:rPr>
          <w:rFonts w:ascii="Times New Roman" w:cs="Times New Roman" w:eastAsia="Times New Roman" w:hAnsi="Times New Roman"/>
          <w:sz w:val="22"/>
          <w:szCs w:val="22"/>
        </w:rPr>
        <w:t xml:space="preserve">Two-NN dimension estimator (Facco et al. 2017).</w:t>
      </w:r>
    </w:p>
    <w:p>
      <w:pPr>
        <w:spacing w:after="120" w:before="0" w:line="276"/>
        <w:jc w:val="both"/>
      </w:pPr>
      <w:r>
        <w:rPr>
          <w:rFonts w:ascii="Times New Roman" w:cs="Times New Roman" w:eastAsia="Times New Roman" w:hAnsi="Times New Roman"/>
          <w:sz w:val="22"/>
          <w:szCs w:val="22"/>
        </w:rPr>
        <w:t xml:space="preserve">Report agreement or disagreement among estimators. Strong disagreement (factor of 2 or more) indicates the corpus may not admit a manifold description; in that case Remark 5.7's quantification of TC does not transfer cleanly to that corpus.</w:t>
      </w:r>
    </w:p>
    <w:p>
      <w:r>
        <w:br w:type="page"/>
      </w:r>
    </w:p>
    <w:p>
      <w:pPr>
        <w:pStyle w:val="Heading1"/>
        <w:spacing w:after="200" w:before="360"/>
      </w:pPr>
      <w:r>
        <w:rPr>
          <w:rFonts w:ascii="Times New Roman" w:cs="Times New Roman" w:eastAsia="Times New Roman" w:hAnsi="Times New Roman"/>
          <w:b/>
          <w:bCs/>
          <w:sz w:val="28"/>
          <w:szCs w:val="28"/>
        </w:rPr>
        <w:t xml:space="preserve">10. Suggested execution order</w:t>
      </w:r>
    </w:p>
    <w:p>
      <w:pPr>
        <w:spacing w:after="120" w:before="0" w:line="276"/>
        <w:jc w:val="both"/>
      </w:pPr>
      <w:r>
        <w:rPr>
          <w:rFonts w:ascii="Times New Roman" w:cs="Times New Roman" w:eastAsia="Times New Roman" w:hAnsi="Times New Roman"/>
          <w:sz w:val="22"/>
          <w:szCs w:val="22"/>
        </w:rPr>
        <w:t xml:space="preserve">The experimental program has dependencies: reproducibility tests must pass before rate comparisons are meaningful, intrinsic-dimension estimates must precede the H3/H4 analysis, etc. The suggested order is:</w:t>
      </w:r>
    </w:p>
    <w:p>
      <w:pPr>
        <w:pStyle w:val="Heading3"/>
        <w:spacing w:after="120" w:before="200"/>
      </w:pPr>
      <w:r>
        <w:rPr>
          <w:rFonts w:ascii="Times New Roman" w:cs="Times New Roman" w:eastAsia="Times New Roman" w:hAnsi="Times New Roman"/>
          <w:b/>
          <w:bCs/>
          <w:i/>
          <w:iCs/>
          <w:sz w:val="22"/>
          <w:szCs w:val="22"/>
        </w:rPr>
        <w:t xml:space="preserve">Phase 1: implementation and reproducibility (weeks 1–3)</w:t>
      </w:r>
    </w:p>
    <w:p>
      <w:pPr>
        <w:pStyle w:val="ListParagraph"/>
        <w:numPr>
          <w:ilvl w:val="0"/>
          <w:numId w:val="2"/>
        </w:numPr>
        <w:spacing w:after="80" w:line="276"/>
      </w:pPr>
      <w:r>
        <w:rPr>
          <w:rFonts w:ascii="Times New Roman" w:cs="Times New Roman" w:eastAsia="Times New Roman" w:hAnsi="Times New Roman"/>
          <w:sz w:val="22"/>
          <w:szCs w:val="22"/>
        </w:rPr>
        <w:t xml:space="preserve">Build reference implementations of all RNR variants meeting Theorem 10.1 conditions.</w:t>
      </w:r>
    </w:p>
    <w:p>
      <w:pPr>
        <w:pStyle w:val="ListParagraph"/>
        <w:numPr>
          <w:ilvl w:val="0"/>
          <w:numId w:val="2"/>
        </w:numPr>
        <w:spacing w:after="80" w:line="276"/>
      </w:pPr>
      <w:r>
        <w:rPr>
          <w:rFonts w:ascii="Times New Roman" w:cs="Times New Roman" w:eastAsia="Times New Roman" w:hAnsi="Times New Roman"/>
          <w:sz w:val="22"/>
          <w:szCs w:val="22"/>
        </w:rPr>
        <w:t xml:space="preserve">Run H8 conformance test. Iterate until all platforms produce byte-identical archives.</w:t>
      </w:r>
    </w:p>
    <w:p>
      <w:pPr>
        <w:pStyle w:val="ListParagraph"/>
        <w:numPr>
          <w:ilvl w:val="0"/>
          <w:numId w:val="2"/>
        </w:numPr>
        <w:spacing w:after="80" w:line="276"/>
      </w:pPr>
      <w:r>
        <w:rPr>
          <w:rFonts w:ascii="Times New Roman" w:cs="Times New Roman" w:eastAsia="Times New Roman" w:hAnsi="Times New Roman"/>
          <w:sz w:val="22"/>
          <w:szCs w:val="22"/>
        </w:rPr>
        <w:t xml:space="preserve">Build adaptive-mode variants with compatible optimizers and run H9.</w:t>
      </w:r>
    </w:p>
    <w:p>
      <w:pPr>
        <w:pStyle w:val="Heading3"/>
        <w:spacing w:after="120" w:before="200"/>
      </w:pPr>
      <w:r>
        <w:rPr>
          <w:rFonts w:ascii="Times New Roman" w:cs="Times New Roman" w:eastAsia="Times New Roman" w:hAnsi="Times New Roman"/>
          <w:b/>
          <w:bCs/>
          <w:i/>
          <w:iCs/>
          <w:sz w:val="22"/>
          <w:szCs w:val="22"/>
        </w:rPr>
        <w:t xml:space="preserve">Phase 2: information-theoretic measurements (weeks 4–6)</w:t>
      </w:r>
    </w:p>
    <w:p>
      <w:pPr>
        <w:pStyle w:val="ListParagraph"/>
        <w:numPr>
          <w:ilvl w:val="0"/>
          <w:numId w:val="2"/>
        </w:numPr>
        <w:spacing w:after="80" w:line="276"/>
      </w:pPr>
      <w:r>
        <w:rPr>
          <w:rFonts w:ascii="Times New Roman" w:cs="Times New Roman" w:eastAsia="Times New Roman" w:hAnsi="Times New Roman"/>
          <w:sz w:val="22"/>
          <w:szCs w:val="22"/>
        </w:rPr>
        <w:t xml:space="preserve">Estimate TC(D_N) and intrinsic dimension d for each corpus (H3, H4).</w:t>
      </w:r>
    </w:p>
    <w:p>
      <w:pPr>
        <w:pStyle w:val="ListParagraph"/>
        <w:numPr>
          <w:ilvl w:val="0"/>
          <w:numId w:val="2"/>
        </w:numPr>
        <w:spacing w:after="80" w:line="276"/>
      </w:pPr>
      <w:r>
        <w:rPr>
          <w:rFonts w:ascii="Times New Roman" w:cs="Times New Roman" w:eastAsia="Times New Roman" w:hAnsi="Times New Roman"/>
          <w:sz w:val="22"/>
          <w:szCs w:val="22"/>
        </w:rPr>
        <w:t xml:space="preserve">Publish the estimates as a standalone artifact (pre-registration permits early publication of corpus characterization).</w:t>
      </w:r>
    </w:p>
    <w:p>
      <w:pPr>
        <w:pStyle w:val="ListParagraph"/>
        <w:numPr>
          <w:ilvl w:val="0"/>
          <w:numId w:val="2"/>
        </w:numPr>
        <w:spacing w:after="80" w:line="276"/>
      </w:pPr>
      <w:r>
        <w:rPr>
          <w:rFonts w:ascii="Times New Roman" w:cs="Times New Roman" w:eastAsia="Times New Roman" w:hAnsi="Times New Roman"/>
          <w:sz w:val="22"/>
          <w:szCs w:val="22"/>
        </w:rPr>
        <w:t xml:space="preserve">Estimate I(H ; L | C) for H6.</w:t>
      </w:r>
    </w:p>
    <w:p>
      <w:pPr>
        <w:pStyle w:val="Heading3"/>
        <w:spacing w:after="120" w:before="200"/>
      </w:pPr>
      <w:r>
        <w:rPr>
          <w:rFonts w:ascii="Times New Roman" w:cs="Times New Roman" w:eastAsia="Times New Roman" w:hAnsi="Times New Roman"/>
          <w:b/>
          <w:bCs/>
          <w:i/>
          <w:iCs/>
          <w:sz w:val="22"/>
          <w:szCs w:val="22"/>
        </w:rPr>
        <w:t xml:space="preserve">Phase 3: rate measurements (weeks 7–12)</w:t>
      </w:r>
    </w:p>
    <w:p>
      <w:pPr>
        <w:pStyle w:val="ListParagraph"/>
        <w:numPr>
          <w:ilvl w:val="0"/>
          <w:numId w:val="2"/>
        </w:numPr>
        <w:spacing w:after="80" w:line="276"/>
      </w:pPr>
      <w:r>
        <w:rPr>
          <w:rFonts w:ascii="Times New Roman" w:cs="Times New Roman" w:eastAsia="Times New Roman" w:hAnsi="Times New Roman"/>
          <w:sz w:val="22"/>
          <w:szCs w:val="22"/>
        </w:rPr>
        <w:t xml:space="preserve">Run all coder/corpus pairs at fixed predictor capacity. Apply the reporting template from Section 7.</w:t>
      </w:r>
    </w:p>
    <w:p>
      <w:pPr>
        <w:pStyle w:val="ListParagraph"/>
        <w:numPr>
          <w:ilvl w:val="0"/>
          <w:numId w:val="2"/>
        </w:numPr>
        <w:spacing w:after="80" w:line="276"/>
      </w:pPr>
      <w:r>
        <w:rPr>
          <w:rFonts w:ascii="Times New Roman" w:cs="Times New Roman" w:eastAsia="Times New Roman" w:hAnsi="Times New Roman"/>
          <w:sz w:val="22"/>
          <w:szCs w:val="22"/>
        </w:rPr>
        <w:t xml:space="preserve">H1 on text and code corpora.</w:t>
      </w:r>
    </w:p>
    <w:p>
      <w:pPr>
        <w:pStyle w:val="ListParagraph"/>
        <w:numPr>
          <w:ilvl w:val="0"/>
          <w:numId w:val="2"/>
        </w:numPr>
        <w:spacing w:after="80" w:line="276"/>
      </w:pPr>
      <w:r>
        <w:rPr>
          <w:rFonts w:ascii="Times New Roman" w:cs="Times New Roman" w:eastAsia="Times New Roman" w:hAnsi="Times New Roman"/>
          <w:sz w:val="22"/>
          <w:szCs w:val="22"/>
        </w:rPr>
        <w:t xml:space="preserve">H2 on structured binary corpora.</w:t>
      </w:r>
    </w:p>
    <w:p>
      <w:pPr>
        <w:pStyle w:val="ListParagraph"/>
        <w:numPr>
          <w:ilvl w:val="0"/>
          <w:numId w:val="2"/>
        </w:numPr>
        <w:spacing w:after="80" w:line="276"/>
      </w:pPr>
      <w:r>
        <w:rPr>
          <w:rFonts w:ascii="Times New Roman" w:cs="Times New Roman" w:eastAsia="Times New Roman" w:hAnsi="Times New Roman"/>
          <w:sz w:val="22"/>
          <w:szCs w:val="22"/>
        </w:rPr>
        <w:t xml:space="preserve">H5 on heterogeneous corpora (after composition implementation is complete).</w:t>
      </w:r>
    </w:p>
    <w:p>
      <w:pPr>
        <w:pStyle w:val="ListParagraph"/>
        <w:numPr>
          <w:ilvl w:val="0"/>
          <w:numId w:val="2"/>
        </w:numPr>
        <w:spacing w:after="80" w:line="276"/>
      </w:pPr>
      <w:r>
        <w:rPr>
          <w:rFonts w:ascii="Times New Roman" w:cs="Times New Roman" w:eastAsia="Times New Roman" w:hAnsi="Times New Roman"/>
          <w:sz w:val="22"/>
          <w:szCs w:val="22"/>
        </w:rPr>
        <w:t xml:space="preserve">H6 cross-checks (rate gain in Type-III-B against measured I(H ; L | C)).</w:t>
      </w:r>
    </w:p>
    <w:p>
      <w:pPr>
        <w:pStyle w:val="ListParagraph"/>
        <w:numPr>
          <w:ilvl w:val="0"/>
          <w:numId w:val="2"/>
        </w:numPr>
        <w:spacing w:after="80" w:line="276"/>
      </w:pPr>
      <w:r>
        <w:rPr>
          <w:rFonts w:ascii="Times New Roman" w:cs="Times New Roman" w:eastAsia="Times New Roman" w:hAnsi="Times New Roman"/>
          <w:sz w:val="22"/>
          <w:szCs w:val="22"/>
        </w:rPr>
        <w:t xml:space="preserve">H7 on image corpora (bits-back over VAE).</w:t>
      </w:r>
    </w:p>
    <w:p>
      <w:pPr>
        <w:pStyle w:val="ListParagraph"/>
        <w:numPr>
          <w:ilvl w:val="0"/>
          <w:numId w:val="2"/>
        </w:numPr>
        <w:spacing w:after="80" w:line="276"/>
      </w:pPr>
      <w:r>
        <w:rPr>
          <w:rFonts w:ascii="Times New Roman" w:cs="Times New Roman" w:eastAsia="Times New Roman" w:hAnsi="Times New Roman"/>
          <w:sz w:val="22"/>
          <w:szCs w:val="22"/>
        </w:rPr>
        <w:t xml:space="preserve">H10 and H11 random-access scaling tests, run after H1 through H7 confirm baseline encoder correctness. Cover at least three archive sizes (100 MiB, 10 GiB, 100 GiB) with 1000 random-access samples each.</w:t>
      </w:r>
    </w:p>
    <w:p>
      <w:pPr>
        <w:pStyle w:val="Heading3"/>
        <w:spacing w:after="120" w:before="200"/>
      </w:pPr>
      <w:r>
        <w:rPr>
          <w:rFonts w:ascii="Times New Roman" w:cs="Times New Roman" w:eastAsia="Times New Roman" w:hAnsi="Times New Roman"/>
          <w:b/>
          <w:bCs/>
          <w:i/>
          <w:iCs/>
          <w:sz w:val="22"/>
          <w:szCs w:val="22"/>
        </w:rPr>
        <w:t xml:space="preserve">Phase 4: analysis and reporting (weeks 13–15)</w:t>
      </w:r>
    </w:p>
    <w:p>
      <w:pPr>
        <w:pStyle w:val="ListParagraph"/>
        <w:numPr>
          <w:ilvl w:val="0"/>
          <w:numId w:val="2"/>
        </w:numPr>
        <w:spacing w:after="80" w:line="276"/>
      </w:pPr>
      <w:r>
        <w:rPr>
          <w:rFonts w:ascii="Times New Roman" w:cs="Times New Roman" w:eastAsia="Times New Roman" w:hAnsi="Times New Roman"/>
          <w:sz w:val="22"/>
          <w:szCs w:val="22"/>
        </w:rPr>
        <w:t xml:space="preserve">Apply Holm-Bonferroni correction across all primary hypothesis tests.</w:t>
      </w:r>
    </w:p>
    <w:p>
      <w:pPr>
        <w:pStyle w:val="ListParagraph"/>
        <w:numPr>
          <w:ilvl w:val="0"/>
          <w:numId w:val="2"/>
        </w:numPr>
        <w:spacing w:after="80" w:line="276"/>
      </w:pPr>
      <w:r>
        <w:rPr>
          <w:rFonts w:ascii="Times New Roman" w:cs="Times New Roman" w:eastAsia="Times New Roman" w:hAnsi="Times New Roman"/>
          <w:sz w:val="22"/>
          <w:szCs w:val="22"/>
        </w:rPr>
        <w:t xml:space="preserve">Compile per-hypothesis verdicts and aggregate effect sizes.</w:t>
      </w:r>
    </w:p>
    <w:p>
      <w:pPr>
        <w:pStyle w:val="ListParagraph"/>
        <w:numPr>
          <w:ilvl w:val="0"/>
          <w:numId w:val="2"/>
        </w:numPr>
        <w:spacing w:after="80" w:line="276"/>
      </w:pPr>
      <w:r>
        <w:rPr>
          <w:rFonts w:ascii="Times New Roman" w:cs="Times New Roman" w:eastAsia="Times New Roman" w:hAnsi="Times New Roman"/>
          <w:sz w:val="22"/>
          <w:szCs w:val="22"/>
        </w:rPr>
        <w:t xml:space="preserve">Draft companion experimental paper for publication, with all data and code released as open artifacts.</w:t>
      </w:r>
    </w:p>
    <w:p>
      <w:pPr>
        <w:spacing w:after="120" w:before="0" w:line="276"/>
        <w:jc w:val="both"/>
      </w:pPr>
      <w:r>
        <w:rPr>
          <w:rFonts w:ascii="Times New Roman" w:cs="Times New Roman" w:eastAsia="Times New Roman" w:hAnsi="Times New Roman"/>
          <w:sz w:val="22"/>
          <w:szCs w:val="22"/>
        </w:rPr>
        <w:t xml:space="preserve">Total estimated duration: 15 weeks for one researcher, less with parallelism on implementation. The reproducibility tests in Phase 1 are the riskiest stage; they may take longer if conformance issues are subtle. Phases 2 and 3 run mostly automated once implementations are stable.</w:t>
      </w:r>
    </w:p>
    <w:p>
      <w:r>
        <w:br w:type="page"/>
      </w:r>
    </w:p>
    <w:p>
      <w:pPr>
        <w:pStyle w:val="Heading1"/>
        <w:spacing w:after="200" w:before="360"/>
      </w:pPr>
      <w:r>
        <w:rPr>
          <w:rFonts w:ascii="Times New Roman" w:cs="Times New Roman" w:eastAsia="Times New Roman" w:hAnsi="Times New Roman"/>
          <w:b/>
          <w:bCs/>
          <w:sz w:val="28"/>
          <w:szCs w:val="28"/>
        </w:rPr>
        <w:t xml:space="preserve">11. Risks and contingencies</w:t>
      </w:r>
    </w:p>
    <w:p>
      <w:pPr>
        <w:spacing w:after="120" w:before="0" w:line="276"/>
        <w:jc w:val="both"/>
      </w:pPr>
      <w:r>
        <w:rPr>
          <w:rFonts w:ascii="Times New Roman" w:cs="Times New Roman" w:eastAsia="Times New Roman" w:hAnsi="Times New Roman"/>
          <w:sz w:val="22"/>
          <w:szCs w:val="22"/>
        </w:rPr>
        <w:t xml:space="preserve">Anticipated risks and contingency plans:</w:t>
      </w:r>
    </w:p>
    <w:p>
      <w:pPr>
        <w:pStyle w:val="ListParagraph"/>
        <w:numPr>
          <w:ilvl w:val="0"/>
          <w:numId w:val="2"/>
        </w:numPr>
        <w:spacing w:after="80" w:line="276"/>
      </w:pPr>
      <w:r>
        <w:rPr>
          <w:rFonts w:ascii="Times New Roman" w:cs="Times New Roman" w:eastAsia="Times New Roman" w:hAnsi="Times New Roman"/>
          <w:sz w:val="22"/>
          <w:szCs w:val="22"/>
        </w:rPr>
        <w:t xml:space="preserve">Reproducibility may fail on RISC-V or Windows due to subtle integer-arithmetic differences (e.g., division rounding modes, shift behavior). Contingency: replace the failing operations with portable alternatives explicitly listed in the model description; if not feasible, restrict the conformance claim to a subset of platforms and document this in the failure analysis.</w:t>
      </w:r>
    </w:p>
    <w:p>
      <w:pPr>
        <w:pStyle w:val="ListParagraph"/>
        <w:numPr>
          <w:ilvl w:val="0"/>
          <w:numId w:val="2"/>
        </w:numPr>
        <w:spacing w:after="80" w:line="276"/>
      </w:pPr>
      <w:r>
        <w:rPr>
          <w:rFonts w:ascii="Times New Roman" w:cs="Times New Roman" w:eastAsia="Times New Roman" w:hAnsi="Times New Roman"/>
          <w:sz w:val="22"/>
          <w:szCs w:val="22"/>
        </w:rPr>
        <w:t xml:space="preserve">Predictor training may not converge under integer-arithmetic constraints. Contingency: train in floating point, then quantize to integer; verify post-quantization that the model still satisfies Theorem 10.1 conditions. Accept some predictor quality loss in exchange for reproducibility.</w:t>
      </w:r>
    </w:p>
    <w:p>
      <w:pPr>
        <w:pStyle w:val="ListParagraph"/>
        <w:numPr>
          <w:ilvl w:val="0"/>
          <w:numId w:val="2"/>
        </w:numPr>
        <w:spacing w:after="80" w:line="276"/>
      </w:pPr>
      <w:r>
        <w:rPr>
          <w:rFonts w:ascii="Times New Roman" w:cs="Times New Roman" w:eastAsia="Times New Roman" w:hAnsi="Times New Roman"/>
          <w:sz w:val="22"/>
          <w:szCs w:val="22"/>
        </w:rPr>
        <w:t xml:space="preserve">Manifold-hypothesis estimators may give inconsistent intrinsic dimensions on certain corpora. Contingency: report the disagreement honestly and label the corresponding corpus as outside Remark 5.7's predicted regime. The framework's conditional theorems are unaffected; only the empirical applicability for that corpus is in question.</w:t>
      </w:r>
    </w:p>
    <w:p>
      <w:pPr>
        <w:pStyle w:val="ListParagraph"/>
        <w:numPr>
          <w:ilvl w:val="0"/>
          <w:numId w:val="2"/>
        </w:numPr>
        <w:spacing w:after="80" w:line="276"/>
      </w:pPr>
      <w:r>
        <w:rPr>
          <w:rFonts w:ascii="Times New Roman" w:cs="Times New Roman" w:eastAsia="Times New Roman" w:hAnsi="Times New Roman"/>
          <w:sz w:val="22"/>
          <w:szCs w:val="22"/>
        </w:rPr>
        <w:t xml:space="preserve">Bits-back implementation may have variational-training instabilities (typical for VAE-style training). Contingency: use a published Bit-Swap or HiLLoC reference implementation as the RNR-III-C-V baseline rather than training from scratch; this measures the framework integration, not the variational fit.</w:t>
      </w:r>
    </w:p>
    <w:p>
      <w:pPr>
        <w:pStyle w:val="ListParagraph"/>
        <w:numPr>
          <w:ilvl w:val="0"/>
          <w:numId w:val="2"/>
        </w:numPr>
        <w:spacing w:after="80" w:line="276"/>
      </w:pPr>
      <w:r>
        <w:rPr>
          <w:rFonts w:ascii="Times New Roman" w:cs="Times New Roman" w:eastAsia="Times New Roman" w:hAnsi="Times New Roman"/>
          <w:sz w:val="22"/>
          <w:szCs w:val="22"/>
        </w:rPr>
        <w:t xml:space="preserve">Predictor cost L(M) may dominate rate at small block sizes, masking the structural advantages of each Type. Contingency: report rates separately at multiple total-archive sizes (10 MB, 100 MB, 1 GB) so amortization is visible.</w:t>
      </w:r>
    </w:p>
    <w:p>
      <w:r>
        <w:br w:type="page"/>
      </w:r>
    </w:p>
    <w:p>
      <w:pPr>
        <w:pStyle w:val="Heading1"/>
        <w:spacing w:after="200" w:before="360"/>
      </w:pPr>
      <w:r>
        <w:rPr>
          <w:rFonts w:ascii="Times New Roman" w:cs="Times New Roman" w:eastAsia="Times New Roman" w:hAnsi="Times New Roman"/>
          <w:b/>
          <w:bCs/>
          <w:sz w:val="28"/>
          <w:szCs w:val="28"/>
        </w:rPr>
        <w:t xml:space="preserve">12. Open artifacts</w:t>
      </w:r>
    </w:p>
    <w:p>
      <w:pPr>
        <w:spacing w:after="120" w:before="0" w:line="276"/>
        <w:jc w:val="both"/>
      </w:pPr>
      <w:r>
        <w:rPr>
          <w:rFonts w:ascii="Times New Roman" w:cs="Times New Roman" w:eastAsia="Times New Roman" w:hAnsi="Times New Roman"/>
          <w:sz w:val="22"/>
          <w:szCs w:val="22"/>
        </w:rPr>
        <w:t xml:space="preserve">To support independent verification, the experimental program commits to publishing:</w:t>
      </w:r>
    </w:p>
    <w:p>
      <w:pPr>
        <w:pStyle w:val="ListParagraph"/>
        <w:numPr>
          <w:ilvl w:val="0"/>
          <w:numId w:val="2"/>
        </w:numPr>
        <w:spacing w:after="80" w:line="276"/>
      </w:pPr>
      <w:r>
        <w:rPr>
          <w:rFonts w:ascii="Times New Roman" w:cs="Times New Roman" w:eastAsia="Times New Roman" w:hAnsi="Times New Roman"/>
          <w:sz w:val="22"/>
          <w:szCs w:val="22"/>
        </w:rPr>
        <w:t xml:space="preserve">All RNR reference implementations under a permissive license.</w:t>
      </w:r>
    </w:p>
    <w:p>
      <w:pPr>
        <w:pStyle w:val="ListParagraph"/>
        <w:numPr>
          <w:ilvl w:val="0"/>
          <w:numId w:val="2"/>
        </w:numPr>
        <w:spacing w:after="80" w:line="276"/>
      </w:pPr>
      <w:r>
        <w:rPr>
          <w:rFonts w:ascii="Times New Roman" w:cs="Times New Roman" w:eastAsia="Times New Roman" w:hAnsi="Times New Roman"/>
          <w:sz w:val="22"/>
          <w:szCs w:val="22"/>
        </w:rPr>
        <w:t xml:space="preserve">Pre-registration document with hypothesis list and analysis plan, timestamped before any run.</w:t>
      </w:r>
    </w:p>
    <w:p>
      <w:pPr>
        <w:pStyle w:val="ListParagraph"/>
        <w:numPr>
          <w:ilvl w:val="0"/>
          <w:numId w:val="2"/>
        </w:numPr>
        <w:spacing w:after="80" w:line="276"/>
      </w:pPr>
      <w:r>
        <w:rPr>
          <w:rFonts w:ascii="Times New Roman" w:cs="Times New Roman" w:eastAsia="Times New Roman" w:hAnsi="Times New Roman"/>
          <w:sz w:val="22"/>
          <w:szCs w:val="22"/>
        </w:rPr>
        <w:t xml:space="preserve">Corpus manifests with SHA-256 hashes and provenance URLs.</w:t>
      </w:r>
    </w:p>
    <w:p>
      <w:pPr>
        <w:pStyle w:val="ListParagraph"/>
        <w:numPr>
          <w:ilvl w:val="0"/>
          <w:numId w:val="2"/>
        </w:numPr>
        <w:spacing w:after="80" w:line="276"/>
      </w:pPr>
      <w:r>
        <w:rPr>
          <w:rFonts w:ascii="Times New Roman" w:cs="Times New Roman" w:eastAsia="Times New Roman" w:hAnsi="Times New Roman"/>
          <w:sz w:val="22"/>
          <w:szCs w:val="22"/>
        </w:rPr>
        <w:t xml:space="preserve">All raw measurement outputs (per-block rates, timings, memory profiles) in a machine-readable format.</w:t>
      </w:r>
    </w:p>
    <w:p>
      <w:pPr>
        <w:pStyle w:val="ListParagraph"/>
        <w:numPr>
          <w:ilvl w:val="0"/>
          <w:numId w:val="2"/>
        </w:numPr>
        <w:spacing w:after="80" w:line="276"/>
      </w:pPr>
      <w:r>
        <w:rPr>
          <w:rFonts w:ascii="Times New Roman" w:cs="Times New Roman" w:eastAsia="Times New Roman" w:hAnsi="Times New Roman"/>
          <w:sz w:val="22"/>
          <w:szCs w:val="22"/>
        </w:rPr>
        <w:t xml:space="preserve">Statistical analysis scripts used to produce the reported confidence intervals.</w:t>
      </w:r>
    </w:p>
    <w:p>
      <w:pPr>
        <w:pStyle w:val="ListParagraph"/>
        <w:numPr>
          <w:ilvl w:val="0"/>
          <w:numId w:val="2"/>
        </w:numPr>
        <w:spacing w:after="80" w:line="276"/>
      </w:pPr>
      <w:r>
        <w:rPr>
          <w:rFonts w:ascii="Times New Roman" w:cs="Times New Roman" w:eastAsia="Times New Roman" w:hAnsi="Times New Roman"/>
          <w:sz w:val="22"/>
          <w:szCs w:val="22"/>
        </w:rPr>
        <w:t xml:space="preserve">Final paper drafts, including any negative or inconclusive results, even those that falsify framework hypotheses.</w:t>
      </w:r>
    </w:p>
    <w:p>
      <w:pPr>
        <w:spacing w:after="120" w:before="0" w:line="276"/>
        <w:jc w:val="both"/>
      </w:pPr>
      <w:r>
        <w:rPr>
          <w:rFonts w:ascii="Times New Roman" w:cs="Times New Roman" w:eastAsia="Times New Roman" w:hAnsi="Times New Roman"/>
          <w:sz w:val="22"/>
          <w:szCs w:val="22"/>
        </w:rPr>
        <w:t xml:space="preserve">Failed-hypothesis publication is a hard commitment: a result that falsifies H1, H2, H5, H6, or H7 is published with the same rigor as a confirming result. The framework's theorems are unaffected by such falsification; what they show is which conjectures about practical realization do not hold. This information is more valuable than another confirming paper because it identifies where the framework's predictions diverge from natural-data reality.</w:t>
      </w:r>
    </w:p>
    <w:p>
      <w:r>
        <w:br w:type="page"/>
      </w:r>
    </w:p>
    <w:p>
      <w:pPr>
        <w:pStyle w:val="Heading1"/>
        <w:spacing w:after="200" w:before="360"/>
      </w:pPr>
      <w:r>
        <w:rPr>
          <w:rFonts w:ascii="Times New Roman" w:cs="Times New Roman" w:eastAsia="Times New Roman" w:hAnsi="Times New Roman"/>
          <w:b/>
          <w:bCs/>
          <w:sz w:val="28"/>
          <w:szCs w:val="28"/>
        </w:rPr>
        <w:t xml:space="preserve">13. Closing</w:t>
      </w:r>
    </w:p>
    <w:p>
      <w:pPr>
        <w:spacing w:after="120" w:before="0" w:line="276"/>
        <w:jc w:val="both"/>
      </w:pPr>
      <w:r>
        <w:rPr>
          <w:rFonts w:ascii="Times New Roman" w:cs="Times New Roman" w:eastAsia="Times New Roman" w:hAnsi="Times New Roman"/>
          <w:sz w:val="22"/>
          <w:szCs w:val="22"/>
        </w:rPr>
        <w:t xml:space="preserve">This document is an executable scaffolding, not a research result. Following it produces measurements that resolve every empirical conjecture made by the main RNR Coding paper. The combination of pre-registration, open artifacts, and explicit falsification criteria makes the resulting experimental paper falsifiable by independent replication. Whatever the outcome, the framework's theoretical content (the 17 numbered results in v0.5) is unchanged; the empirical paper says only how well the framework's conditional predictions match natural-data reality.</w:t>
      </w:r>
    </w:p>
    <w:p>
      <w:pPr>
        <w:spacing w:after="120" w:before="0" w:line="276"/>
        <w:jc w:val="both"/>
      </w:pPr>
      <w:r>
        <w:rPr>
          <w:rFonts w:ascii="Times New Roman" w:cs="Times New Roman" w:eastAsia="Times New Roman" w:hAnsi="Times New Roman"/>
          <w:sz w:val="22"/>
          <w:szCs w:val="22"/>
        </w:rPr>
        <w:t xml:space="preserve">Two ways to read this document. As a research plan: it tells you what to build, what to measure, and what to publish, in what order. As a defense: it shows a reviewer that the main paper's empirical conjectures are accompanied by a concrete falsification procedure, which is the only honest way to handle theory-only papers that make quantitative predictions about real data.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sz w:val="25"/>
      <w:szCs w:val="25"/>
    </w:rPr>
  </w:style>
  <w:style w:type="paragraph" w:styleId="Heading3">
    <w:name w:val="Heading 3"/>
    <w:basedOn w:val="Normal"/>
    <w:next w:val="Normal"/>
    <w:qFormat/>
    <w:pPr>
      <w:spacing w:after="120" w:before="200"/>
      <w:outlineLvl w:val="2"/>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RNR Coding — Experimental Design Companion</dc:title>
  <dc:creator>Pavlo Ratushnyi</dc:creator>
  <dc:description>Empirical validation plan for the RNR Coding framework.</dc:description>
  <cp:lastModifiedBy>Un-named</cp:lastModifiedBy>
  <cp:revision>1</cp:revision>
  <dcterms:created xsi:type="dcterms:W3CDTF">2026-05-16T00:46:13.974Z</dcterms:created>
  <dcterms:modified xsi:type="dcterms:W3CDTF">2026-05-16T00:46:13.975Z</dcterms:modified>
</cp:coreProperties>
</file>

<file path=docProps/custom.xml><?xml version="1.0" encoding="utf-8"?>
<Properties xmlns="http://schemas.openxmlformats.org/officeDocument/2006/custom-properties" xmlns:vt="http://schemas.openxmlformats.org/officeDocument/2006/docPropsVTypes"/>
</file>