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RNR Coding — Summary of Formal Results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Companion to main paper, v0.7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Pavlo Ratushnyi — May 2026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Purpose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document collects all formal results of the RNR Coding framework in one place, with a one-line statement, a one-line proof sketch, and a one-line interpretation per result. Use it for talk preparation, defense rehearsal, or as a quick-reference card when answering reviewer questions. Section numbers refer to the main paper.</w:t>
      </w:r>
    </w:p>
    <w:p>
      <w:pPr>
        <w:spacing w:after="12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Notation reminder</w:t>
      </w:r>
    </w:p>
    <w:p>
      <w:pPr>
        <w:spacing w:after="80" w:line="260"/>
        <w:ind w:left="36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X: source block. Y = M(C): decoder-reproducible side information from public context C. Q: predicted probability field. U: predicted uncertainty/repair-cost field. R: repair stream. L(·): bit length. H(·): Shannon entropy. TC: total correlation (multi-information). eps_n: entropy-coder redundancy.</w:t>
      </w:r>
    </w:p>
    <w:p>
      <w:r>
        <w:br w:type="page"/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4 — Type-I: Stream Repair Coding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4.1 (Type-I achievability) — [achievability]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E[L_I(X)] &lt;= L(M_I) + N * H(P_E) + N * ell_cond + eps_N + L(V) + L(Theta), where P_E is the empirical Code12 error-mask class distribution.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Direct composition of class entropy (Shannon-coding bound on the mask classes), within-class payload cost, and constant overheads.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Establishes that Type-I attains conditional source-coding rate plus O(1) overhead, modulo the entropy-coder redundancy. Cite when claiming Type-I is asymptotically competitive.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4.2 (Type-I converse) — [lower bound]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E[L(C(X) | Y)] &gt;= H(X | Y) for any uniquely decodable code with deterministic decoder reproducing Y.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Shannon's noiseless source coding applied to the conditional distribution P(X | Y).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Pairs with Theorem 4.1: the achievability bound is order-optimal. No coder using only Y can do better than H(X | Y). When pressed on "could you do better than this rate?" the answer is: no, by this converse.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4.3 (Optimal E_12 NP-hard) — [complexity]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Choosing E_12 to minimize expected Hamming weight of c XOR c_hat under a given confusion matrix F is NP-hard in |F|.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Reduction from QAP: F becomes the flow matrix, Hamming distance on {0,1}^12 becomes the distance matrix. QAP is NP-hard (Sahni-Gonzalez 1976).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Justifies using approximation algorithms in practice (gradient relaxation, simulated annealing). Rules out hope for a general-purpose polynomial-time exact solver.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4.4 (E_12 inapproximability) — [strong complexity]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any constant alpha &gt; 1, no polynomial-time alpha-approximation for optimal E_12 exists unless P = NP.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QAP reduction in 4.3 is gap-preserving; Sahni-Gonzalez established no constant-factor PTAS for QAP unless P = NP. Inapproximability transfers.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Strengthens 4.3: even loose approximations are intractable. Defends the empirical, heuristic-based choice of E_12 variants in any practical implementation.</w:t>
      </w:r>
    </w:p>
    <w:p>
      <w:pPr>
        <w:spacing w:after="20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5 — Type-II: Positional Symbol Coding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Lemma 5.1 (factorized equivalence) — [equivalence]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Under the factorized regime, per-position arithmetic coding under Q and per-position Type-I arithmetic coding under the equivalent sequential conditional Q are bit-equivalent.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Both coders are arithmetic coders driven by the same probability vector at each position; redundancy is the constant eps_N.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Shows that factorized Type-II is not operationally distinct from Type-I. The interesting Type-II case is non-factorized, which Theorem 5.4 then exhibits.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5.2 (multinomial baseline) — [combinatorial bound]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number of valid 16-way partitions of {1,...,N} with given counts is the multinomial M(N; k_0,...,k_15); enumerative coding describes a partition in log_2 M bits.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Combinatorial counting: partitions correspond bijectively to multiset labelings.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correct baseline for positional coding. Earlier drafts used a looser sum-of-binomials baseline that overstated gains; this is the v0.3 correction.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5.3 (support-set advantage with escape) — [achievability]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If the predictor supplies candidate supports S_v with alpha_v escapes, the partition cost is at most sum_v [log_2 C(s_v, k_v - alpha_v) + log_2 C(N - s_v, alpha_v)] + L(counts) + eps_N.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Decompose M_v as the disjoint union M_v intersect S_v plus M_v minus S_v; encode each by enumerative rank.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Quantifies the gain from predicted support information with explicit escape cost. Lets a reviewer see exactly what the predictor must achieve for Type-II to win.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5.4 (semi-non-factorized separation, linear-code form) — [separation]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There exists a distribution D_N over A_16^N (uniform marginals, image of a 4N-to-(4-c)N linear code) such that any factorized arithmetic coder pays &gt;= 4N bits while a semi-non-factorized Type-II coder achieves (4-c)N + O(log N) bits. Separation is Theta(N).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Linear-code construction over GF(2): generator matrix with non-trivial bits at every position yields exactly uniform marginals; membership in the codeword set fits in (4-c)N bits.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Settles whether semi-non-factorized Type-II genuinely beats Type-I: yes, by Theta(N) bits in the worst case. Strongest separation result in the paper.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Proposition 5.5 (optimal support is a Q-prefix; arithmetic coding is the limit) — [optimization]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optimal S_v is the top-s_v* prefix of positions sorted by Q_v(i); support-set coding is strictly more expensive than per-position arithmetic coding under the same Q, unless Q is binary.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Swap argument for the prefix structure; data-processing inequality for the arithmetic-coding lower bound.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Resolves the support-threshold design question. For real-valued Q, use arithmetic coding directly; reserve support coding for hard-candidate-set predictors.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5.6 (multi-information separation, general source) — [separation, general]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any source D_N, factorized-vs-joint separation equals the total correlation TC(D_N) = sum_i H_marg(X_i) - H(D_N).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Both rates are Shannon-optimal for their respective coders; their difference is TC by definition.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Generalizes 5.4 from the linear-code construction to arbitrary sources. The right unifying object for understanding when Type-II wins is total correlation.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Remark 5.7 (manifold-hypothesis quantification of TC) — [conditional quantitative claim]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Under the manifold hypothesis (natural data has intrinsic dimension d much less than ambient N), TC(D_N) = Theta(N) - O(d log N), supported by published intrinsic-dimension estimates for images, text, and structured records.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Combination of Theorem 5.6 with empirical intrinsic-dimension results from Carlsson et al., Levina-Bickel, Tenenbaum et al.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Bridges the conditional theorem to natural data. Use when a reviewer asks why the framework is relevant beyond contrived families.</w:t>
      </w:r>
    </w:p>
    <w:p>
      <w:r>
        <w:br w:type="page"/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 6 — Type-III: Tensor Entropy-Field Coding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6.1 (approximate-oracle mode selection) — [upper bound]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If |U_m(t) - L_m(t)| &lt;= eps_t for all m, then L_{m_hat(t)}(t) &lt;= L_{m_star(t)}(t) + 2*eps_t, where m_hat is the predicted argmin and m_star the oracle argmin.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Three triangle-inequality steps over the prediction error bound and the definition of argmin.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Defends Type-III-A composition: a calibrated U lets the framework approach oracle mode selection. The 2*eps factor is the key constant.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6.4 (2*eps bound is tight) — [matching lower bound]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any eps &gt; 0 and delta &gt; 0, an adversarial two-mode configuration achieves L_{m_hat} &gt;= L_{m_star} + 2*eps - delta.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Construct L_1 = delta/2, L_2 = 2*eps - delta/2, U_1 = delta/2 + eps, U_2 = eps - delta/2; the argmin selects the inferior mode by exactly 2*eps - delta.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Pairs with 6.1: the 2*eps factor cannot be improved without additional assumptions on the predictor's error structure.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6.2 (byte-tensor mutual information advantage) — [achievability]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Byte-tensor coding's advantage over independent nibble coding equals I(H ; L | C), the conditional mutual information between high and low nibbles given context.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Chain rule of entropy: H(H,L|C) = H(H|C) + H(L|H,C); difference from independent coding is exactly I(H;L|C).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Quantifies exactly when Type-III-B wins. Use when a reviewer asks: "what does joint byte modeling actually buy you?"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6.5 (hierarchical decomposition is invariant) — [invariance]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Any rooted binary tree decomposition of the 256-byte alphabet, used as the order of conditional encoding, achieves expected length H(B|C). The tree shape does not affect the rate.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Chain rule of entropy is path-independent: reordering conditional entropies along any spanning tree gives the same sum H(B|C).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choice between high-low, low-high, or arbitrary tree decompositions is a calibration question, not a rate question. Information-theoretically free.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6.3 (MDL token admission) — [optimization criterion]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Token tau is admitted to the dictionary iff f * [8*ell - code_cost(tau)] &gt; dictionary_cost(tau) + parse_overhead(tau).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Net code-length change from adding tau is the LHS minus RHS; tau saves bits iff this is positive.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Standard MDL admission rule, placed in the framework to make explicit that not every byte pattern earns dictionary status.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6.6 (bits-back integration) — [equivalence with KL accounting]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Under bits-back ANS, the Type-III-C repair length L(R | Y) = L_prior(z|Y) + L_cond(X|z,Y) - L_aux(z) satisfies E[L(R|Y)] = H(X|Y) + KL(q || P_posterior).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Three-stream accounting: encode latent z under prior, data under conditional, recover auxiliary bits used to sample z under q; expectation reduces via joint factorization to marginal H(X|Y) plus posterior KL.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Fits bits-back coding into the framework with no overclaim. When q matches the posterior, rate equals the Slepian-Wolf bound. Cites BB-ANS and Bit-Swap.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6.7 (joint dictionary + predictor NP-hard) — [complexity]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Joint dictionary-and-predictor learning is NP-hard, even when M is fixed to the trivial constant predictor.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Reduction from the Smallest Grammar Problem (Charikar et al. 2005): each grammar non-terminal corresponds to a dictionary token; MDL admission corresponds to grammar-rule selection.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Defends the heuristic nature of practical dictionary learning (BPE, MDL-greedy). Optimal learning is not achievable in polynomial time.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6.8 (joint dictionary inapproximable) — [strong complexity]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Joint dictionary-and-predictor learning is APX-hard. An explicit inapproximability constant gamma &gt; 1 follows from the Charikar et al. SGP bound.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SGP reduction in 6.7 is gap-preserving; Charikar et al. proved SGP has an explicit APX-hardness constant.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Strengthens 6.7: even constant-factor approximation is hard. Pairs with 4.4 to give the framework a complete complexity classification of its two NP-hard problems.</w:t>
      </w:r>
    </w:p>
    <w:p>
      <w:r>
        <w:br w:type="page"/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Sections 7–10 — Composition, hardness, verification, reproducibility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7.1 (composition correctness) — [construction]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Type-III-A composition with mode set M and deterministic m_hat = argmin_m U_m(t) produces a uniquely decodable codeword for X.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Each step in the decoding pipeline (metadata read, U reconstruction, m_hat recovery, per-tile repair decoding) is uniquely determined.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Establishes that the framework's hierarchical composition is well-formed. No ambiguity in the decoding pipeline.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8.1 (no universal dominance) — [impossibility]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No injective map from {0,1}^n to binary strings of length less than n assigns every length-n input a strictly shorter codeword.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Pigeonhole: 2^n inputs, only 2^n - 1 shorter binary strings exist.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Standard. Included to fix the honest claim: RNR is conditionally, not universally, advantageous.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9.1 (no cross-subblock error propagation) — [safety guarantee]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If verification H_v is a cryptographic hash, the probability that an incorrect decoded subblock is used to update the next-block context is at most the collision probability delta.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Context-update rule is conditional on hash match; mismatch with delta-collision-resistant hash is delta-rare.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Defends autoregressive correctness. With a 64-bit truncated SHA-256, delta is approximately 2^-64; cross-block error propagation is operationally impossible.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10.1 (bit-exact forward pass) — [reproducibility]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Under (i) integer arithmetic with sufficient bit-width, (ii) deterministic non-linearity tables, (iii) fixed reduction order, M(C) is bit-identical across any pair of conforming implementations.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Integer arithmetic has no platform variance; deterministic tables and fixed order eliminate associativity and selection issues; induction on layer depth completes the proof.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Reduces the reproducibility question to a conformance specification. Required for any deployable lossless RNR codec.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10.1 (compatible online optimizer) — [definition]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 online optimizer is compatible if its state is integer-valued, its update is a deterministic integer-to-integer function, and any non-integer operations are replaced by deterministic integer approximations.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Direct definition specifying integer-state, integer-update, and integer-approximation requirements.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Names the class of optimizers that admit bit-exact reproduction. Published examples: integer SGD, signSGD, integer Adam.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10.2 (bit-exact adaptive predictors) — [reproducibility, adaptive]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If M satisfies Theorem 10.1 and adaptation uses a compatible online optimizer with deterministic integer backpropagation and pinned subblock order, then the encoder and decoder's parameter states are bit-identical at every adaptation step.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Induction on adaptation step: bit-identical state plus bit-identical gradient plus deterministic integer-to-integer update yields bit-identical next state. Verified subblocks (Theorem 9.1) ensure inputs match.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Extends 10.1 to online-adaptive predictors. With published low-precision-training methods, online adaptation is theoretically reproducible; the engineering work is to pick a specific compatible optimizer.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10.2 (W-bounded predictor) — [definition]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M is W-bounded if M(C_i) depends only on the previous W bytes of public context.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Architectural condition: satisfied by transformers with fixed context window, n-gram and finite-state models, any feedforward predictor with bounded receptive field. Not satisfied by RNNs, LSTMs, or state-space models.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Enables the random-access theorem. The bounded-context property is what makes seek-and-read work in time independent of archive size.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Definition 10.3 (Sync point) — [definition]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position P where the predictor's context is reset to a known initial value, with the encoder maintaining a seek index from sync point identifier to bit offset in R.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Construction: encoder inserts sync points every K positions and writes a per-sync index in the archive footer.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seek-and-read mechanism. Sync-point spacing K trades off random-access speed against the cold-context compression cost.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10.3 (random access in O(K + k) time) — [seek-and-read]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W-bounded M with sync points every K positions, random access to k bytes at any position N requires O(K + k) predictor evaluations, independent of N.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Binary-search the seek index for the nearest sync point P; decode forward from P to N + k; output the requested bytes. Cost: O(log(N/K)) seek plus K + k decode operations.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kill feature relative to other neural compressors. NNCP, PixelCNN++, and Bit-Swap require O(N) time per access; RNR achieves O(K + k) at less than 1% ratio overhead. Matches bgzip and zstd seekable for speed while preserving neural ratio.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10.4 (random access for non-W-bounded predictors) — [seek-and-read, general]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 non-W-bounded M (RNN, LSTM, state-space), random access requires storing M's full internal state at each sync point. Cost remains O((K + k) * cost(M)) per access; seek index grows by L(state) bits per sync point.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Augment each sync point with a serialized state snapshot; deserialize on seek; decode forward as in Theorem 10.3.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Quantifies the deployment penalty of using recurrent predictors. For LSTM with d = 1024, snapshots add roughly 3% to the seek index; for state-space models, can double the index size. Motivates the W-bounded design choice for deployable codecs.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10.5 (block-device interface) — [deployment]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 OS-level block-device driver mapping LBA-indexed reads to RNR random-access calls serves any read request in O((K + k) * cost(M)) time and O(K + k) working memory, independent of archive size N.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Direct corollary of Theorem 10.3 in driver terms: translate (LBA, k) to (byte_position, k) and call the range-decode function. No per-archive scaling.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Enables the squashfs / EROFS / btrfs-with-zstd deployment pattern with a neural compressor in the base layer. Existing neural compressors cannot serve this use case at all.</w:t>
      </w:r>
    </w:p>
    <w:p>
      <w:pPr>
        <w:spacing w:after="40" w:before="160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Theorem 10.6 (hardware-target portability) — [deployment, portability]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Statement.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Any hardware target T providing bit-exact integer arithmetic at the specified bit-widths and lookup-table evaluation produces bit-identical output to any other conforming target. Choice of T affects throughput and latency but not the produced bytes.</w:t>
      </w:r>
    </w:p>
    <w:p>
      <w:pPr>
        <w:spacing w:after="4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Proof.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Direct corollary of Theorem 10.1 applied to specific hardware classes. Integer arithmetic is associative and commutative on any platform implementing two's-complement integers, which is universal.</w:t>
      </w:r>
    </w:p>
    <w:p>
      <w:pPr>
        <w:spacing w:after="80" w:line="260"/>
        <w:ind w:left="360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Why it matters.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Conforming targets include CPU scalar on any ISA, CPU SIMD (AVX2, AVX-512, NEON, RVV), GPU integer Tensor Cores (NVIDIA Turing+, AMD CDNA), integer NPUs (Apple ANE, Google Edge TPU, Qualcomm Hexagon, AWS Inferentia). Encode on server GPU, decode on phone NPU, byte-identity guaranteed.</w:t>
      </w:r>
    </w:p>
    <w:p>
      <w:r>
        <w:br w:type="page"/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Quick triage: reviewer challenges → answer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For each common reviewer challenge, the relevant theorem or remark to cite. Memorize this table for defense.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“Why do you think Type-I is competitive at all?”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4.1 (achievability), Theorem 4.2 (matching converse).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“Could a better algorithm find a better Code12?”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Theorems 4.3 and 4.4: optimal selection is NP-hard and inapproximable.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“Your earlier draft inflated the Type-II gain.”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5.3 (corrected) uses multinomial baseline and explicit escape cost.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“Does Type-II actually do anything Type-I cannot?”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5.4 (linear-code separation, Theta(N)).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“For what data classes is your separation actually realized?”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5.6 (TC is the exact quantity); Remark 5.7 (manifold hypothesis predicts TC = Theta(N) for natural data).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“Doesn’t arithmetic coding under Q dominate your support-set scheme?”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Proposition 5.5: yes, and we say so explicitly. Support-set is for hard-candidate-set predictors only.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“Why 2*eps and not 1*eps?”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6.4: 2*eps is tight via a constructive adversarial example.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“Why use byte-tensor instead of separate nibble coders?”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6.2: the gain equals I(H;L|C), which is sizable for ASCII text, opcode streams, and pixel data.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“Is the choice of decomposition tree material?”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6.5: no, all rooted binary tree decompositions achieve H(B|C); it's a calibration question, not a rate question.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“Why can't BPE just be optimized further?”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Theorems 6.7 and 6.8: dictionary learning is NP-hard and APX-hard via SGP.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“Bits-back is not really a special case of your framework.”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6.6: it is, with exact KL accounting in the rate decomposition.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“Your framework can't be deployed because floating-point isn't reproducible.”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Theorems 10.1 and 10.2: a precision-and-determinism specification suffices for both fixed and adaptive predictors; published optimizers fit Definition 10.1.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“Can I seek into a compressed archive without decoding everything?”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10.3: yes, in O(K + k) time independent of archive size, for W-bounded predictors (Definition 10.2) with sync points (Definition 10.3). Compression cost approximately 1 percent. NNCP and PixelCNN-class systems cannot do this. Theorem 10.4 covers RNN/LSTM/state-space variants via state snapshots.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“Can I mount a compressed disk image as a filesystem and use it like a real drive?”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10.5: yes. An OS-level driver serves block-device read requests in time independent of archive size. Use the squashfs+overlayfs pattern: read-only RNR base, copy-on-write writable layer. The driver architecture is identical to existing compressed filesystems except the predictor replaces the dictionary decompressor.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“Can I run the decoder on a GPU / NPU / AVX-only CPU and get the same bytes?”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10.6: yes. Bit-exact integer arithmetic and lookup tables conform on any target supporting them, which is universal across CPU scalar, CPU SIMD (AVX2, AVX-512, NEON), GPU integer Tensor Cores, and integer NPUs (Apple ANE, Edge TPU, Hexagon, Inferentia). Choice of target affects latency but not output.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“What about cross-subblock errors corrupting the context?”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9.1: cryptographic-hash verification gates context updates; propagation is delta-rare.</w:t>
      </w:r>
    </w:p>
    <w:p>
      <w:pPr>
        <w:spacing w:after="20" w:before="80"/>
        <w:ind w:left="360" w:hanging="24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“You’re claiming universal dominance over LZMA.”</w:t>
      </w:r>
    </w:p>
    <w:p>
      <w:pPr>
        <w:spacing w:after="40"/>
        <w:ind w:left="60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8.1: we explicitly disclaim universal dominance and only assert conditional advantage.</w:t>
      </w:r>
    </w:p>
    <w:p>
      <w:pPr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Honest qualifications to keep ready</w:t>
      </w:r>
    </w:p>
    <w:p>
      <w:pPr>
        <w:spacing w:after="60" w:line="260"/>
        <w:ind w:left="360" w:hanging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4.4's reduction relies on QAP inapproximability and an isometric Hamming-embedding argument; a fully self-contained proof would expand the embedding step.</w:t>
      </w:r>
    </w:p>
    <w:p>
      <w:pPr>
        <w:spacing w:after="60" w:line="260"/>
        <w:ind w:left="360" w:hanging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5.6 is unconditional; Remark 5.7's quantification depends on the manifold hypothesis being operationalized for the specific data class. Empirical intrinsic-dimension estimation is out of scope (§13.3).</w:t>
      </w:r>
    </w:p>
    <w:p>
      <w:pPr>
        <w:spacing w:after="60" w:line="260"/>
        <w:ind w:left="360" w:hanging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6.4 is tight in worst case; typical-case behavior is much better. The 2*eps factor is conservative.</w:t>
      </w:r>
    </w:p>
    <w:p>
      <w:pPr>
        <w:spacing w:after="60" w:line="260"/>
        <w:ind w:left="360" w:hanging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6.8 inherits an APX-hardness constant from SGP; the exact constant is small and may not be practically meaningful, only complexity-theoretically.</w:t>
      </w:r>
    </w:p>
    <w:p>
      <w:pPr>
        <w:spacing w:after="60" w:line="260"/>
        <w:ind w:left="360" w:hanging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10.1 assumes the model description specifies the reduction order. This is a constraint on the spec, not a deep mathematical assumption.</w:t>
      </w:r>
    </w:p>
    <w:p>
      <w:pPr>
        <w:spacing w:after="60" w:line="260"/>
        <w:ind w:left="360" w:hanging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Theorem 10.2 covers any compatible optimizer; whether a specific compatible Adam variant converges as well as floating-point Adam on standard benchmarks is an empirical question (open in §13.2).</w:t>
      </w:r>
    </w:p>
    <w:p>
      <w:pPr>
        <w:spacing w:after="60" w:line="260"/>
        <w:ind w:left="360" w:hanging="24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The framework is a math paper. It does not contain empirical results. Numbers in §11 of the main paper are explicitly labeled as conjectures.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RNR Coding — Summary of Formal Results</dc:title>
  <dc:creator>Pavlo Ratushnyi</dc:creator>
  <dc:description>Companion summary to RNR Coding v0.5.</dc:description>
  <cp:lastModifiedBy>Un-named</cp:lastModifiedBy>
  <cp:revision>1</cp:revision>
  <dcterms:created xsi:type="dcterms:W3CDTF">2026-05-16T00:46:13.737Z</dcterms:created>
  <dcterms:modified xsi:type="dcterms:W3CDTF">2026-05-16T00:46:13.737Z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