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 w:line="288" w:lineRule="auto"/>
        <w:jc w:val="center"/>
      </w:pPr>
      <w:r>
        <w:rPr>
          <w:rFonts w:ascii="Times New Roman" w:hAnsi="Times New Roman" w:cs="Times New Roman" w:eastAsia="Times New Roman"/>
          <w:b/>
          <w:i w:val="0"/>
          <w:sz w:val="28"/>
        </w:rPr>
        <w:t>Københavns Erhvervsakademi (KEA)</w:t>
      </w:r>
    </w:p>
    <w:p>
      <w:pPr>
        <w:spacing w:after="120" w:line="288" w:lineRule="auto"/>
        <w:jc w:val="center"/>
      </w:pPr>
      <w:r>
        <w:rPr>
          <w:rFonts w:ascii="Times New Roman" w:hAnsi="Times New Roman" w:cs="Times New Roman" w:eastAsia="Times New Roman"/>
          <w:b w:val="0"/>
          <w:i w:val="0"/>
          <w:sz w:val="24"/>
        </w:rPr>
        <w:t>Professionsbachelor i IT og Økonomi</w:t>
      </w:r>
    </w:p>
    <w:p>
      <w:pPr>
        <w:spacing w:after="480" w:line="288" w:lineRule="auto"/>
        <w:jc w:val="center"/>
      </w:pPr>
      <w:r>
        <w:rPr>
          <w:rFonts w:ascii="Times New Roman" w:hAnsi="Times New Roman" w:cs="Times New Roman" w:eastAsia="Times New Roman"/>
          <w:b w:val="0"/>
          <w:i/>
          <w:sz w:val="24"/>
        </w:rPr>
        <w:t>Theory of Science (videnskabsteori)</w:t>
      </w:r>
    </w:p>
    <w:p>
      <w:pPr>
        <w:spacing w:after="160" w:line="288" w:lineRule="auto"/>
        <w:jc w:val="center"/>
      </w:pPr>
      <w:r>
        <w:rPr>
          <w:rFonts w:ascii="Times New Roman" w:hAnsi="Times New Roman" w:cs="Times New Roman" w:eastAsia="Times New Roman"/>
          <w:b w:val="0"/>
          <w:i/>
          <w:sz w:val="26"/>
        </w:rPr>
        <w:t>Synopsis — research design</w:t>
      </w:r>
    </w:p>
    <w:p>
      <w:pPr>
        <w:spacing w:after="960" w:line="288" w:lineRule="auto"/>
        <w:jc w:val="center"/>
      </w:pPr>
      <w:r>
        <w:rPr>
          <w:rFonts w:ascii="Times New Roman" w:hAnsi="Times New Roman" w:cs="Times New Roman" w:eastAsia="Times New Roman"/>
          <w:b/>
          <w:i w:val="0"/>
          <w:sz w:val="36"/>
        </w:rPr>
        <w:t>AI-baseret automatisering i bemandingsprocessen for indstilling af konsulenter hos Support Solutions ApS</w:t>
      </w:r>
    </w:p>
    <w:p>
      <w:pPr>
        <w:spacing w:after="40" w:line="288" w:lineRule="auto"/>
        <w:jc w:val="center"/>
      </w:pPr>
      <w:r>
        <w:rPr>
          <w:rFonts w:ascii="Times New Roman" w:hAnsi="Times New Roman" w:cs="Times New Roman" w:eastAsia="Times New Roman"/>
          <w:b w:val="0"/>
          <w:i w:val="0"/>
          <w:sz w:val="26"/>
        </w:rPr>
        <w:t>Luka Christian Wigø</w:t>
      </w:r>
    </w:p>
    <w:p>
      <w:pPr>
        <w:spacing w:after="480" w:line="288" w:lineRule="auto"/>
        <w:jc w:val="center"/>
      </w:pPr>
      <w:r>
        <w:rPr>
          <w:rFonts w:ascii="Times New Roman" w:hAnsi="Times New Roman" w:cs="Times New Roman" w:eastAsia="Times New Roman"/>
          <w:b w:val="0"/>
          <w:i/>
          <w:sz w:val="22"/>
        </w:rPr>
        <w:t>Studienummer: [indsæt studienummer]</w:t>
      </w:r>
    </w:p>
    <w:p>
      <w:pPr>
        <w:spacing w:after="40" w:line="288" w:lineRule="auto"/>
        <w:jc w:val="center"/>
      </w:pPr>
      <w:r>
        <w:rPr>
          <w:rFonts w:ascii="Times New Roman" w:hAnsi="Times New Roman" w:cs="Times New Roman" w:eastAsia="Times New Roman"/>
          <w:b w:val="0"/>
          <w:i w:val="0"/>
          <w:sz w:val="24"/>
        </w:rPr>
        <w:t>Eksaminator: Jens Rasmussen</w:t>
      </w:r>
    </w:p>
    <w:p>
      <w:pPr>
        <w:spacing w:after="480" w:line="288" w:lineRule="auto"/>
        <w:jc w:val="center"/>
      </w:pPr>
      <w:r>
        <w:rPr>
          <w:rFonts w:ascii="Times New Roman" w:hAnsi="Times New Roman" w:cs="Times New Roman" w:eastAsia="Times New Roman"/>
          <w:b w:val="0"/>
          <w:i w:val="0"/>
          <w:sz w:val="24"/>
        </w:rPr>
        <w:t>Vejleder: Saif</w:t>
      </w:r>
    </w:p>
    <w:p>
      <w:pPr>
        <w:spacing w:after="40" w:line="288" w:lineRule="auto"/>
        <w:jc w:val="center"/>
      </w:pPr>
      <w:r>
        <w:rPr>
          <w:rFonts w:ascii="Times New Roman" w:hAnsi="Times New Roman" w:cs="Times New Roman" w:eastAsia="Times New Roman"/>
          <w:b w:val="0"/>
          <w:i w:val="0"/>
          <w:sz w:val="24"/>
        </w:rPr>
        <w:t>Afleveringsdato: 21. april 2026</w:t>
      </w:r>
    </w:p>
    <w:p>
      <w:pPr>
        <w:spacing w:after="120" w:line="288" w:lineRule="auto"/>
        <w:jc w:val="center"/>
      </w:pPr>
      <w:r>
        <w:rPr>
          <w:rFonts w:ascii="Times New Roman" w:hAnsi="Times New Roman" w:cs="Times New Roman" w:eastAsia="Times New Roman"/>
          <w:b w:val="0"/>
          <w:i/>
          <w:sz w:val="24"/>
        </w:rPr>
        <w:t>Forår 2026</w:t>
      </w:r>
    </w:p>
    <w:p>
      <w:r>
        <w:br w:type="page"/>
      </w:r>
    </w:p>
    <w:p>
      <w:pPr>
        <w:jc w:val="left"/>
      </w:pPr>
      <w:r>
        <w:rPr>
          <w:rFonts w:ascii="Times New Roman" w:hAnsi="Times New Roman"/>
          <w:b/>
          <w:sz w:val="32"/>
        </w:rPr>
        <w:t>Indholdsfortegnelse</w:t>
      </w:r>
    </w:p>
    <w:p>
      <w:r>
        <w:fldChar w:fldCharType="begin" w:dirty="true"/>
        <w:instrText xml:space="preserve">TOC \o "1-2" \h \z \u</w:instrText>
        <w:fldChar w:fldCharType="separate"/>
        <w:r>
          <w:t>Højreklik her og vælg Opdater felt — eller tryk F9 — for at generere indholdsfortegnelsen.</w:t>
        </w:r>
        <w:fldChar w:fldCharType="end"/>
      </w:r>
    </w:p>
    <w:p>
      <w:r>
        <w:br w:type="page"/>
      </w:r>
    </w:p>
    <w:p>
      <w:pPr>
        <w:pStyle w:val="Heading1"/>
      </w:pPr>
      <w:r>
        <w:t>1. Indledning</w:t>
      </w:r>
    </w:p>
    <w:p/>
    <w:p>
      <w:r>
        <w:t>Leverandører i det danske marked for IT-konsulentydelser positionerer sig typisk på hurtig respons og dokumenteret kvalitet i udvælgelsen af specialister (Right People Group, n.d.; Support Solutions, n.d.). Internationalt fungerer freelance-platforme som Upwork og Fiverr som store markedspladser, hvor matching mellem opgave og konsulent understøttes af digitale søge- og anbefalingssystemer (Upwork, n.d.; Fiverr, n.d.), og Support Solutions' interne bemandingsproces udgør en afgrænset dansk variant af denne bredere tendens.</w:t>
      </w:r>
    </w:p>
    <w:p/>
    <w:p>
      <w:r>
        <w:t>Support Solutions ApS er et dansk konsulentbureau, der indstiller IT-specialister til løsning af klienters IT-projekter, fx systemoptimering, IT-support og projektledelse (Support Solutions, n.d.). Kerneforretningen er at matche den rette konsulent med et konkret projekt, så kunden ikke står og venter på den rette person, og virksomheden fremhæver hurtig fremdrift som en central del af sin værdiproposition (Support Solutions, n.d.).</w:t>
      </w:r>
    </w:p>
    <w:p/>
    <w:p>
      <w:r>
        <w:t>Udvælgelsen af konsulenter til indstilling bygger i dag på en kombination af kvantitative og kvalitative kriterier. På den kvantitative side indgår blandt andet antal gennemførte projektopgaver og effektivitetsmål registreret i virksomhedens systemer som KPI'er (Key Performance Indicators; nøglepræstationsindikatorer) (bilag B, Interview 2). På den kvalitative side anvender virksomheden internt betegnelsen kvalitetsindikatorer (KQI'er) — her brugt som casens egen terminologi — for registreringer som dokumenteret klienttilfredshed, samarbejdsevne og personlig egnethed, typisk lagret som feedback i virksomhedens CRM efter afsluttede opgaver (bilag B, Interview 1). Til at understøtte indstillingsprocessen anvender virksomheden platformen SoluTalent, hvor en algoritme rangerer konsulentprofiler på baggrund af kompetence-, erfarings- og opgavedata og dermed leverer et prioriteret beslutningsgrundlag (SoluTalent, n.d.; bilag B, Interview 2).</w:t>
      </w:r>
    </w:p>
    <w:p/>
    <w:p>
      <w:r>
        <w:t>Platformen fungerer i praksis som et beslutningsstøttesystem, hvor automatisk genererede matchforslag vurderes, accepteres, afvises eller overstyres af medarbejdere, inden en konsulent indstilles. Teknologien erstatter dermed ikke den menneskelige vurdering: den algoritmebaserede rangering fungerer som beslutningsstøtte, men den endelige vurdering af konsulentens egnethed hviler på forhold, som systemdata ikke fuldt ud kan afspejle (bilag B, Interview 1). Forundersøgelsesinterviews med henholdsvis ledelse og teknisk ansvarlig (bilag B) har vist, at forventede gevinster ved yderligere AI-baseret automatisering knytter sig til hurtigere indstilling og mere ensartet beslutningsgrundlag, mens forudsætningerne først og fremmest handler om kvaliteten af kriterier, dataregistrering og feedbackdokumentation (bilag B, Interview 1; Interview 2).</w:t>
      </w:r>
    </w:p>
    <w:p/>
    <w:p>
      <w:r>
        <w:t>Formålet med synopsen er at opstille et videnskabsteoretisk kongruent research design, der kan bære en senere undersøgelse af, hvordan AI-baseret automatisering kan implementeres i bemandingsprocessen. Synopsen forsvarer valg af position, design, empiri og kvalitetskriterier; den udfolder ikke bachelorprojektets fulde analyse- eller metodekapitel. Efter problemformulering og afgrænsning redegøres der for research design, empirigrundlag, etik og kvalitetskriterier.</w:t>
      </w:r>
    </w:p>
    <w:p/>
    <w:p/>
    <w:p>
      <w:pPr>
        <w:pStyle w:val="Heading1"/>
      </w:pPr>
      <w:r>
        <w:t>2. Problemformulering og afgrænsning</w:t>
      </w:r>
    </w:p>
    <w:p/>
    <w:p>
      <w:r>
        <w:rPr>
          <w:b/>
        </w:rPr>
        <w:t>Hvordan kan Support Solutions ApS implementere AI-baseret automatisering i bemandingsprocessen for indstilling af konsulenter til løsning af deres klienters IT-projekter?</w:t>
      </w:r>
    </w:p>
    <w:p/>
    <w:p>
      <w:r>
        <w:t>Formuleringen er bevidst åben og undersøgende. Med AI-baseret automatisering menes her algoritmisk rangering af konsulentprofiler i SoluTalent, som medarbejdere efterfølgende vurderer, accepterer, afviser eller overstyrer inden indstilling. Målet er kontekstuel og anvendelsesorienteret indsigt, ikke påvisning af en generel eller entydig kausal effekt af automatisering. Analysen retter sig derfor mod, hvordan den nuværende udvælgelsesproces, det tilgængelige målegrundlag i form af KPI'er og kvalitetsindikatorer (KQI'er) samt de organisatoriske rammer, herunder human-in-the-loop (menneskelig vurdering som sidste led i beslutningen), tilsammen former mulighederne for at implementere AI-baseret automatisering i denne konkrete kontekst.</w:t>
      </w:r>
    </w:p>
    <w:p/>
    <w:p>
      <w:r>
        <w:t>Undersøgelsen afgrænses til bemandingsprocessen for indstilling af konsulenter i SoluTalent. Platformen behandles som et organisatorisk og procesmæssigt artefakt, ikke som genstand for teknisk evaluering af maskinlæringsmodeller. Den kvantitative del gennemføres som en tværsnitsundersøgelse i et afgrænset observationsvindue i forår 2026. Aktiviteter før registrering i platformen samt post-match-forløb som kontrakt, onboarding og fakturering ligger uden for analysens scope. Analysen er procesorienteret: fokus er arbejdsdeling mellem menneske og system, beslutningsadfærd og dokumenterbare mønstre i procesforløbet. Reduceret ventetid og mere ensartet beslutningsgrundlag betragtes som forventede gevinster ved implementering, ikke som selvstændigt undersøgelsesobjekt. Synopsen forsvarer research designet; den leverer ikke en fuld effektmåling af SoluTalent.</w:t>
      </w:r>
    </w:p>
    <w:p/>
    <w:p>
      <w:r>
        <w:t>Forskningsbidraget ligger ikke i en anbefaling om hvorvidt Support Solutions bør automatisere yderligere, men i en analytisk belysning af hvilke organisatoriske og datamæssige forudsætninger der skal være opfyldt, for at en algoritmisk matchproces kan integreres forsvarligt i en praksis med human-in-the-loop. Generalisering sker analytisk til teori om beslutningsstøtte og arbejdsdeling mellem menneske og system, ikke statistisk til en branchepopulation (Holm, 2023).</w:t>
      </w:r>
    </w:p>
    <w:p/>
    <w:p/>
    <w:p>
      <w:pPr>
        <w:pStyle w:val="Heading1"/>
      </w:pPr>
      <w:r>
        <w:t>3. Metodologi og research design</w:t>
      </w:r>
    </w:p>
    <w:p/>
    <w:p>
      <w:r>
        <w:t>Research designet struktureres i fire vidensniveauer: ontologisk niveau, epistemologisk niveau, metodologisk niveau og metode-/teknisk niveau. Pointen med denne opdeling er, at konkrete metodevalg skal følge problemets karakter og afgrænsning, ikke omvendt (Kuada, 2012; Saunders et al., 2023).</w:t>
      </w:r>
    </w:p>
    <w:p/>
    <w:p>
      <w:pPr>
        <w:pStyle w:val="Heading2"/>
      </w:pPr>
      <w:r>
        <w:t>3.1 Ontologisk ståsted</w:t>
      </w:r>
    </w:p>
    <w:p/>
    <w:p>
      <w:r>
        <w:t>Ontologi behandles som spørgsmålet om, hvad der antages at eksistere inden for undersøgelsens genstandsfelt (Kuada, 2012). I denne case omfatter genstandsfeltet både observerbare forhold i SoluTalents procesforløb, herunder tidsstempler, beslutningsknudepunkter og overstyringer, og en organisatorisk praksis, hvor medarbejdere vurderer matchkvalitet, håndterer usikkerhed og afvejer risiko (Holm, 2023; Saunders et al., 2023). Genstandsfeltet er dermed både systemisk og socialt, uden at platformens interne tilstande ophøjes til selvstændig case-definition. Ontologisk forankres undersøgelsen i en pragmatisk position: der antages et genstandsfelt, der er tilstrækkeligt stabilt til at efterlade observerbare spor — tidsstempler, dokumenterede beslutninger, overstyringer — men enhver beskrivelse af feltet filtreres gennem de begreber og formål, der gør den anvendelig for praksis (Holm, 2023; Saunders et al., 2023). Platformens registrerede tilstande og aktørernes vurderinger behandles dermed som to reelle, komplementære aspekter af samme genstandsfelt, uden at det ene reduceres til det andet.</w:t>
      </w:r>
    </w:p>
    <w:p/>
    <w:p>
      <w:pPr>
        <w:pStyle w:val="Heading2"/>
      </w:pPr>
      <w:r>
        <w:t>3.2 Epistemologisk ståsted</w:t>
      </w:r>
    </w:p>
    <w:p/>
    <w:p>
      <w:r>
        <w:t>Epistemologi behandles som spørgsmålet om, hvordan gyldig viden om genstandsfeltet kan etableres (Kuada, 2012). Interviewsporet placeres inden for et fortolkende perspektiv med interpretivisme og moderne hermeneutik, fordi det er nødvendigt at forstå aktørernes begrundelser, prioriteringer og beslutningslogik i kontekst (Holm, 2023; Saunders et al., 2023). Moderne hermeneutik indebærer her, at forskeren selv indgår i fortolkningsprocessen med en forforståelse — i dette tilfælde formet af insider-position og teknisk kendskab til platformen — som må bringes eksplicit i spil og løbende justeres (Holm, 2023). Forståelsen af fænomener som "god match" etableres i en cirkulær bevægelse mellem delen, som her er et konkret informant-udsagn eller et enkelt beslutningsforløb, og helheden, som her er den samlede bemandingsproces med dens organisatoriske rationaler; enkeltdele reviderer helhedsforståelsen, og helhedsforståelsen skærper læsningen af enkeltdele. Positionen er "moderne" snarere end "klassisk", fordi genstanden ikke er en tekst med færdig mening, men en levende praksis, hvor mening dannes i mødet mellem aktør, system og forsker (Holm, 2023). Udtræk fra systemet og definerede målepunkter udgør derimod et kvantitativt målespor under den overordnede pragmatiske ramme, hvor målet er at beskrive observerbare og sammenlignelige mønstre i det afgrænsede procesforløb. De to spor kombineres under samme undersøgelse, men holdes begrebsmæssigt adskilt, så fortolkende epistemologi ikke blandes sammen med målesporet.</w:t>
      </w:r>
    </w:p>
    <w:p/>
    <w:p>
      <w:pPr>
        <w:pStyle w:val="Heading2"/>
      </w:pPr>
      <w:r>
        <w:t>3.3 Metodologisk ramme</w:t>
      </w:r>
    </w:p>
    <w:p/>
    <w:p>
      <w:r>
        <w:t>Projektet anlægger en pragmatisk ramme. Pragmatismen, som den optages i nutidig metodelitteratur, forstår viden som noget, der etableres gennem praktisk afprøvning: et udsagn vurderes på sine konsekvenser for handling og på sin fejlbarlighed, snarere end på korrespondens med en endelig sandhed (Saunders et al., 2023; Holm, 2023). Denne fallibilistiske position tillader, at kvalitativ fortolkning og kvantitativ dokumentation behandles som komplementære vidensformer frem for rivaliserende, og den gør anvendelighed i kontekst til et legitimt vidensmål. Kuada (2012) anvendes til korte begrebsdefinitioner og til kvalitetskriterier, mens den strategiske begrundelse for at kombinere kvalitative og kvantitative logikker forankres i Rossman og Wilson (1985); forskellige datatyper anvendes med forskellig funktion — at bekræfte, nuancere og udfordre forståelsen af det samme problemfelt. Slutningsformen er primært abduktiv: forklaringshypoteser dannes, når empiriske mønstre overrasker eksisterende forståelse, afprøves mod teori, og revideres eller forkastes, når de ikke holder. Abduktion adskiller sig dermed fra induktion ved ikke blot at generalisere fra gentagne observationer, og fra deduktion ved ikke at teste et på forhånd givet udsagn (Holm, 2023; Saunders et al., 2023).</w:t>
      </w:r>
    </w:p>
    <w:p/>
    <w:p>
      <w:pPr>
        <w:pStyle w:val="Heading2"/>
      </w:pPr>
      <w:r>
        <w:t>3.4 Forskningsdesign, case og tidshorisont</w:t>
      </w:r>
    </w:p>
    <w:p/>
    <w:p>
      <w:r>
        <w:t>Et sekventielt udforskende design er valgt, fordi ikke alle aspekter af implementeringen er kendte på forhånd, og en kvalitativ forforståelse er nødvendig, inden det kvantitative spor kan defineres meningsfuldt (Saunders et al., 2023). Undersøgelsesstrategien er single-case studie med organisatorisk og procesmæssig afgrænsning til den del af Support Solutions, der arbejder med matching og klientindstilling i SoluTalent, fordi problemformuleringen er et "hvordan"-spørgsmål om et aktuelt, konkret fænomen i en specifik organisatorisk kontekst (Holm, 2023; Kuada, 2012). Forundersøgelsesinterviews med ledelse og teknisk ansvarlig (bilag B) har allerede bidraget til at afgrænse problemfeltet og identificere centrale spændinger i beslutningspraksis. Artefaktanalysen fungerer som et støtte- og kontekstspor, der kvalificerer den tidlige problemforståelse og den senere fortolkning af systemets formelle logik. I bachelorprojektet gennemføres det kvantitative spor derefter som en tværsnitsundersøgelse i et afgrænset observationsvindue, hvor relevante målepunkter og udtræk fra systemet anvendes som opfølgning (Saunders et al., 2023). Generalisering sker analytisk til teori og ikke statistisk til en branchepopulation (Holm, 2023; Kuada, 2012).</w:t>
      </w:r>
    </w:p>
    <w:p/>
    <w:p>
      <w:pPr>
        <w:pStyle w:val="Heading2"/>
      </w:pPr>
      <w:r>
        <w:t>3.5 Metode- og teknisk niveau</w:t>
      </w:r>
    </w:p>
    <w:p/>
    <w:p>
      <w:r>
        <w:t>På metode- og teknisk niveau kombineres semistrukturerede interviews, artefaktanalyse af SoluTalent og udtræk fra systemet knyttet til en overordnet måleplan. Trianguleringen er udforskende sekventiel (Rossman &amp; Wilson, 1985; Kuada, 2012, kap. 10): først bidrager interviews med fortolkning af praksis, derefter kvalificerer artefaktanalysen forståelsen af systemets formelle logik, og endelig gør et kvantitativt udtræk fra systemet det muligt at identificere observerbare mønstre i procesforløbet. Trianguleringen behandles dermed ikke som en løs liste af datakilder, men som et analytisk redskab til at synliggøre spændet mellem systemets formelle principper og den faktiske beslutningsadfærd i praksis (Rossman &amp; Wilson, 1985).</w:t>
      </w:r>
    </w:p>
    <w:p/>
    <w:p/>
    <w:p>
      <w:pPr>
        <w:pStyle w:val="Heading1"/>
      </w:pPr>
      <w:r>
        <w:t>4. Empiri, etik og kvalitetskriterier</w:t>
      </w:r>
    </w:p>
    <w:p/>
    <w:p>
      <w:pPr>
        <w:pStyle w:val="Heading2"/>
      </w:pPr>
      <w:r>
        <w:t>4.1 Empirigrundlag</w:t>
      </w:r>
    </w:p>
    <w:p/>
    <w:p>
      <w:r>
        <w:t>Empirien kombinerer tre spor. Primære data består af semistrukturerede interviews med purposive sampling af informanter, der har strategisk, operativ eller teknisk indsigt i den afgrænsede proces (Saunders et al., 2023). To forundersøgelsesinterviews er allerede gennemført med henholdsvis Informant 1 (ledelse) og Informant 2 (teknisk ansvarlig) og har bidraget til at kvalificere problemfelt og afgrænsning (bilag B). Forundersøgelsesfasens formål var at afgrænse problemfelt og identificere centrale spændinger, ikke at udgøre synopsens samlede empiriske grundlag; i bachelorprojektets videre forløb suppleres purposive sampling med yderligere informanter i operativ position, og insider-perspektivet trianguleres med dokumenteret klientfeedback om tidligere konsulenter fra virksomhedens CRM, så eksterne aktørers vurderinger indgår som uafhængigt modspil til interviewdata (Saunders et al., 2023). Sekundære data består af artefakter, procesdokumenter og udtræk fra systemet, som kan belyse platformens beslutningsflow, udvælgelseskriterier og observerbare procesmønstre. Kombinationen er valgt, fordi ingen enkelt kilde alene kan besvare problemformuleringen om implementering af AI-baseret automatisering i samspillet mellem platform og organisatorisk praksis.</w:t>
      </w:r>
    </w:p>
    <w:p/>
    <w:p>
      <w:pPr>
        <w:pStyle w:val="Heading2"/>
      </w:pPr>
      <w:r>
        <w:t>4.2 Tværsnitsundersøgelse og triangulering</w:t>
      </w:r>
    </w:p>
    <w:p/>
    <w:p>
      <w:r>
        <w:t>Den kvantitative del gennemføres som en tværsnitsundersøgelse i en afgrænset periode i forår 2026, så mønstre sammenholdes inden for samme tidslige ramme (Saunders et al., 2023). Dette gør det muligt at diskutere stabilitet og repræsentativitet inden for den valgte population af opgaver og periode. Den udforskende sekventielle triangulering (Rossman &amp; Wilson, 1985; Kuada, 2012, kap. 10) har en analytisk funktion: interviews belyser begrundelser og praksis, artefakter belyser den formelle systemlogik, og udtræk fra systemet viser, hvor mønstre i beslutningsforløb, overstyring og gentagelse faktisk optræder. Rækkefølgen gør det muligt at lade kvalitative indsigter styre, hvad der undersøges nærmere i målesporet.</w:t>
      </w:r>
    </w:p>
    <w:p/>
    <w:p>
      <w:pPr>
        <w:pStyle w:val="Heading2"/>
      </w:pPr>
      <w:r>
        <w:t>4.3 Etik og kvalitetskriterier</w:t>
      </w:r>
    </w:p>
    <w:p/>
    <w:p>
      <w:r>
        <w:t>Undersøgelsen involverer personer og virksomhedsdata og kræver derfor eksplicit etisk stillingtagen. Aksiologisk prioriteres informeret samtykke, gennemsigtighed om undersøgelsens formål, ansvarlig databehandling og mulighed for tilbagetrækning (Kuada, 2012). Informanterne i forundersøgelsen har givet skriftligt samtykke til, at udsagn må anvendes i anonymiseret og kondenseret form (bilag C).</w:t>
      </w:r>
    </w:p>
    <w:p/>
    <w:p>
      <w:r>
        <w:t>For det kvalitative spor, som allerede er påbegyndt, anvendes Lincoln og Gubas kriterier via Kuada (2012). Credibility styrkes gennem triangulering og informantvalidering: centrale analyseresultater og kondenserede udsagn er sendt skriftligt tilbage til henholdsvis Informant 1 (ledelse) og Informant 2 (teknisk ansvarlig) sammen med angivelse af den kontekst, de indgår i, så informanterne har kunnet bekræfte, korrigere eller afvise gengivelsen (bilag B; bilag C). Transferability styrkes gennem tydelig kontekstbeskrivelse. Dependability styrkes gennem audit trail i interviewguide, kodning og metodevalg. Confirmability styrkes gennem eksplicit bias-refleksion, neutral fremstilling og en tydelig kobling mellem fortolkninger og empirisk materiale. Det kvantitative spor vurderes med fokus på målepålidelighed, stabilitetspålidelighed inden for den valgte periode, begrebsvaliditet — det vil sige om de anvendte målepunkter faktisk indfanger de fænomener, som det kvalitative spor har identificeret som centrale, eksempelvis "overstyring" eller "beslutningsforløb" — samt repræsentativitet inden for den afgrænsede population af opgaver i den valgte tidsramme (Saunders et al., 2023). Begrebsvaliditet fungerer dermed som broen mellem de to spor: den sikrer, at fortolkende og målende logikker behandler det samme fænomen og ikke forskellige fænomener under samme navn.</w:t>
      </w:r>
    </w:p>
    <w:p/>
    <w:p>
      <w:pPr>
        <w:pStyle w:val="Heading2"/>
      </w:pPr>
      <w:r>
        <w:t>4.4 Insider-position og bias</w:t>
      </w:r>
    </w:p>
    <w:p/>
    <w:p>
      <w:r>
        <w:t>Forfatteren har insider-position i relation til både case og platform og har som udvikler bidraget til opbygningen af SoluTalent. Det giver nærhed til feltet og indgående artefaktkendskab, men øger også risikoen for bekræftelsesbias, designbias og for, at informanters udsagn kan påvirkes af forskerens tætte relation til platformen. Det håndteres gennem eksplicit bias-refleksion og transparens om forskerpositionen, ved at behandle negative indikatorer såsom overstyringer, afvisninger og lange beslutningsforløb som analytisk lige så vigtige som positive mønstre, og ved at lade interviewdata, artefaktanalyse og udtræk fra systemet kunne udfordre hinanden frem for blot at bekræfte en ønsket forståelse.</w:t>
      </w:r>
    </w:p>
    <w:p/>
    <w:p/>
    <w:p>
      <w:pPr>
        <w:pStyle w:val="Heading1"/>
      </w:pPr>
      <w:r>
        <w:t>5. Oversigt over research design</w:t>
      </w:r>
    </w:p>
    <w:p/>
    <w:p>
      <w:r>
        <w:t>Nedenstående figur samler research designet i én oversigt fra vidensniveauer til empiri. Figuren fungerer som strukturbevis for, at problemformulering, epistemologiske spor, metodologisk ramme, casevalg og empirisk design hænger sammen i en samlet logik.</w:t>
      </w:r>
    </w:p>
    <w:p/>
    <w:p>
      <w:pPr>
        <w:jc w:val="center"/>
      </w:pPr>
      <w:r>
        <w:drawing>
          <wp:inline xmlns:a="http://schemas.openxmlformats.org/drawingml/2006/main" xmlns:pic="http://schemas.openxmlformats.org/drawingml/2006/picture">
            <wp:extent cx="5400000" cy="6750000"/>
            <wp:docPr id="1" name="Picture 1"/>
            <wp:cNvGraphicFramePr>
              <a:graphicFrameLocks noChangeAspect="1"/>
            </wp:cNvGraphicFramePr>
            <a:graphic>
              <a:graphicData uri="http://schemas.openxmlformats.org/drawingml/2006/picture">
                <pic:pic>
                  <pic:nvPicPr>
                    <pic:cNvPr id="0" name="RESEARCH_STRUCTURE_SYNOPSIS_LUKA.png"/>
                    <pic:cNvPicPr/>
                  </pic:nvPicPr>
                  <pic:blipFill>
                    <a:blip r:embed="rId10"/>
                    <a:stretch>
                      <a:fillRect/>
                    </a:stretch>
                  </pic:blipFill>
                  <pic:spPr>
                    <a:xfrm>
                      <a:off x="0" y="0"/>
                      <a:ext cx="5400000" cy="6750000"/>
                    </a:xfrm>
                    <a:prstGeom prst="rect"/>
                  </pic:spPr>
                </pic:pic>
              </a:graphicData>
            </a:graphic>
          </wp:inline>
        </w:drawing>
      </w:r>
    </w:p>
    <w:p/>
    <w:p>
      <w:r>
        <w:rPr>
          <w:b/>
        </w:rPr>
        <w:t>Figur 1.</w:t>
      </w:r>
      <w:r>
        <w:t xml:space="preserve"> Egen figur, udarbejdet af forfatteren, baseret på Kuada (2012), Holm (2023) og Saunders et al. (2023). Figuren visualiserer sammenhængen mellem ontologi, epistemologi, pragmatisk metodologi, single-case med organisatorisk afgrænsning, tværsnit og udforskende sekventiel triangulering i undersøgelsen af AI-baseret automatisering i bemandingsprocessen for indstilling af konsulenter. Strategisk kombination af spor forankres i Rossman og Wilson (1985).</w:t>
      </w:r>
    </w:p>
    <w:p/>
    <w:p/>
    <w:p>
      <w:pPr>
        <w:pStyle w:val="Heading1"/>
      </w:pPr>
      <w:r>
        <w:t>6. Litteraturliste (Harvard)</w:t>
      </w:r>
    </w:p>
    <w:p/>
    <w:p>
      <w:r>
        <w:t xml:space="preserve">Fiverr. (n.d.). </w:t>
      </w:r>
      <w:r>
        <w:rPr>
          <w:i/>
        </w:rPr>
        <w:t>Fiverr – Freelance services marketplace</w:t>
      </w:r>
      <w:r>
        <w:t>. Tilgået 16. april 2026 fra https://www.fiverr.com</w:t>
      </w:r>
    </w:p>
    <w:p/>
    <w:p>
      <w:r>
        <w:t xml:space="preserve">Holm, A. B. (2023). </w:t>
      </w:r>
      <w:r>
        <w:rPr>
          <w:i/>
        </w:rPr>
        <w:t>Videnskab i virkeligheden – En grundbog i videnskabsteori</w:t>
      </w:r>
      <w:r>
        <w:t xml:space="preserve"> (3. udg.). Samfundslitteratur.</w:t>
      </w:r>
    </w:p>
    <w:p/>
    <w:p>
      <w:r>
        <w:t xml:space="preserve">Kuada, J. (2012). </w:t>
      </w:r>
      <w:r>
        <w:rPr>
          <w:i/>
        </w:rPr>
        <w:t>Research Methodology: A Project Guide for University Students</w:t>
      </w:r>
      <w:r>
        <w:t>. Samfundslitteratur.</w:t>
      </w:r>
    </w:p>
    <w:p/>
    <w:p>
      <w:r>
        <w:t xml:space="preserve">Right People Group. (n.d.). </w:t>
      </w:r>
      <w:r>
        <w:rPr>
          <w:i/>
        </w:rPr>
        <w:t>Consultants, vendor management, IT recruitment</w:t>
      </w:r>
      <w:r>
        <w:t>. Tilgået 12. marts 2026 fra https://rightpeoplegroup.com</w:t>
      </w:r>
    </w:p>
    <w:p/>
    <w:p>
      <w:r>
        <w:t xml:space="preserve">Rossman, G. B. &amp; Wilson, B. L. (1985). Numbers and Words: Combining Quantitative and Qualitative Methods in a Single Large-Scale Study. </w:t>
      </w:r>
      <w:r>
        <w:rPr>
          <w:i/>
        </w:rPr>
        <w:t>Evaluation Review</w:t>
      </w:r>
      <w:r>
        <w:t>, 9(5), 627–643.</w:t>
      </w:r>
    </w:p>
    <w:p/>
    <w:p>
      <w:r>
        <w:t xml:space="preserve">Saunders, M. N. K., Lewis, P. &amp; Thornhill, A. (2023). </w:t>
      </w:r>
      <w:r>
        <w:rPr>
          <w:i/>
        </w:rPr>
        <w:t>Research Methods for Business Students</w:t>
      </w:r>
      <w:r>
        <w:t xml:space="preserve"> (9. udg.). Pearson.</w:t>
      </w:r>
    </w:p>
    <w:p/>
    <w:p>
      <w:r>
        <w:t xml:space="preserve">SoluTalent. (n.d.). </w:t>
      </w:r>
      <w:r>
        <w:rPr>
          <w:i/>
        </w:rPr>
        <w:t>SoluTalent – Premium global freelancers</w:t>
      </w:r>
      <w:r>
        <w:t>. Tilgået 12. marts 2026 fra https://solutalent.com</w:t>
      </w:r>
    </w:p>
    <w:p/>
    <w:p>
      <w:r>
        <w:t xml:space="preserve">Support Solutions. (n.d.). </w:t>
      </w:r>
      <w:r>
        <w:rPr>
          <w:i/>
        </w:rPr>
        <w:t>IT konsulenter – første CV inden 48 timer</w:t>
      </w:r>
      <w:r>
        <w:t>. Tilgået 12. marts 2026 fra https://support-solutions.dk</w:t>
      </w:r>
    </w:p>
    <w:p/>
    <w:p>
      <w:r>
        <w:t xml:space="preserve">Upwork. (n.d.). </w:t>
      </w:r>
      <w:r>
        <w:rPr>
          <w:i/>
        </w:rPr>
        <w:t>Upwork – Freelance services and talent marketplace</w:t>
      </w:r>
      <w:r>
        <w:t>. Tilgået 16. april 2026 fra https://www.upwork.com</w:t>
      </w:r>
    </w:p>
    <w:p/>
    <w:p>
      <w:r>
        <w:br w:type="page"/>
      </w:r>
    </w:p>
    <w:p>
      <w:pPr>
        <w:pStyle w:val="Heading1"/>
      </w:pPr>
      <w:r>
        <w:t>7. Appendix</w:t>
      </w:r>
    </w:p>
    <w:p/>
    <w:p>
      <w:r>
        <w:t>Planlagte og vedlagte bilag: (A) Research design-diagram, jf. figur 1 ovenfor. (B) Forundersøgelsesinterviews med Informant 1, ledelsesniveau, og Informant 2, teknisk ansvarlig, gennemført som semistrukturerede interviews og anonymiseret. (C) Samtykkeerklæring i skriftlig form, hvor informanterne har accepteret anvendelse af udsagn i anonymiseret og kondenseret form. Yderligere bilag ved fuld rapportudfoldning omfatter interviewguide, kodningsudsnit og foreløbige målepunkter.</w:t>
      </w:r>
    </w:p>
    <w:p/>
    <w:sectPr w:rsidR="00FC693F" w:rsidRPr="0006063C" w:rsidSect="00034616">
      <w:footerReference w:type="default" r:id="rId9"/>
      <w:pgSz w:w="12240" w:h="15840"/>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12" w:lineRule="auto"/>
      <w:outlineLvl w:val="0"/>
    </w:pPr>
    <w:rPr>
      <w:rFonts w:asciiTheme="majorHAnsi" w:eastAsiaTheme="majorEastAsia" w:hAnsiTheme="majorHAnsi" w:cstheme="majorBidi" w:ascii="Times New Roman" w:hAnsi="Times New Roman" w:cs="Times New Roman" w:eastAsia="Times New Roman"/>
      <w:b/>
      <w:bCs/>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12" w:lineRule="auto"/>
      <w:outlineLvl w:val="1"/>
    </w:pPr>
    <w:rPr>
      <w:rFonts w:asciiTheme="majorHAnsi" w:eastAsiaTheme="majorEastAsia" w:hAnsiTheme="majorHAnsi" w:cstheme="majorBidi" w:ascii="Times New Roman" w:hAnsi="Times New Roman" w:cs="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40" w:after="120" w:line="312" w:lineRule="auto"/>
      <w:outlineLvl w:val="2"/>
    </w:pPr>
    <w:rPr>
      <w:rFonts w:asciiTheme="majorHAnsi" w:eastAsiaTheme="majorEastAsia" w:hAnsiTheme="majorHAnsi" w:cstheme="majorBidi" w:ascii="Times New Roman" w:hAnsi="Times New Roman" w:cs="Times New Roman" w:eastAsia="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s="Times New Roman" w:eastAsia="Times New Roman"/>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