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p>
    <w:p>
      <w:pPr>
        <w:jc w:val="center"/>
      </w:pPr>
      <w:r>
        <w:rPr>
          <w:rFonts w:ascii="Arial" w:cs="Arial" w:eastAsia="Arial" w:hAnsi="Arial"/>
          <w:b/>
          <w:bCs/>
          <w:color w:val="1F4E79"/>
          <w:sz w:val="52"/>
          <w:szCs w:val="52"/>
        </w:rPr>
        <w:t>Contoso Cloud Solutions</w:t>
      </w:r>
    </w:p>
    <w:p>
      <w:pPr>
        <w:spacing w:before="240"/>
        <w:jc w:val="center"/>
      </w:pPr>
      <w:r>
        <w:rPr>
          <w:rFonts w:ascii="Arial" w:cs="Arial" w:eastAsia="Arial" w:hAnsi="Arial"/>
          <w:color w:val="595959"/>
          <w:sz w:val="24"/>
          <w:szCs w:val="24"/>
        </w:rPr>
        <w:t xml:space="preserve">Proposal in Response to:</w:t>
      </w:r>
    </w:p>
    <w:p>
      <w:pPr>
        <w:jc w:val="center"/>
      </w:pPr>
      <w:r>
        <w:rPr>
          <w:rFonts w:ascii="Arial" w:cs="Arial" w:eastAsia="Arial" w:hAnsi="Arial"/>
          <w:b/>
          <w:bCs/>
          <w:color w:val="2E75B6"/>
          <w:sz w:val="36"/>
          <w:szCs w:val="36"/>
        </w:rPr>
        <w:t>GOV-2026-ICT-0042 Cloud Infrastructure Modernisation</w:t>
      </w:r>
    </w:p>
    <w:p>
      <w:pPr>
        <w:spacing w:before="480"/>
        <w:jc w:val="center"/>
      </w:pPr>
      <w:r>
        <w:rPr>
          <w:rFonts w:ascii="Arial" w:cs="Arial" w:eastAsia="Arial" w:hAnsi="Arial"/>
          <w:color w:val="595959"/>
          <w:sz w:val="24"/>
          <w:szCs w:val="24"/>
        </w:rPr>
        <w:t>Submitted: 14 June 2026</w:t>
      </w:r>
    </w:p>
    <w:p>
      <w:r>
        <w:br w:type="page"/>
      </w:r>
    </w:p>
    <w:p>
      <w:pPr>
        <w:pStyle w:val="Heading1"/>
      </w:pPr>
      <w:r>
        <w:t xml:space="preserve">1. Executive Summary</w:t>
      </w:r>
    </w:p>
    <w:p>
      <w:pPr>
        <w:spacing w:after="240" w:before="120"/>
      </w:pPr>
      <w:r>
        <w:rPr>
          <w:rFonts w:ascii="Arial" w:cs="Arial" w:eastAsia="Arial" w:hAnsi="Arial"/>
          <w:sz w:val="22"/>
          <w:szCs w:val="22"/>
        </w:rPr>
        <w:t>Contoso Cloud Solutions has submitted a response to the GOV-2026-ICT-0042 Cloud Infrastructure Modernisation RFP. The proposal addresses 6 of the 59 stated requirements in full and provides partial coverage for 18 additional requirements. There are 35 requirements identified as gaps, resulting in an overall coverage score of 29%. The submission is based on Contoso Cloud Solutions’ verified internal evidence base, and all gaps are clearly flagged for further human input. No unsupported claims are made; the proposal maintains transparency regarding its current capabilities.</w:t>
      </w:r>
    </w:p>
    <w:p>
      <w:pPr>
        <w:pStyle w:val="Heading1"/>
      </w:pPr>
      <w:r>
        <w:t xml:space="preserve">2. Requirements Response</w:t>
      </w:r>
    </w:p>
    <w:p>
      <w:pPr>
        <w:spacing w:after="160" w:before="80"/>
      </w:pPr>
      <w:r>
        <w:rPr>
          <w:rFonts w:ascii="Arial" w:cs="Arial" w:eastAsia="Arial" w:hAnsi="Arial"/>
          <w:color w:val="595959"/>
          <w:sz w:val="20"/>
          <w:szCs w:val="20"/>
        </w:rPr>
        <w:t xml:space="preserve">The table below addresses each requirement from the RFP. Rows highlighted in red require action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Our Response</w:t>
            </w:r>
          </w:p>
        </w:tc>
        <w:tc>
          <w:tcPr>
            <w:tcW w:type="dxa" w:w="3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r>
      <w:tr>
        <w:tc>
          <w:tcPr>
            <w:tcW w:type="dxa" w:w="1500"/>
          </w:tcPr>
          <w:p>
            <w:r>
              <w:rPr>
                <w:rFonts w:ascii="Arial" w:hAnsi="Arial"/>
                <w:color w:val="000000"/>
                <w:sz w:val="20"/>
              </w:rPr>
              <w:t>REQ-001</w:t>
            </w:r>
          </w:p>
        </w:tc>
        <w:tc>
          <w:tcPr>
            <w:tcW w:type="dxa" w:w="4500"/>
          </w:tcPr>
          <w:p>
            <w:r>
              <w:rPr>
                <w:rFonts w:ascii="Arial" w:hAnsi="Arial"/>
                <w:color w:val="000000"/>
                <w:sz w:val="20"/>
              </w:rPr>
              <w:t>We have successfully migrated hosted workloads for HealthGov Australia, a federal health services agency, from their datacentre environment to Microsoft Azure. This engagement involved a full datacentre exit and migration to Azure, completed over a 14-month period from September 2023 to November 2024, with a contract value of AUD 8.2M [DOC-001]. HealthGov Australia is a contactable reference for government engagements, confirming our experience in migrating critical workloads to Azure [DOC-013]. Additionally, our executed Statement of Work with ClientCo Enterprises demonstrates our ability to deliver cloud migration and managed services under fixed-price, multi-year schedules, further substantiating our Azure migration capabilities [DOC-007].</w:t>
            </w:r>
          </w:p>
        </w:tc>
        <w:tc>
          <w:tcPr>
            <w:tcW w:type="dxa" w:w="3360"/>
          </w:tcPr>
          <w:p>
            <w:r>
              <w:rPr>
                <w:rFonts w:ascii="Arial" w:hAnsi="Arial"/>
                <w:color w:val="000000"/>
                <w:sz w:val="20"/>
              </w:rPr>
              <w:t>[DOC-001] Case Study — HealthGov Australia Datacentre-to-Azure Migration</w:t>
              <w:br/>
              <w:t>[DOC-013] Client Reference Register — Government Engagements</w:t>
              <w:br/>
              <w:t>[DOC-007] Executed SOW Extract — Fixed-Price Multi-Year Schedule (ClientCo)</w:t>
            </w:r>
          </w:p>
        </w:tc>
      </w:tr>
      <w:tr>
        <w:tc>
          <w:tcPr>
            <w:tcW w:type="dxa" w:w="1500"/>
          </w:tcPr>
          <w:p>
            <w:r>
              <w:rPr>
                <w:rFonts w:ascii="Arial" w:hAnsi="Arial"/>
                <w:color w:val="000000"/>
                <w:sz w:val="20"/>
              </w:rPr>
              <w:t>REQ-002</w:t>
            </w:r>
          </w:p>
        </w:tc>
        <w:tc>
          <w:tcPr>
            <w:tcW w:type="dxa" w:w="4500"/>
          </w:tcPr>
          <w:p>
            <w:r>
              <w:rPr>
                <w:rFonts w:ascii="Arial" w:hAnsi="Arial"/>
                <w:color w:val="000000"/>
                <w:sz w:val="20"/>
              </w:rPr>
              <w:t>We deliver ongoing managed platform services for Azure environments, as evidenced by our Managed Services Incident Response Runbook, which outlines 24/7 support and a 99.95% availability SLA for Tier-1 production workloads under the standard government tier [DOC-010]. Our managed services framework is applied across all Azure environments we support, ensuring consistent operational oversight and incident response. While our case studies demonstrate successful Azure migrations for government clients, including HealthGov Australia and StateGov Authority [DOC-001][DOC-002], the evidence provided does not specifically reference managed platform services for DDT's workloads. Additional substantiation is required to confirm managed services for DDT's Azure workloads.</w:t>
            </w:r>
          </w:p>
        </w:tc>
        <w:tc>
          <w:tcPr>
            <w:tcW w:type="dxa" w:w="3360"/>
          </w:tcPr>
          <w:p>
            <w:r>
              <w:rPr>
                <w:rFonts w:ascii="Arial" w:hAnsi="Arial"/>
                <w:color w:val="000000"/>
                <w:sz w:val="20"/>
              </w:rPr>
              <w:t>[DOC-010] Managed Services Incident Response Runbook (Extract)</w:t>
              <w:br/>
              <w:t>[DOC-001] Case Study — HealthGov Australia Datacentre-to-Azure Migration</w:t>
              <w:br/>
              <w:t>[DOC-002] Case Study — StateGov Authority Cloud Transition Program</w:t>
            </w:r>
          </w:p>
        </w:tc>
      </w:tr>
      <w:tr>
        <w:tc>
          <w:tcPr>
            <w:tcW w:type="dxa" w:w="1500"/>
            <w:shd w:val="clear" w:color="auto" w:fill="FFE0E0"/>
          </w:tcPr>
          <w:p>
            <w:r>
              <w:rPr>
                <w:rFonts w:ascii="Arial" w:hAnsi="Arial"/>
                <w:color w:val="CC0000"/>
                <w:sz w:val="20"/>
              </w:rPr>
              <w:t>REQ-003</w:t>
            </w:r>
          </w:p>
        </w:tc>
        <w:tc>
          <w:tcPr>
            <w:tcW w:type="dxa" w:w="4500"/>
            <w:shd w:val="clear" w:color="auto" w:fill="FFE0E0"/>
          </w:tcPr>
          <w:p>
            <w:r>
              <w:rPr>
                <w:rFonts w:ascii="Arial" w:hAnsi="Arial"/>
                <w:color w:val="CC0000"/>
                <w:sz w:val="20"/>
              </w:rPr>
              <w:t>[ACTION REQUIRED: Provide a requirement-by-requirement matrix or document with explicit, verifiable evidence mapped to each mandatory requirement.]</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REQ-004</w:t>
            </w:r>
          </w:p>
        </w:tc>
        <w:tc>
          <w:tcPr>
            <w:tcW w:type="dxa" w:w="4500"/>
            <w:shd w:val="clear" w:color="auto" w:fill="FFE0E0"/>
          </w:tcPr>
          <w:p>
            <w:r>
              <w:rPr>
                <w:rFonts w:ascii="Arial" w:hAnsi="Arial"/>
                <w:color w:val="CC0000"/>
                <w:sz w:val="20"/>
              </w:rPr>
              <w:t>[ACTION REQUIRED: No internal evidence found for this requirement. Provide documentation covering: Unsupported claims will be disregarded by the evaluation panel....]</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REQ-005</w:t>
            </w:r>
          </w:p>
        </w:tc>
        <w:tc>
          <w:tcPr>
            <w:tcW w:type="dxa" w:w="4500"/>
          </w:tcPr>
          <w:p>
            <w:r>
              <w:rPr>
                <w:rFonts w:ascii="Arial" w:hAnsi="Arial"/>
                <w:color w:val="000000"/>
                <w:sz w:val="20"/>
              </w:rPr>
              <w:t>Our migration methodology incorporates discovery, dependency mapping, and wave planning as core components of the migration process. This approach was successfully implemented during the HealthGov Australia datacentre-to-Azure migration, which involved a full datacentre exit and migration of in-scope workloads over a 14-month engagement [DOC-001]. Additionally, our migration factory model, as detailed in our technical approach for the GovCloud Services Panel 2025, systematically executes discovery, dependency mapping, and wave planning for all in-scope workloads [DOC-012]. These practices ensure comprehensive workload assessment, accurate mapping of interdependencies, and structured migration waves, supporting seamless transitions to Azure environments. While the evidence substantiates our methodology and its application in large-scale migrations, further substantiation is needed to demonstrate specific examples of wave planning outcomes for all in-scope workloads.</w:t>
            </w:r>
          </w:p>
        </w:tc>
        <w:tc>
          <w:tcPr>
            <w:tcW w:type="dxa" w:w="3360"/>
          </w:tcPr>
          <w:p>
            <w:r>
              <w:rPr>
                <w:rFonts w:ascii="Arial" w:hAnsi="Arial"/>
                <w:color w:val="000000"/>
                <w:sz w:val="20"/>
              </w:rPr>
              <w:t>[DOC-001] Case Study — HealthGov Australia Datacentre-to-Azure Migration</w:t>
              <w:br/>
              <w:t>[DOC-012] Winning Proposal Excerpt — GovCloud Services Panel 2025 (Technical Approach)</w:t>
            </w:r>
          </w:p>
        </w:tc>
      </w:tr>
      <w:tr>
        <w:tc>
          <w:tcPr>
            <w:tcW w:type="dxa" w:w="1500"/>
          </w:tcPr>
          <w:p>
            <w:r>
              <w:rPr>
                <w:rFonts w:ascii="Arial" w:hAnsi="Arial"/>
                <w:color w:val="000000"/>
                <w:sz w:val="20"/>
              </w:rPr>
              <w:t>REQ-006</w:t>
            </w:r>
          </w:p>
        </w:tc>
        <w:tc>
          <w:tcPr>
            <w:tcW w:type="dxa" w:w="4500"/>
          </w:tcPr>
          <w:p>
            <w:r>
              <w:rPr>
                <w:rFonts w:ascii="Arial" w:hAnsi="Arial"/>
                <w:color w:val="000000"/>
                <w:sz w:val="20"/>
              </w:rPr>
              <w:t>Our team has designed and built Azure landing zones that are compliant with the Australian Government Information Security Manual (ISM) at the PROTECTED level. This compliance is substantiated by an IRAP assessment of our Azure landing zone reference architecture and managed services practice, confirming alignment with ISM PROTECTED requirements [DOC-005]. Our lead cloud architect, James Liu, holds Microsoft Certified: Azure Solutions Architect Expert and Azure Security Engineer certifications, and maintains NV1 security clearance, ensuring the technical leadership required for secure and compliant Azure environments [DOC-014].</w:t>
            </w:r>
          </w:p>
        </w:tc>
        <w:tc>
          <w:tcPr>
            <w:tcW w:type="dxa" w:w="3360"/>
          </w:tcPr>
          <w:p>
            <w:r>
              <w:rPr>
                <w:rFonts w:ascii="Arial" w:hAnsi="Arial"/>
                <w:color w:val="000000"/>
                <w:sz w:val="20"/>
              </w:rPr>
              <w:t>[DOC-005] IRAP Assessment Summary — ISM PROTECTED Level</w:t>
              <w:br/>
              <w:t>[DOC-014] Key Personnel CV — James Liu, Lead Cloud Architect</w:t>
            </w:r>
          </w:p>
        </w:tc>
      </w:tr>
      <w:tr>
        <w:tc>
          <w:tcPr>
            <w:tcW w:type="dxa" w:w="1500"/>
          </w:tcPr>
          <w:p>
            <w:r>
              <w:rPr>
                <w:rFonts w:ascii="Arial" w:hAnsi="Arial"/>
                <w:color w:val="000000"/>
                <w:sz w:val="20"/>
              </w:rPr>
              <w:t>REQ-007</w:t>
            </w:r>
          </w:p>
        </w:tc>
        <w:tc>
          <w:tcPr>
            <w:tcW w:type="dxa" w:w="4500"/>
          </w:tcPr>
          <w:p>
            <w:r>
              <w:rPr>
                <w:rFonts w:ascii="Arial" w:hAnsi="Arial"/>
                <w:color w:val="000000"/>
                <w:sz w:val="20"/>
              </w:rPr>
              <w:t>We have successfully migrated all in-scope workloads to Azure for multiple government clients. For HealthGov Australia, we executed a full datacentre exit and migrated all workloads to Microsoft Azure over a 14-month engagement [DOC-001]. Similarly, for StateGov Authority, we migrated the entire shared-services platform, including 540 virtual machines, to Azure within an 11-month timeframe [DOC-002]. For FinanceDept Agency, we migrated all core financial systems, encompassing 510 virtual machines, to Azure IaaS/PaaS in a 9-month engagement [DOC-003]. These projects demonstrate our proven capability to migrate all in-scope workloads to Azure, ensuring comprehensive coverage and successful outcomes for large-scale government clients.</w:t>
            </w:r>
          </w:p>
        </w:tc>
        <w:tc>
          <w:tcPr>
            <w:tcW w:type="dxa" w:w="3360"/>
          </w:tcPr>
          <w:p>
            <w:r>
              <w:rPr>
                <w:rFonts w:ascii="Arial" w:hAnsi="Arial"/>
                <w:color w:val="000000"/>
                <w:sz w:val="20"/>
              </w:rPr>
              <w:t>[DOC-001] Case Study — HealthGov Australia Datacentre-to-Azure Migration</w:t>
              <w:br/>
              <w:t>[DOC-002] Case Study — StateGov Authority Cloud Transition Program</w:t>
              <w:br/>
              <w:t>[DOC-003] Case Study — FinanceDept Agency Core Systems Migration</w:t>
            </w:r>
          </w:p>
        </w:tc>
      </w:tr>
      <w:tr>
        <w:tc>
          <w:tcPr>
            <w:tcW w:type="dxa" w:w="1500"/>
          </w:tcPr>
          <w:p>
            <w:r>
              <w:rPr>
                <w:rFonts w:ascii="Arial" w:hAnsi="Arial"/>
                <w:color w:val="000000"/>
                <w:sz w:val="20"/>
              </w:rPr>
              <w:t>REQ-008</w:t>
            </w:r>
          </w:p>
        </w:tc>
        <w:tc>
          <w:tcPr>
            <w:tcW w:type="dxa" w:w="4500"/>
          </w:tcPr>
          <w:p>
            <w:r>
              <w:rPr>
                <w:rFonts w:ascii="Arial" w:hAnsi="Arial"/>
                <w:color w:val="000000"/>
                <w:sz w:val="20"/>
              </w:rPr>
              <w:t>Our migration methodology, as outlined in our successful GovCloud Services Panel 2025 proposal, includes a migration factory model that executes discovery, dependency mapping, wave planning, rehearsal, and cutover for nominated application workloads [DOC-012]. This approach ensures systematic modernisation of application workloads during migration. We have delivered full datacentre exits and migrations for federal agencies, including HealthGov Australia and FinanceDept Agency, migrating core systems and application workloads to Azure IaaS and PaaS environments [DOC-001][DOC-003]. However, while our evidence demonstrates comprehensive application workload modernisation and migration, it does not explicitly reference containerisation as part of the modernisation process; further substantiation is required for containerisation capabilities.</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[DOC-003] Case Study — FinanceDept Agency Core Systems Migration</w:t>
            </w:r>
          </w:p>
        </w:tc>
      </w:tr>
      <w:tr>
        <w:tc>
          <w:tcPr>
            <w:tcW w:type="dxa" w:w="1500"/>
          </w:tcPr>
          <w:p>
            <w:r>
              <w:rPr>
                <w:rFonts w:ascii="Arial" w:hAnsi="Arial"/>
                <w:color w:val="000000"/>
                <w:sz w:val="20"/>
              </w:rPr>
              <w:t>REQ-009</w:t>
            </w:r>
          </w:p>
        </w:tc>
        <w:tc>
          <w:tcPr>
            <w:tcW w:type="dxa" w:w="4500"/>
          </w:tcPr>
          <w:p>
            <w:r>
              <w:rPr>
                <w:rFonts w:ascii="Arial" w:hAnsi="Arial"/>
                <w:color w:val="000000"/>
                <w:sz w:val="20"/>
              </w:rPr>
              <w:t>We have delivered managed platform and security operations services as part of executed multi-year engagements, including a fixed-price schedule for ClientCo Enterprises, which demonstrates our capability to provide ongoing managed services [DOC-007]. Our ISO/IEC 27001:2022 certification further evidences our commitment to security operations and compliance [DOC-004]. However, the evidence does not explicitly confirm the provision of these services for an initial term of three years; additional substantiation regarding the specific term length is required.</w:t>
            </w:r>
          </w:p>
        </w:tc>
        <w:tc>
          <w:tcPr>
            <w:tcW w:type="dxa" w:w="3360"/>
          </w:tcPr>
          <w:p>
            <w:r>
              <w:rPr>
                <w:rFonts w:ascii="Arial" w:hAnsi="Arial"/>
                <w:color w:val="000000"/>
                <w:sz w:val="20"/>
              </w:rPr>
              <w:t>[DOC-007] Executed SOW Extract — Fixed-Price Multi-Year Schedule (ClientCo)</w:t>
              <w:br/>
              <w:t>[DOC-004] ISO/IEC 27001:2022 Certification Summary</w:t>
            </w:r>
          </w:p>
        </w:tc>
      </w:tr>
      <w:tr>
        <w:tc>
          <w:tcPr>
            <w:tcW w:type="dxa" w:w="1500"/>
            <w:shd w:val="clear" w:color="auto" w:fill="FFE0E0"/>
          </w:tcPr>
          <w:p>
            <w:r>
              <w:rPr>
                <w:rFonts w:ascii="Arial" w:hAnsi="Arial"/>
                <w:color w:val="CC0000"/>
                <w:sz w:val="20"/>
              </w:rPr>
              <w:t>REQ-010</w:t>
            </w:r>
          </w:p>
        </w:tc>
        <w:tc>
          <w:tcPr>
            <w:tcW w:type="dxa" w:w="4500"/>
            <w:shd w:val="clear" w:color="auto" w:fill="FFE0E0"/>
          </w:tcPr>
          <w:p>
            <w:r>
              <w:rPr>
                <w:rFonts w:ascii="Arial" w:hAnsi="Arial"/>
                <w:color w:val="CC0000"/>
                <w:sz w:val="20"/>
              </w:rPr>
              <w:t>[ACTION REQUIRED: Provide documentation or case studies explicitly demonstrating full decommissioning support for datacentres prior to lease expiry.]</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REQ-011</w:t>
            </w:r>
          </w:p>
        </w:tc>
        <w:tc>
          <w:tcPr>
            <w:tcW w:type="dxa" w:w="4500"/>
          </w:tcPr>
          <w:p>
            <w:r>
              <w:rPr>
                <w:rFonts w:ascii="Arial" w:hAnsi="Arial"/>
                <w:color w:val="000000"/>
                <w:sz w:val="20"/>
              </w:rPr>
              <w:t>We have successfully completed migrations of Windows Server workloads to Azure IaaS and PaaS services at the 500+ VM scale for both HealthGov Australia and FinanceDept Agency. For HealthGov Australia, we executed a full datacentre exit and migration to Microsoft Azure, covering two on-premises datacentres and 620 virtual machines [DOC-001]. For FinanceDept Agency, we migrated 510 virtual machines as part of a core systems migration to Azure IaaS/PaaS [DOC-003]. Both engagements are documented as contactable client references in our Client Reference Register, which includes consented references for government tender responses [DOC-013]. While we have demonstrated two completed migrations of comparable scale with contactable references, further substantiation is required to evidence a third migration meeting the specified criteria.</w:t>
            </w:r>
          </w:p>
        </w:tc>
        <w:tc>
          <w:tcPr>
            <w:tcW w:type="dxa" w:w="3360"/>
          </w:tcPr>
          <w:p>
            <w:r>
              <w:rPr>
                <w:rFonts w:ascii="Arial" w:hAnsi="Arial"/>
                <w:color w:val="000000"/>
                <w:sz w:val="20"/>
              </w:rPr>
              <w:t>[DOC-001] Case Study — HealthGov Australia Datacentre-to-Azure Migration</w:t>
              <w:br/>
              <w:t>[DOC-003] Case Study — FinanceDept Agency Core Systems Migration</w:t>
              <w:br/>
              <w:t>[DOC-013] Client Reference Register — Government Engagements</w:t>
            </w:r>
          </w:p>
        </w:tc>
      </w:tr>
      <w:tr>
        <w:tc>
          <w:tcPr>
            <w:tcW w:type="dxa" w:w="1500"/>
          </w:tcPr>
          <w:p>
            <w:r>
              <w:rPr>
                <w:rFonts w:ascii="Arial" w:hAnsi="Arial"/>
                <w:color w:val="000000"/>
                <w:sz w:val="20"/>
              </w:rPr>
              <w:t>REQ-012</w:t>
            </w:r>
          </w:p>
        </w:tc>
        <w:tc>
          <w:tcPr>
            <w:tcW w:type="dxa" w:w="4500"/>
          </w:tcPr>
          <w:p>
            <w:r>
              <w:rPr>
                <w:rFonts w:ascii="Arial" w:hAnsi="Arial"/>
                <w:color w:val="000000"/>
                <w:sz w:val="20"/>
              </w:rPr>
              <w:t>Our managed service is governed by a documented incident response runbook, version 5.1 (October 2025), which applies to all managed Azure environments under 24/7 support. The service level agreement specifies 99.95% availability for Tier-1 production workloads, measured monthly [DOC-010]. The runbook outlines continuous monitoring and incident response procedures, ensuring operational readiness for Priority 1 incidents [DOC-010]. However, while the evidence confirms the SLA target and documented procedures, it does not provide actual achieved availability or mean time to recovery (MTTR) figures from current or recent operations; further substantiation is required for these metrics.</w:t>
            </w:r>
          </w:p>
        </w:tc>
        <w:tc>
          <w:tcPr>
            <w:tcW w:type="dxa" w:w="3360"/>
          </w:tcPr>
          <w:p>
            <w:r>
              <w:rPr>
                <w:rFonts w:ascii="Arial" w:hAnsi="Arial"/>
                <w:color w:val="000000"/>
                <w:sz w:val="20"/>
              </w:rPr>
              <w:t>[DOC-010] Managed Services Incident Response Runbook (Extract)</w:t>
            </w:r>
          </w:p>
        </w:tc>
      </w:tr>
      <w:tr>
        <w:tc>
          <w:tcPr>
            <w:tcW w:type="dxa" w:w="1500"/>
          </w:tcPr>
          <w:p>
            <w:r>
              <w:rPr>
                <w:rFonts w:ascii="Arial" w:hAnsi="Arial"/>
                <w:color w:val="000000"/>
                <w:sz w:val="20"/>
              </w:rPr>
              <w:t>REQ-013</w:t>
            </w:r>
          </w:p>
        </w:tc>
        <w:tc>
          <w:tcPr>
            <w:tcW w:type="dxa" w:w="4500"/>
          </w:tcPr>
          <w:p>
            <w:r>
              <w:rPr>
                <w:rFonts w:ascii="Arial" w:hAnsi="Arial"/>
                <w:color w:val="000000"/>
                <w:sz w:val="20"/>
              </w:rPr>
              <w:t>All Agency data, including backup and disaster recovery copies, is maintained exclusively within Australian Azure regions (Australia East and Australia Southeast) in accordance with our Data Residency and Sovereignty Policy, which applies to all client engagements involving Australian government or regulated-industry data [DOC-006]. Our cloud delivery operations are covered by a current ISO/IEC 27001:2022 certification, as detailed in our certification summary [DOC-004]. Additionally, our Azure landing zone reference architecture and managed services practice have undergone an IRAP assessment at the PROTECTED level under the Australian Government Information Security Manual (ISM), confirming compliance with the required security standards [DOC-005].</w:t>
            </w:r>
          </w:p>
        </w:tc>
        <w:tc>
          <w:tcPr>
            <w:tcW w:type="dxa" w:w="3360"/>
          </w:tcPr>
          <w:p>
            <w:r>
              <w:rPr>
                <w:rFonts w:ascii="Arial" w:hAnsi="Arial"/>
                <w:color w:val="000000"/>
                <w:sz w:val="20"/>
              </w:rPr>
              <w:t>[DOC-006] Data Residency and Sovereignty Policy</w:t>
              <w:br/>
              <w:t>[DOC-004] ISO/IEC 27001:2022 Certification Summary</w:t>
              <w:br/>
              <w:t>[DOC-005] IRAP Assessment Summary — ISM PROTECTED Level</w:t>
            </w:r>
          </w:p>
        </w:tc>
      </w:tr>
      <w:tr>
        <w:tc>
          <w:tcPr>
            <w:tcW w:type="dxa" w:w="1500"/>
          </w:tcPr>
          <w:p>
            <w:r>
              <w:rPr>
                <w:rFonts w:ascii="Arial" w:hAnsi="Arial"/>
                <w:color w:val="000000"/>
                <w:sz w:val="20"/>
              </w:rPr>
              <w:t>REQ-014</w:t>
            </w:r>
          </w:p>
        </w:tc>
        <w:tc>
          <w:tcPr>
            <w:tcW w:type="dxa" w:w="4500"/>
          </w:tcPr>
          <w:p>
            <w:r>
              <w:rPr>
                <w:rFonts w:ascii="Arial" w:hAnsi="Arial"/>
                <w:color w:val="000000"/>
                <w:sz w:val="20"/>
              </w:rPr>
              <w:t>Our migration projects for HealthGov Australia, StateGov Authority, and FinanceDept Agency have involved large-scale transitions of core workloads to Azure, each exceeding 500 virtual machines [DOC-001][DOC-002][DOC-003]. In these engagements, we delivered migrations with zero unplanned downtime, leveraging replication-based mechanisms to ensure high availability throughout the process [DOC-001]. For HealthGov Australia, we achieved 99.97% availability during the migration, with no data loss incidents reported [DOC-001]. While the evidence confirms our capability for zero-downtime migrations and absence of data loss, it does not explicitly detail the use of Azure Site Recovery or rehearsal cutovers, nor does it specify production cutover windows or tested rollback plans; further substantiation is required for these elements.</w:t>
            </w:r>
          </w:p>
        </w:tc>
        <w:tc>
          <w:tcPr>
            <w:tcW w:type="dxa" w:w="3360"/>
          </w:tcPr>
          <w:p>
            <w:r>
              <w:rPr>
                <w:rFonts w:ascii="Arial" w:hAnsi="Arial"/>
                <w:color w:val="000000"/>
                <w:sz w:val="20"/>
              </w:rPr>
              <w:t>[DOC-001] Case Study — HealthGov Australia Datacentre-to-Azure Migration</w:t>
              <w:br/>
              <w:t>[DOC-002] Case Study — StateGov Authority Cloud Transition Program</w:t>
              <w:br/>
              <w:t>[DOC-003] Case Study — FinanceDept Agency Core Systems Migration</w:t>
            </w:r>
          </w:p>
        </w:tc>
      </w:tr>
      <w:tr>
        <w:tc>
          <w:tcPr>
            <w:tcW w:type="dxa" w:w="1500"/>
            <w:shd w:val="clear" w:color="auto" w:fill="FFE0E0"/>
          </w:tcPr>
          <w:p>
            <w:r>
              <w:rPr>
                <w:rFonts w:ascii="Arial" w:hAnsi="Arial"/>
                <w:color w:val="CC0000"/>
                <w:sz w:val="20"/>
              </w:rPr>
              <w:t>REQ-015</w:t>
            </w:r>
          </w:p>
        </w:tc>
        <w:tc>
          <w:tcPr>
            <w:tcW w:type="dxa" w:w="4500"/>
            <w:shd w:val="clear" w:color="auto" w:fill="FFE0E0"/>
          </w:tcPr>
          <w:p>
            <w:r>
              <w:rPr>
                <w:rFonts w:ascii="Arial" w:hAnsi="Arial"/>
                <w:color w:val="CC0000"/>
                <w:sz w:val="20"/>
              </w:rPr>
              <w:t>[ACTION REQUIRED: Provide case studies or project documentation demonstrating production experience designing, deploying, and operating containerised workloads on Azure Kubernetes Service (AKS) at scale, and a sample modernisation roadmap.]</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REQ-016</w:t>
            </w:r>
          </w:p>
        </w:tc>
        <w:tc>
          <w:tcPr>
            <w:tcW w:type="dxa" w:w="4500"/>
          </w:tcPr>
          <w:p>
            <w:r>
              <w:rPr>
                <w:rFonts w:ascii="Arial" w:hAnsi="Arial"/>
                <w:color w:val="000000"/>
                <w:sz w:val="20"/>
              </w:rPr>
              <w:t>We have delivered fixed-price schedules for multi-year cloud migration engagements, as evidenced by our executed Statement of Work with ClientCo Enterprises. This schedule was accepted and executed on 22 July 2025, demonstrating our ability to structure fixed-price commercial agreements suitable for government procurement [DOC-007]. Our pricing approach includes all relevant components such as licences, migration tooling, professional services, and transition costs, ensuring comprehensive coverage within the fixed-price framework [DOC-007]. However, while the evidence substantiates our experience with fixed-price multi-year schedules inclusive of all required elements, further substantiation is needed to confirm annual escalation specifically capped at CPI plus 2%.</w:t>
            </w:r>
          </w:p>
        </w:tc>
        <w:tc>
          <w:tcPr>
            <w:tcW w:type="dxa" w:w="3360"/>
          </w:tcPr>
          <w:p>
            <w:r>
              <w:rPr>
                <w:rFonts w:ascii="Arial" w:hAnsi="Arial"/>
                <w:color w:val="000000"/>
                <w:sz w:val="20"/>
              </w:rPr>
              <w:t>[DOC-007] Executed SOW Extract — Fixed-Price Multi-Year Schedule (ClientCo)</w:t>
            </w:r>
          </w:p>
        </w:tc>
      </w:tr>
      <w:tr>
        <w:tc>
          <w:tcPr>
            <w:tcW w:type="dxa" w:w="1500"/>
          </w:tcPr>
          <w:p>
            <w:r>
              <w:rPr>
                <w:rFonts w:ascii="Arial" w:hAnsi="Arial"/>
                <w:color w:val="000000"/>
                <w:sz w:val="20"/>
              </w:rPr>
              <w:t>REQ-017</w:t>
            </w:r>
          </w:p>
        </w:tc>
        <w:tc>
          <w:tcPr>
            <w:tcW w:type="dxa" w:w="4500"/>
          </w:tcPr>
          <w:p>
            <w:r>
              <w:rPr>
                <w:rFonts w:ascii="Arial" w:hAnsi="Arial"/>
                <w:color w:val="000000"/>
                <w:sz w:val="20"/>
              </w:rPr>
              <w:t>We have previously accepted fixed-price commercial structures for cloud migration and managed services engagements, as evidenced by the executed Statement of Work with ClientCo Enterprises dated 22 July 2025 [DOC-007]. This SOW included a fixed-price multi-year schedule, with signature pages held in our contract register. Additionally, our engagement with FinanceDept Agency for the migration of core financial systems to Azure was delivered under a fixed-price contract valued at AUD 4.9M over a nine-month period [DOC-003]. These examples demonstrate our proven experience in accepting and successfully delivering projects under equivalent fixed-price structures.</w:t>
            </w:r>
          </w:p>
        </w:tc>
        <w:tc>
          <w:tcPr>
            <w:tcW w:type="dxa" w:w="3360"/>
          </w:tcPr>
          <w:p>
            <w:r>
              <w:rPr>
                <w:rFonts w:ascii="Arial" w:hAnsi="Arial"/>
                <w:color w:val="000000"/>
                <w:sz w:val="20"/>
              </w:rPr>
              <w:t>[DOC-007] Executed SOW Extract — Fixed-Price Multi-Year Schedule (ClientCo)</w:t>
              <w:br/>
              <w:t>[DOC-003] Case Study — FinanceDept Agency Core Systems Migration</w:t>
            </w:r>
          </w:p>
        </w:tc>
      </w:tr>
      <w:tr>
        <w:tc>
          <w:tcPr>
            <w:tcW w:type="dxa" w:w="1500"/>
          </w:tcPr>
          <w:p>
            <w:r>
              <w:rPr>
                <w:rFonts w:ascii="Arial" w:hAnsi="Arial"/>
                <w:color w:val="000000"/>
                <w:sz w:val="20"/>
              </w:rPr>
              <w:t>REQ-018</w:t>
            </w:r>
          </w:p>
        </w:tc>
        <w:tc>
          <w:tcPr>
            <w:tcW w:type="dxa" w:w="4500"/>
          </w:tcPr>
          <w:p>
            <w:r>
              <w:rPr>
                <w:rFonts w:ascii="Arial" w:hAnsi="Arial"/>
                <w:color w:val="000000"/>
                <w:sz w:val="20"/>
              </w:rPr>
              <w:t>We utilize a milestone-based payment schedule, as documented in our Commercial Terms Register, which records milestone payment structures agreed in prior engagements [DOC-008]. Each milestone is defined with a specific trigger for payment, and payments are typically calculated as a percentage of the contract value. This approach ensures transparency and aligns payment with project progress. However, the evidence does not specify certification by the DDT Project Director prior to invoicing or confirm net 30 days payment terms from receipt of a correctly rendered invoice; these elements require further substantiation.</w:t>
            </w:r>
          </w:p>
        </w:tc>
        <w:tc>
          <w:tcPr>
            <w:tcW w:type="dxa" w:w="3360"/>
          </w:tcPr>
          <w:p>
            <w:r>
              <w:rPr>
                <w:rFonts w:ascii="Arial" w:hAnsi="Arial"/>
                <w:color w:val="000000"/>
                <w:sz w:val="20"/>
              </w:rPr>
              <w:t>[DOC-008] Commercial Terms Register — Milestone Payments and Invoicing History</w:t>
            </w:r>
          </w:p>
        </w:tc>
      </w:tr>
      <w:tr>
        <w:tc>
          <w:tcPr>
            <w:tcW w:type="dxa" w:w="1500"/>
          </w:tcPr>
          <w:p>
            <w:r>
              <w:rPr>
                <w:rFonts w:ascii="Arial" w:hAnsi="Arial"/>
                <w:color w:val="000000"/>
                <w:sz w:val="20"/>
              </w:rPr>
              <w:t>REQ-019</w:t>
            </w:r>
          </w:p>
        </w:tc>
        <w:tc>
          <w:tcPr>
            <w:tcW w:type="dxa" w:w="4500"/>
          </w:tcPr>
          <w:p>
            <w:r>
              <w:rPr>
                <w:rFonts w:ascii="Arial" w:hAnsi="Arial"/>
                <w:color w:val="000000"/>
                <w:sz w:val="20"/>
              </w:rPr>
              <w:t>Our proposed delivery team includes Sarah Mitchell as the named Project Manager. Sarah holds a current PRINCE2 Practitioner certification, recertified through 2025, and a PMP certification [DOC-009]. Her CV is provided as evidence of her qualifications. However, the evidence does not specify the number of years of cloud migration programme experience; further substantiation is required to confirm the minimum seven-year experience criterion.</w:t>
            </w:r>
          </w:p>
        </w:tc>
        <w:tc>
          <w:tcPr>
            <w:tcW w:type="dxa" w:w="3360"/>
          </w:tcPr>
          <w:p>
            <w:r>
              <w:rPr>
                <w:rFonts w:ascii="Arial" w:hAnsi="Arial"/>
                <w:color w:val="000000"/>
                <w:sz w:val="20"/>
              </w:rPr>
              <w:t>[DOC-009] Key Personnel CV — Sarah Mitchell, Project Director</w:t>
            </w:r>
          </w:p>
        </w:tc>
      </w:tr>
      <w:tr>
        <w:tc>
          <w:tcPr>
            <w:tcW w:type="dxa" w:w="1500"/>
            <w:shd w:val="clear" w:color="auto" w:fill="FFE0E0"/>
          </w:tcPr>
          <w:p>
            <w:r>
              <w:rPr>
                <w:rFonts w:ascii="Arial" w:hAnsi="Arial"/>
                <w:color w:val="CC0000"/>
                <w:sz w:val="20"/>
              </w:rPr>
              <w:t>REQ-020</w:t>
            </w:r>
          </w:p>
        </w:tc>
        <w:tc>
          <w:tcPr>
            <w:tcW w:type="dxa" w:w="4500"/>
            <w:shd w:val="clear" w:color="auto" w:fill="FFE0E0"/>
          </w:tcPr>
          <w:p>
            <w:r>
              <w:rPr>
                <w:rFonts w:ascii="Arial" w:hAnsi="Arial"/>
                <w:color w:val="CC0000"/>
                <w:sz w:val="20"/>
              </w:rPr>
              <w:t>[ACTION REQUIRED: Provide policy or contract language demonstrating that substitution of key personnel requires the Agency's prior written approval.]</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REQ-021</w:t>
            </w:r>
          </w:p>
        </w:tc>
        <w:tc>
          <w:tcPr>
            <w:tcW w:type="dxa" w:w="4500"/>
          </w:tcPr>
          <w:p>
            <w:r>
              <w:rPr>
                <w:rFonts w:ascii="Arial" w:hAnsi="Arial"/>
                <w:color w:val="000000"/>
                <w:sz w:val="20"/>
              </w:rPr>
              <w:t>James Liu is named as our Lead Cloud Architect for proposed engagements. He holds a current Microsoft Certified: Azure Solutions Architect Expert certification, as well as Microsoft Certified: Azure Security, and maintains NV1 security clearance [DOC-014]. This directly satisfies the requirement for a lead architect with current Microsoft Azure architecture certification.</w:t>
            </w:r>
          </w:p>
        </w:tc>
        <w:tc>
          <w:tcPr>
            <w:tcW w:type="dxa" w:w="3360"/>
          </w:tcPr>
          <w:p>
            <w:r>
              <w:rPr>
                <w:rFonts w:ascii="Arial" w:hAnsi="Arial"/>
                <w:color w:val="000000"/>
                <w:sz w:val="20"/>
              </w:rPr>
              <w:t>[DOC-014] Key Personnel CV — James Liu, Lead Cloud Architect</w:t>
            </w:r>
          </w:p>
        </w:tc>
      </w:tr>
      <w:tr>
        <w:tc>
          <w:tcPr>
            <w:tcW w:type="dxa" w:w="1500"/>
            <w:shd w:val="clear" w:color="auto" w:fill="FFE0E0"/>
          </w:tcPr>
          <w:p>
            <w:r>
              <w:rPr>
                <w:rFonts w:ascii="Arial" w:hAnsi="Arial"/>
                <w:color w:val="CC0000"/>
                <w:sz w:val="20"/>
              </w:rPr>
              <w:t>REQ-022</w:t>
            </w:r>
          </w:p>
        </w:tc>
        <w:tc>
          <w:tcPr>
            <w:tcW w:type="dxa" w:w="4500"/>
            <w:shd w:val="clear" w:color="auto" w:fill="FFE0E0"/>
          </w:tcPr>
          <w:p>
            <w:r>
              <w:rPr>
                <w:rFonts w:ascii="Arial" w:hAnsi="Arial"/>
                <w:color w:val="CC0000"/>
                <w:sz w:val="20"/>
              </w:rPr>
              <w:t>[ACTION REQUIRED: Provide meeting schedules, minutes, or reporting templates demonstrating operation of a monthly steering committee and fortnightly progress reporting.]</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REQ-023</w:t>
            </w:r>
          </w:p>
        </w:tc>
        <w:tc>
          <w:tcPr>
            <w:tcW w:type="dxa" w:w="4500"/>
          </w:tcPr>
          <w:p>
            <w:r>
              <w:rPr>
                <w:rFonts w:ascii="Arial" w:hAnsi="Arial"/>
                <w:color w:val="000000"/>
                <w:sz w:val="20"/>
              </w:rPr>
              <w:t>Contoso Cloud Solutions operates a privacy management framework aligned to the Privacy Act 1988 (Cth) and the Australian Privacy Principles (APPs), with annual reviews to ensure ongoing compliance [DOC-011]. This framework is overseen by the General Counsel and Privacy Officer, as documented in our compliance statement [DOC-011]. While our evidence demonstrates alignment with the Privacy Act and APPs, further substantiation is required regarding compliance with the Notifiable Data Breaches scheme.</w:t>
            </w:r>
          </w:p>
        </w:tc>
        <w:tc>
          <w:tcPr>
            <w:tcW w:type="dxa" w:w="3360"/>
          </w:tcPr>
          <w:p>
            <w:r>
              <w:rPr>
                <w:rFonts w:ascii="Arial" w:hAnsi="Arial"/>
                <w:color w:val="000000"/>
                <w:sz w:val="20"/>
              </w:rPr>
              <w:t>[DOC-011] Privacy Act 1988 Compliance Statement and Breach Notification Procedure</w:t>
            </w:r>
          </w:p>
        </w:tc>
      </w:tr>
      <w:tr>
        <w:tc>
          <w:tcPr>
            <w:tcW w:type="dxa" w:w="1500"/>
            <w:shd w:val="clear" w:color="auto" w:fill="FFE0E0"/>
          </w:tcPr>
          <w:p>
            <w:r>
              <w:rPr>
                <w:rFonts w:ascii="Arial" w:hAnsi="Arial"/>
                <w:color w:val="CC0000"/>
                <w:sz w:val="20"/>
              </w:rPr>
              <w:t>REQ-024</w:t>
            </w:r>
          </w:p>
        </w:tc>
        <w:tc>
          <w:tcPr>
            <w:tcW w:type="dxa" w:w="4500"/>
            <w:shd w:val="clear" w:color="auto" w:fill="FFE0E0"/>
          </w:tcPr>
          <w:p>
            <w:r>
              <w:rPr>
                <w:rFonts w:ascii="Arial" w:hAnsi="Arial"/>
                <w:color w:val="CC0000"/>
                <w:sz w:val="20"/>
              </w:rPr>
              <w:t>[ACTION REQUIRED: Provide a documented breach notification procedure explicitly committing to notify the Agency within 24 hours of discovery of any eligible or suspected data breach.]</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REQ-025</w:t>
            </w:r>
          </w:p>
        </w:tc>
        <w:tc>
          <w:tcPr>
            <w:tcW w:type="dxa" w:w="4500"/>
          </w:tcPr>
          <w:p>
            <w:r>
              <w:rPr>
                <w:rFonts w:ascii="Arial" w:hAnsi="Arial"/>
                <w:color w:val="000000"/>
                <w:sz w:val="20"/>
              </w:rPr>
              <w:t>Our privacy management framework is aligned to the Privacy Act 1988 (Cth) and the Australian Privacy Principles (APPs), with annual reviews to ensure ongoing compliance. This framework is overseen by our General Counsel and Privacy Officer, as documented in our Privacy Act 1988 Compliance Statement [DOC-011]. However, while the evidence substantiates the existence and regular review of our privacy management framework, further substantiation is required regarding tested breach response procedures.</w:t>
            </w:r>
          </w:p>
        </w:tc>
        <w:tc>
          <w:tcPr>
            <w:tcW w:type="dxa" w:w="3360"/>
          </w:tcPr>
          <w:p>
            <w:r>
              <w:rPr>
                <w:rFonts w:ascii="Arial" w:hAnsi="Arial"/>
                <w:color w:val="000000"/>
                <w:sz w:val="20"/>
              </w:rPr>
              <w:t>[DOC-011] Privacy Act 1988 Compliance Statement and Breach Notification Procedure</w:t>
            </w:r>
          </w:p>
        </w:tc>
      </w:tr>
      <w:tr>
        <w:tc>
          <w:tcPr>
            <w:tcW w:type="dxa" w:w="1500"/>
            <w:shd w:val="clear" w:color="auto" w:fill="FFE0E0"/>
          </w:tcPr>
          <w:p>
            <w:r>
              <w:rPr>
                <w:rFonts w:ascii="Arial" w:hAnsi="Arial"/>
                <w:color w:val="CC0000"/>
                <w:sz w:val="20"/>
              </w:rPr>
              <w:t>REQ-026</w:t>
            </w:r>
          </w:p>
        </w:tc>
        <w:tc>
          <w:tcPr>
            <w:tcW w:type="dxa" w:w="4500"/>
            <w:shd w:val="clear" w:color="auto" w:fill="FFE0E0"/>
          </w:tcPr>
          <w:p>
            <w:r>
              <w:rPr>
                <w:rFonts w:ascii="Arial" w:hAnsi="Arial"/>
                <w:color w:val="CC0000"/>
                <w:sz w:val="20"/>
              </w:rPr>
              <w:t>[ACTION REQUIRED: Provide contract schedules or supplier registers demonstrating at least 10% of contract value delivered through registered Indigenous businesses.]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REQ-027</w:t>
            </w:r>
          </w:p>
        </w:tc>
        <w:tc>
          <w:tcPr>
            <w:tcW w:type="dxa" w:w="4500"/>
            <w:shd w:val="clear" w:color="auto" w:fill="FFE0E0"/>
          </w:tcPr>
          <w:p>
            <w:r>
              <w:rPr>
                <w:rFonts w:ascii="Arial" w:hAnsi="Arial"/>
                <w:color w:val="CC0000"/>
                <w:sz w:val="20"/>
              </w:rPr>
              <w:t>[ACTION REQUIRED: No internal evidence found for this requirement. Provide documentation covering: Respondents must identify the Indigenous businesses they propose to engage, the scope each will deliver, and any existin...]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REQ-028</w:t>
            </w:r>
          </w:p>
        </w:tc>
        <w:tc>
          <w:tcPr>
            <w:tcW w:type="dxa" w:w="4500"/>
            <w:shd w:val="clear" w:color="auto" w:fill="FFE0E0"/>
          </w:tcPr>
          <w:p>
            <w:r>
              <w:rPr>
                <w:rFonts w:ascii="Arial" w:hAnsi="Arial"/>
                <w:color w:val="CC0000"/>
                <w:sz w:val="20"/>
              </w:rPr>
              <w:t>[ACTION REQUIRED: Provide a documented quantum-safe cryptography transition plan detailing migration of platform cryptography to post-quantum algorithms and interim crypto-agility measures.]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REQ-029</w:t>
            </w:r>
          </w:p>
        </w:tc>
        <w:tc>
          <w:tcPr>
            <w:tcW w:type="dxa" w:w="4500"/>
            <w:shd w:val="clear" w:color="auto" w:fill="FFE0E0"/>
          </w:tcPr>
          <w:p>
            <w:r>
              <w:rPr>
                <w:rFonts w:ascii="Arial" w:hAnsi="Arial"/>
                <w:color w:val="CC0000"/>
                <w:sz w:val="20"/>
              </w:rPr>
              <w:t>[ACTION REQUIRED: Provide documentation or reports demonstrating quarterly carbon footprint reporting and year-on-year reduction targets for Azure consumption.]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REQ-030</w:t>
            </w:r>
          </w:p>
        </w:tc>
        <w:tc>
          <w:tcPr>
            <w:tcW w:type="dxa" w:w="4500"/>
            <w:shd w:val="clear" w:color="auto" w:fill="FFE0E0"/>
          </w:tcPr>
          <w:p>
            <w:r>
              <w:rPr>
                <w:rFonts w:ascii="Arial" w:hAnsi="Arial"/>
                <w:color w:val="CC0000"/>
                <w:sz w:val="20"/>
              </w:rPr>
              <w:t>[ACTION REQUIRED: No internal evidence found for this requirement. Provide documentation covering: An ongoing FinOps practice with quarterly optimisation reviews and a shared-savings mechanism for realised cost reductio...]</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REQ-031</w:t>
            </w:r>
          </w:p>
        </w:tc>
        <w:tc>
          <w:tcPr>
            <w:tcW w:type="dxa" w:w="4500"/>
            <w:shd w:val="clear" w:color="auto" w:fill="FFE0E0"/>
          </w:tcPr>
          <w:p>
            <w:r>
              <w:rPr>
                <w:rFonts w:ascii="Arial" w:hAnsi="Arial"/>
                <w:color w:val="CC0000"/>
                <w:sz w:val="20"/>
              </w:rPr>
              <w:t>[ACTION REQUIRED: Provide a compliance matrix or checklist explicitly mapping responses to each mandatory requirement to demonstrate that all have been addressed.]</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REQ-032</w:t>
            </w:r>
          </w:p>
        </w:tc>
        <w:tc>
          <w:tcPr>
            <w:tcW w:type="dxa" w:w="4500"/>
          </w:tcPr>
          <w:p>
            <w:r>
              <w:rPr>
                <w:rFonts w:ascii="Arial" w:hAnsi="Arial"/>
                <w:color w:val="000000"/>
                <w:sz w:val="20"/>
              </w:rPr>
              <w:t>Our technical capability and migration approach are demonstrated through successful panel appointments, such as the GovCloud Services Panel 2025, where our migration factory model was accepted and implemented [DOC-012]. We have executed fixed-price, multi-year commercial terms for cloud migration and managed services engagements, as evidenced by our contract with ClientCo Enterprises [DOC-007]. Our team has delivered complex migrations, including the FinanceDept Agency’s core systems migration to Azure IaaS/PaaS, involving 510 virtual machines over a nine-month period [DOC-003]. These projects illustrate our technical expertise, proven migration methodology, and experience with government clients. While the evidence substantiates our technical approach, commercial terms, and team experience, further substantiation is required for risk management and compliance practices.</w:t>
            </w:r>
          </w:p>
        </w:tc>
        <w:tc>
          <w:tcPr>
            <w:tcW w:type="dxa" w:w="3360"/>
          </w:tcPr>
          <w:p>
            <w:r>
              <w:rPr>
                <w:rFonts w:ascii="Arial" w:hAnsi="Arial"/>
                <w:color w:val="000000"/>
                <w:sz w:val="20"/>
              </w:rPr>
              <w:t>[DOC-012] Winning Proposal Excerpt — GovCloud Services Panel 2025 (Technical Approach)</w:t>
              <w:br/>
              <w:t>[DOC-007] Executed SOW Extract — Fixed-Price Multi-Year Schedule (ClientCo)</w:t>
              <w:br/>
              <w:t>[DOC-003] Case Study — FinanceDept Agency Core Systems Migration</w:t>
            </w:r>
          </w:p>
        </w:tc>
      </w:tr>
      <w:tr>
        <w:tc>
          <w:tcPr>
            <w:tcW w:type="dxa" w:w="1500"/>
            <w:shd w:val="clear" w:color="auto" w:fill="FFE0E0"/>
          </w:tcPr>
          <w:p>
            <w:r>
              <w:rPr>
                <w:rFonts w:ascii="Arial" w:hAnsi="Arial"/>
                <w:color w:val="CC0000"/>
                <w:sz w:val="20"/>
              </w:rPr>
              <w:t>REQ-033</w:t>
            </w:r>
          </w:p>
        </w:tc>
        <w:tc>
          <w:tcPr>
            <w:tcW w:type="dxa" w:w="4500"/>
            <w:shd w:val="clear" w:color="auto" w:fill="FFE0E0"/>
          </w:tcPr>
          <w:p>
            <w:r>
              <w:rPr>
                <w:rFonts w:ascii="Arial" w:hAnsi="Arial"/>
                <w:color w:val="CC0000"/>
                <w:sz w:val="20"/>
              </w:rPr>
              <w:t>[ACTION REQUIRED: Provide documentation or internal policy demonstrating understanding of and compliance with the minimum proposal scoring threshold.]</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REQ-034</w:t>
            </w:r>
          </w:p>
        </w:tc>
        <w:tc>
          <w:tcPr>
            <w:tcW w:type="dxa" w:w="4500"/>
          </w:tcPr>
          <w:p>
            <w:r>
              <w:rPr>
                <w:rFonts w:ascii="Arial" w:hAnsi="Arial"/>
                <w:color w:val="000000"/>
                <w:sz w:val="20"/>
              </w:rPr>
              <w:t>We maintain a Client Reference Register specifically for government engagements, which includes consented references such as HealthGov Australia [DOC-013]. This register is updated regularly and is available for agencies to conduct reference checks as part of their evaluation process [DOC-013]. Additionally, our experience with FinanceDept Agency, involving the migration of core financial systems to Azure IaaS/PaaS, demonstrates our ability to deliver complex projects for government clients [DOC-003]. While the evidence supports our readiness for reference checks, further substantiation is required regarding our participation in clarification sessions and presentations for shortlisted respondents.</w:t>
            </w:r>
          </w:p>
        </w:tc>
        <w:tc>
          <w:tcPr>
            <w:tcW w:type="dxa" w:w="3360"/>
          </w:tcPr>
          <w:p>
            <w:r>
              <w:rPr>
                <w:rFonts w:ascii="Arial" w:hAnsi="Arial"/>
                <w:color w:val="000000"/>
                <w:sz w:val="20"/>
              </w:rPr>
              <w:t>[DOC-013] Client Reference Register — Government Engagements</w:t>
              <w:br/>
              <w:t>[DOC-003] Case Study — FinanceDept Agency Core Systems Migration</w:t>
            </w:r>
          </w:p>
        </w:tc>
      </w:tr>
      <w:tr>
        <w:tc>
          <w:tcPr>
            <w:tcW w:type="dxa" w:w="1500"/>
            <w:shd w:val="clear" w:color="auto" w:fill="FFE0E0"/>
          </w:tcPr>
          <w:p>
            <w:r>
              <w:rPr>
                <w:rFonts w:ascii="Arial" w:hAnsi="Arial"/>
                <w:color w:val="CC0000"/>
                <w:sz w:val="20"/>
              </w:rPr>
              <w:t>REQ-035</w:t>
            </w:r>
          </w:p>
        </w:tc>
        <w:tc>
          <w:tcPr>
            <w:tcW w:type="dxa" w:w="4500"/>
            <w:shd w:val="clear" w:color="auto" w:fill="FFE0E0"/>
          </w:tcPr>
          <w:p>
            <w:r>
              <w:rPr>
                <w:rFonts w:ascii="Arial" w:hAnsi="Arial"/>
                <w:color w:val="CC0000"/>
                <w:sz w:val="20"/>
              </w:rPr>
              <w:t>[ACTION REQUIRED: Provide documentation or correspondence confirming intent or ability to lodge proposals via AusTender by the specified deadline.]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REQ-036</w:t>
            </w:r>
          </w:p>
        </w:tc>
        <w:tc>
          <w:tcPr>
            <w:tcW w:type="dxa" w:w="4500"/>
            <w:shd w:val="clear" w:color="auto" w:fill="FFE0E0"/>
          </w:tcPr>
          <w:p>
            <w:r>
              <w:rPr>
                <w:rFonts w:ascii="Arial" w:hAnsi="Arial"/>
                <w:color w:val="CC0000"/>
                <w:sz w:val="20"/>
              </w:rPr>
              <w:t>[ACTION REQUIRED: No internal evidence found for this requirement. Provide documentation covering: Late submissions will not be accepted under any circumstances....]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REQ-037</w:t>
            </w:r>
          </w:p>
        </w:tc>
        <w:tc>
          <w:tcPr>
            <w:tcW w:type="dxa" w:w="4500"/>
            <w:shd w:val="clear" w:color="auto" w:fill="FFE0E0"/>
          </w:tcPr>
          <w:p>
            <w:r>
              <w:rPr>
                <w:rFonts w:ascii="Arial" w:hAnsi="Arial"/>
                <w:color w:val="CC0000"/>
                <w:sz w:val="20"/>
              </w:rPr>
              <w:t>[ACTION REQUIRED: No internal evidence found for this requirement. Provide documentation covering: Proposals must be submitted as a single PDF of no more than 60 pages, structured to address each requirement reference (...]</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REQ-038</w:t>
            </w:r>
          </w:p>
        </w:tc>
        <w:tc>
          <w:tcPr>
            <w:tcW w:type="dxa" w:w="4500"/>
            <w:shd w:val="clear" w:color="auto" w:fill="FFE0E0"/>
          </w:tcPr>
          <w:p>
            <w:r>
              <w:rPr>
                <w:rFonts w:ascii="Arial" w:hAnsi="Arial"/>
                <w:color w:val="CC0000"/>
                <w:sz w:val="20"/>
              </w:rPr>
              <w:t>[ACTION REQUIRED: Provide internal policy or communication demonstrating compliance with AusTender forum question and answer procedures and deadlines.]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REQ-039</w:t>
            </w:r>
          </w:p>
        </w:tc>
        <w:tc>
          <w:tcPr>
            <w:tcW w:type="dxa" w:w="4500"/>
            <w:shd w:val="clear" w:color="auto" w:fill="FFE0E0"/>
          </w:tcPr>
          <w:p>
            <w:r>
              <w:rPr>
                <w:rFonts w:ascii="Arial" w:hAnsi="Arial"/>
                <w:color w:val="CC0000"/>
                <w:sz w:val="20"/>
              </w:rPr>
              <w:t>[ACTION REQUIRED: Provide a copy of the RFP terms or proposal cover letter explicitly acknowledging the Agency's right not to accept the lowest-priced or any proposal.]</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REQ-040</w:t>
            </w:r>
          </w:p>
        </w:tc>
        <w:tc>
          <w:tcPr>
            <w:tcW w:type="dxa" w:w="4500"/>
            <w:shd w:val="clear" w:color="auto" w:fill="FFE0E0"/>
          </w:tcPr>
          <w:p>
            <w:r>
              <w:rPr>
                <w:rFonts w:ascii="Arial" w:hAnsi="Arial"/>
                <w:color w:val="CC0000"/>
                <w:sz w:val="20"/>
              </w:rPr>
              <w:t>[ACTION REQUIRED: Provide contract terms or policy documents explicitly acknowledging the Agency's right to discontinue the process at any time.]</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REQ-041</w:t>
            </w:r>
          </w:p>
        </w:tc>
        <w:tc>
          <w:tcPr>
            <w:tcW w:type="dxa" w:w="4500"/>
            <w:shd w:val="clear" w:color="auto" w:fill="FFE0E0"/>
          </w:tcPr>
          <w:p>
            <w:r>
              <w:rPr>
                <w:rFonts w:ascii="Arial" w:hAnsi="Arial"/>
                <w:color w:val="CC0000"/>
                <w:sz w:val="20"/>
              </w:rPr>
              <w:t>[ACTION REQUIRED: No internal evidence found for this requirement. Provide documentation covering: Respondents bear their own costs of participation....]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REQ-042</w:t>
            </w:r>
          </w:p>
        </w:tc>
        <w:tc>
          <w:tcPr>
            <w:tcW w:type="dxa" w:w="4500"/>
            <w:shd w:val="clear" w:color="auto" w:fill="FFE0E0"/>
          </w:tcPr>
          <w:p>
            <w:r>
              <w:rPr>
                <w:rFonts w:ascii="Arial" w:hAnsi="Arial"/>
                <w:color w:val="CC0000"/>
                <w:sz w:val="20"/>
              </w:rPr>
              <w:t>[ACTION REQUIRED: Provide a proposal or contractual document explicitly stating proposal validity for at least 120 days from submission.]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REQ-043</w:t>
            </w:r>
          </w:p>
        </w:tc>
        <w:tc>
          <w:tcPr>
            <w:tcW w:type="dxa" w:w="4500"/>
            <w:shd w:val="clear" w:color="auto" w:fill="FFE0E0"/>
          </w:tcPr>
          <w:p>
            <w:r>
              <w:rPr>
                <w:rFonts w:ascii="Arial" w:hAnsi="Arial"/>
                <w:color w:val="CC0000"/>
                <w:sz w:val="20"/>
              </w:rPr>
              <w:t>[ACTION REQUIRED: Provide executed contract excerpts or legal correspondence demonstrating acceptance of Commonwealth contract terms, including liquidated damages, key personnel, and step-in rights.]</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REQ-044</w:t>
            </w:r>
          </w:p>
        </w:tc>
        <w:tc>
          <w:tcPr>
            <w:tcW w:type="dxa" w:w="4500"/>
          </w:tcPr>
          <w:p>
            <w:r>
              <w:rPr>
                <w:rFonts w:ascii="Arial" w:hAnsi="Arial"/>
                <w:color w:val="000000"/>
                <w:sz w:val="20"/>
              </w:rPr>
              <w:t>We have successfully migrated large-scale virtual machine environments to Azure, including 540 VMs for StateGov Authority [DOC-002], 510 VMs for FinanceDept Agency [DOC-003], and 620 VMs for HealthGov Australia [DOC-001]. These projects demonstrate our proven capability in migrating and managing complex VM workloads at the 500+ scale. However, the available evidence does not specify the operating system breakdown (Windows Server 2012 R2/2016, Windows Server 2019, or RHEL 8) for these migrations and further substantiation is required to confirm experience with the exact mix requested.</w:t>
            </w:r>
          </w:p>
        </w:tc>
        <w:tc>
          <w:tcPr>
            <w:tcW w:type="dxa" w:w="3360"/>
          </w:tcPr>
          <w:p>
            <w:r>
              <w:rPr>
                <w:rFonts w:ascii="Arial" w:hAnsi="Arial"/>
                <w:color w:val="000000"/>
                <w:sz w:val="20"/>
              </w:rPr>
              <w:t>[DOC-002] Case Study — StateGov Authority Cloud Transition Program</w:t>
              <w:br/>
              <w:t>[DOC-003] Case Study — FinanceDept Agency Core Systems Migration</w:t>
              <w:br/>
              <w:t>[DOC-001] Case Study — HealthGov Australia Datacentre-to-Azure Migration</w:t>
            </w:r>
          </w:p>
        </w:tc>
      </w:tr>
      <w:tr>
        <w:tc>
          <w:tcPr>
            <w:tcW w:type="dxa" w:w="1500"/>
            <w:shd w:val="clear" w:color="auto" w:fill="FFE0E0"/>
          </w:tcPr>
          <w:p>
            <w:r>
              <w:rPr>
                <w:rFonts w:ascii="Arial" w:hAnsi="Arial"/>
                <w:color w:val="CC0000"/>
                <w:sz w:val="20"/>
              </w:rPr>
              <w:t>REQ-045</w:t>
            </w:r>
          </w:p>
        </w:tc>
        <w:tc>
          <w:tcPr>
            <w:tcW w:type="dxa" w:w="4500"/>
            <w:shd w:val="clear" w:color="auto" w:fill="FFE0E0"/>
          </w:tcPr>
          <w:p>
            <w:r>
              <w:rPr>
                <w:rFonts w:ascii="Arial" w:hAnsi="Arial"/>
                <w:color w:val="CC0000"/>
                <w:sz w:val="20"/>
              </w:rPr>
              <w:t>[ACTION REQUIRED: Provide a case study or reference demonstrating migration and management of at least 36 SQL Server instances (2014-2019) totaling 48 TB of data.]</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REQ-046</w:t>
            </w:r>
          </w:p>
        </w:tc>
        <w:tc>
          <w:tcPr>
            <w:tcW w:type="dxa" w:w="4500"/>
          </w:tcPr>
          <w:p>
            <w:r>
              <w:rPr>
                <w:rFonts w:ascii="Arial" w:hAnsi="Arial"/>
                <w:color w:val="000000"/>
                <w:sz w:val="20"/>
              </w:rPr>
              <w:t>We have managed large-scale storage migration as part of full datacentre exits and Azure transitions for government clients. For HealthGov Australia, we executed a comprehensive migration of two on-premises datacentres to Azure, which included the migration of all associated storage tiers [DOC-001]. Similarly, for StateGov Authority, we migrated a shared-services platform encompassing 540 virtual machines to Azure, demonstrating our capability to handle complex storage environments [DOC-002]. However, the evidence provided does not specify the migration or management of 410 TB across SAN and NAS tiers; further substantiation is required to confirm experience with this specific volume and tier configuration.</w:t>
            </w:r>
          </w:p>
        </w:tc>
        <w:tc>
          <w:tcPr>
            <w:tcW w:type="dxa" w:w="3360"/>
          </w:tcPr>
          <w:p>
            <w:r>
              <w:rPr>
                <w:rFonts w:ascii="Arial" w:hAnsi="Arial"/>
                <w:color w:val="000000"/>
                <w:sz w:val="20"/>
              </w:rPr>
              <w:t>[DOC-001] Case Study — HealthGov Australia Datacentre-to-Azure Migration</w:t>
              <w:br/>
              <w:t>[DOC-002] Case Study — StateGov Authority Cloud Transition Program</w:t>
            </w:r>
          </w:p>
        </w:tc>
      </w:tr>
      <w:tr>
        <w:tc>
          <w:tcPr>
            <w:tcW w:type="dxa" w:w="1500"/>
            <w:shd w:val="clear" w:color="auto" w:fill="FFE0E0"/>
          </w:tcPr>
          <w:p>
            <w:r>
              <w:rPr>
                <w:rFonts w:ascii="Arial" w:hAnsi="Arial"/>
                <w:color w:val="CC0000"/>
                <w:sz w:val="20"/>
              </w:rPr>
              <w:t>REQ-047</w:t>
            </w:r>
          </w:p>
        </w:tc>
        <w:tc>
          <w:tcPr>
            <w:tcW w:type="dxa" w:w="4500"/>
            <w:shd w:val="clear" w:color="auto" w:fill="FFE0E0"/>
          </w:tcPr>
          <w:p>
            <w:r>
              <w:rPr>
                <w:rFonts w:ascii="Arial" w:hAnsi="Arial"/>
                <w:color w:val="CC0000"/>
                <w:sz w:val="20"/>
              </w:rPr>
              <w:t>[ACTION REQUIRED: Provide architecture diagrams or project documentation demonstrating implementation of dual 10 Gbps datacentre links and ExpressRoute provisioning.]</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REQ-048</w:t>
            </w:r>
          </w:p>
        </w:tc>
        <w:tc>
          <w:tcPr>
            <w:tcW w:type="dxa" w:w="4500"/>
            <w:shd w:val="clear" w:color="auto" w:fill="FFE0E0"/>
          </w:tcPr>
          <w:p>
            <w:r>
              <w:rPr>
                <w:rFonts w:ascii="Arial" w:hAnsi="Arial"/>
                <w:color w:val="CC0000"/>
                <w:sz w:val="20"/>
              </w:rPr>
              <w:t>[ACTION REQUIRED: Provide documentation or case studies demonstrating integration with Active Directory at 2016 functional level and Entra ID Connect synchronisation.]</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REQ-049</w:t>
            </w:r>
          </w:p>
        </w:tc>
        <w:tc>
          <w:tcPr>
            <w:tcW w:type="dxa" w:w="4500"/>
            <w:shd w:val="clear" w:color="auto" w:fill="FFE0E0"/>
          </w:tcPr>
          <w:p>
            <w:r>
              <w:rPr>
                <w:rFonts w:ascii="Arial" w:hAnsi="Arial"/>
                <w:color w:val="CC0000"/>
                <w:sz w:val="20"/>
              </w:rPr>
              <w:t>[ACTION REQUIRED: Provide backup policy documentation or operational evidence demonstrating nightly full backups to disk with 35-day retention and quarterly archive to tape.]</w:t>
            </w:r>
          </w:p>
        </w:tc>
        <w:tc>
          <w:tcPr>
            <w:tcW w:type="dxa" w:w="3360"/>
            <w:shd w:val="clear" w:color="auto" w:fill="FFE0E0"/>
          </w:tcPr>
          <w:p>
            <w:r>
              <w:rPr>
                <w:rFonts w:ascii="Arial" w:hAnsi="Arial"/>
                <w:color w:val="CC0000"/>
                <w:sz w:val="20"/>
              </w:rPr>
              <w:t>No evidence on file — human action required.</w:t>
            </w:r>
          </w:p>
        </w:tc>
      </w:tr>
      <w:tr>
        <w:tc>
          <w:tcPr>
            <w:tcW w:type="dxa" w:w="1500"/>
          </w:tcPr>
          <w:p>
            <w:r>
              <w:rPr>
                <w:rFonts w:ascii="Arial" w:hAnsi="Arial"/>
                <w:color w:val="000000"/>
                <w:sz w:val="20"/>
              </w:rPr>
              <w:t>REQ-050</w:t>
            </w:r>
          </w:p>
        </w:tc>
        <w:tc>
          <w:tcPr>
            <w:tcW w:type="dxa" w:w="4500"/>
          </w:tcPr>
          <w:p>
            <w:r>
              <w:rPr>
                <w:rFonts w:ascii="Arial" w:hAnsi="Arial"/>
                <w:color w:val="000000"/>
                <w:sz w:val="20"/>
              </w:rPr>
              <w:t>For Tier-1 workloads, we deliver a 99.95% availability SLA, measured monthly, across all managed Azure environments under 24/7 support, as outlined in our Managed Services Incident Response Runbook [DOC-010]. This SLA is applied to production workloads at the standard government tier, ensuring high reliability for critical applications. While our case studies demonstrate large-scale Azure migrations for government agencies, including HealthGov Australia and FinanceDept Agency [DOC-001][DOC-003], the evidence does not specify cutover window durations for Tier-1 workloads. Further substantiation is required regarding the maximum four-hour cutover window.</w:t>
            </w:r>
          </w:p>
        </w:tc>
        <w:tc>
          <w:tcPr>
            <w:tcW w:type="dxa" w:w="3360"/>
          </w:tcPr>
          <w:p>
            <w:r>
              <w:rPr>
                <w:rFonts w:ascii="Arial" w:hAnsi="Arial"/>
                <w:color w:val="000000"/>
                <w:sz w:val="20"/>
              </w:rPr>
              <w:t>[DOC-010] Managed Services Incident Response Runbook (Extract)</w:t>
              <w:br/>
              <w:t>[DOC-001] Case Study — HealthGov Australia Datacentre-to-Azure Migration</w:t>
              <w:br/>
              <w:t>[DOC-003] Case Study — FinanceDept Agency Core Systems Migration</w:t>
            </w:r>
          </w:p>
        </w:tc>
      </w:tr>
      <w:tr>
        <w:tc>
          <w:tcPr>
            <w:tcW w:type="dxa" w:w="1500"/>
          </w:tcPr>
          <w:p>
            <w:r>
              <w:rPr>
                <w:rFonts w:ascii="Arial" w:hAnsi="Arial"/>
                <w:color w:val="000000"/>
                <w:sz w:val="20"/>
              </w:rPr>
              <w:t>REQ-051</w:t>
            </w:r>
          </w:p>
        </w:tc>
        <w:tc>
          <w:tcPr>
            <w:tcW w:type="dxa" w:w="4500"/>
          </w:tcPr>
          <w:p>
            <w:r>
              <w:rPr>
                <w:rFonts w:ascii="Arial" w:hAnsi="Arial"/>
                <w:color w:val="000000"/>
                <w:sz w:val="20"/>
              </w:rPr>
              <w:t>Our migration factory model, as outlined in our technical approach for the GovCloud Services Panel 2025, enables structured discovery, dependency mapping, wave planning, and rehearsal for Tier-2 workload migrations [DOC-012]. This methodology has been successfully applied in large-scale datacentre migrations, including the HealthGov Australia engagement, where two on-premises datacentres were migrated to Azure over a 14-month period [DOC-001]. Additionally, our executed Statement of Work with ClientCo Enterprises demonstrates our capability to deliver cloud migration and ongoing managed services under a fixed-price, multi-year schedule [DOC-007]. While these examples substantiate our experience with Tier-2 workload migration and management, specific evidence regarding the migration of 61 internal corporate and case-management applications requires further substantiation.</w:t>
            </w:r>
          </w:p>
        </w:tc>
        <w:tc>
          <w:tcPr>
            <w:tcW w:type="dxa" w:w="3360"/>
          </w:tcPr>
          <w:p>
            <w:r>
              <w:rPr>
                <w:rFonts w:ascii="Arial" w:hAnsi="Arial"/>
                <w:color w:val="000000"/>
                <w:sz w:val="20"/>
              </w:rPr>
              <w:t>[DOC-012] Winning Proposal Excerpt — GovCloud Services Panel 2025 (Technical Approach)</w:t>
              <w:br/>
              <w:t>[DOC-001] Case Study — HealthGov Australia Datacentre-to-Azure Migration</w:t>
              <w:br/>
              <w:t>[DOC-007] Executed SOW Extract — Fixed-Price Multi-Year Schedule (ClientCo)</w:t>
            </w:r>
          </w:p>
        </w:tc>
      </w:tr>
      <w:tr>
        <w:tc>
          <w:tcPr>
            <w:tcW w:type="dxa" w:w="1500"/>
            <w:shd w:val="clear" w:color="auto" w:fill="FFE0E0"/>
          </w:tcPr>
          <w:p>
            <w:r>
              <w:rPr>
                <w:rFonts w:ascii="Arial" w:hAnsi="Arial"/>
                <w:color w:val="CC0000"/>
                <w:sz w:val="20"/>
              </w:rPr>
              <w:t>REQ-052</w:t>
            </w:r>
          </w:p>
        </w:tc>
        <w:tc>
          <w:tcPr>
            <w:tcW w:type="dxa" w:w="4500"/>
            <w:shd w:val="clear" w:color="auto" w:fill="FFE0E0"/>
          </w:tcPr>
          <w:p>
            <w:r>
              <w:rPr>
                <w:rFonts w:ascii="Arial" w:hAnsi="Arial"/>
                <w:color w:val="CC0000"/>
                <w:sz w:val="20"/>
              </w:rPr>
              <w:t>[ACTION REQUIRED: Provide documentation or case studies explicitly demonstrating support for Tier-3 workloads such as development, test, and archive systems.]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REQ-053</w:t>
            </w:r>
          </w:p>
        </w:tc>
        <w:tc>
          <w:tcPr>
            <w:tcW w:type="dxa" w:w="4500"/>
            <w:shd w:val="clear" w:color="auto" w:fill="FFE0E0"/>
          </w:tcPr>
          <w:p>
            <w:r>
              <w:rPr>
                <w:rFonts w:ascii="Arial" w:hAnsi="Arial"/>
                <w:color w:val="CC0000"/>
                <w:sz w:val="20"/>
              </w:rPr>
              <w:t>[ACTION REQUIRED: Provide case studies or project documentation demonstrating assessment of nominated legacy applications for containerisation or re-platforming.]</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REQ-054</w:t>
            </w:r>
          </w:p>
        </w:tc>
        <w:tc>
          <w:tcPr>
            <w:tcW w:type="dxa" w:w="4500"/>
            <w:shd w:val="clear" w:color="auto" w:fill="FFE0E0"/>
          </w:tcPr>
          <w:p>
            <w:r>
              <w:rPr>
                <w:rFonts w:ascii="Arial" w:hAnsi="Arial"/>
                <w:color w:val="CC0000"/>
                <w:sz w:val="20"/>
              </w:rPr>
              <w:t>[ACTION REQUIRED: Provide documentation or project plans explicitly committing to datacentre decommissioning and lease exit by 30 June 2027.]</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REQ-055</w:t>
            </w:r>
          </w:p>
        </w:tc>
        <w:tc>
          <w:tcPr>
            <w:tcW w:type="dxa" w:w="4500"/>
            <w:shd w:val="clear" w:color="auto" w:fill="FFE0E0"/>
          </w:tcPr>
          <w:p>
            <w:r>
              <w:rPr>
                <w:rFonts w:ascii="Arial" w:hAnsi="Arial"/>
                <w:color w:val="CC0000"/>
                <w:sz w:val="20"/>
              </w:rPr>
              <w:t>[ACTION REQUIRED: Provide documentation or project plans demonstrating the ability to propose and deliver alternative timelines while meeting fixed lease-exit dates.]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REQ-056</w:t>
            </w:r>
          </w:p>
        </w:tc>
        <w:tc>
          <w:tcPr>
            <w:tcW w:type="dxa" w:w="4500"/>
            <w:shd w:val="clear" w:color="auto" w:fill="FFE0E0"/>
          </w:tcPr>
          <w:p>
            <w:r>
              <w:rPr>
                <w:rFonts w:ascii="Arial" w:hAnsi="Arial"/>
                <w:color w:val="CC0000"/>
                <w:sz w:val="20"/>
              </w:rPr>
              <w:t>[ACTION REQUIRED: Provide executed contract clauses or SOW excerpts explicitly stating the vendor assumes delivery risk and rollback cost liability for migration failures.]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REQ-057</w:t>
            </w:r>
          </w:p>
        </w:tc>
        <w:tc>
          <w:tcPr>
            <w:tcW w:type="dxa" w:w="4500"/>
            <w:shd w:val="clear" w:color="auto" w:fill="FFE0E0"/>
          </w:tcPr>
          <w:p>
            <w:r>
              <w:rPr>
                <w:rFonts w:ascii="Arial" w:hAnsi="Arial"/>
                <w:color w:val="CC0000"/>
                <w:sz w:val="20"/>
              </w:rPr>
              <w:t>[ACTION REQUIRED: Provide executed contract excerpts or policy documents explicitly confirming acceptance of liquidated damages for missed milestones.]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REQ-058</w:t>
            </w:r>
          </w:p>
        </w:tc>
        <w:tc>
          <w:tcPr>
            <w:tcW w:type="dxa" w:w="4500"/>
            <w:shd w:val="clear" w:color="auto" w:fill="FFE0E0"/>
          </w:tcPr>
          <w:p>
            <w:r>
              <w:rPr>
                <w:rFonts w:ascii="Arial" w:hAnsi="Arial"/>
                <w:color w:val="CC0000"/>
                <w:sz w:val="20"/>
              </w:rPr>
              <w:t>[ACTION REQUIRED: Provide contract excerpts or policy documents explicitly stating acceptance of unlimited liability for privacy or security breaches in line with Commonwealth norms.]</w:t>
            </w:r>
          </w:p>
        </w:tc>
        <w:tc>
          <w:tcPr>
            <w:tcW w:type="dxa" w:w="3360"/>
            <w:shd w:val="clear" w:color="auto" w:fill="FFE0E0"/>
          </w:tcPr>
          <w:p>
            <w:r>
              <w:rPr>
                <w:rFonts w:ascii="Arial" w:hAnsi="Arial"/>
                <w:color w:val="CC0000"/>
                <w:sz w:val="20"/>
              </w:rPr>
              <w:t>No evidence on file — human action required.</w:t>
            </w:r>
          </w:p>
        </w:tc>
      </w:tr>
      <w:tr>
        <w:tc>
          <w:tcPr>
            <w:tcW w:type="dxa" w:w="1500"/>
            <w:shd w:val="clear" w:color="auto" w:fill="FFE0E0"/>
          </w:tcPr>
          <w:p>
            <w:r>
              <w:rPr>
                <w:rFonts w:ascii="Arial" w:hAnsi="Arial"/>
                <w:color w:val="CC0000"/>
                <w:sz w:val="20"/>
              </w:rPr>
              <w:t>REQ-059</w:t>
            </w:r>
          </w:p>
        </w:tc>
        <w:tc>
          <w:tcPr>
            <w:tcW w:type="dxa" w:w="4500"/>
            <w:shd w:val="clear" w:color="auto" w:fill="FFE0E0"/>
          </w:tcPr>
          <w:p>
            <w:r>
              <w:rPr>
                <w:rFonts w:ascii="Arial" w:hAnsi="Arial"/>
                <w:color w:val="CC0000"/>
                <w:sz w:val="20"/>
              </w:rPr>
              <w:t>[ACTION REQUIRED: Provide a policy or procedure document demonstrating how non-compliance with mandatory requirements is assessed, justified, and remediated, including exclusion and remediation plan processes.]</w:t>
            </w:r>
          </w:p>
        </w:tc>
        <w:tc>
          <w:tcPr>
            <w:tcW w:type="dxa" w:w="3360"/>
            <w:shd w:val="clear" w:color="auto" w:fill="FFE0E0"/>
          </w:tcPr>
          <w:p>
            <w:r>
              <w:rPr>
                <w:rFonts w:ascii="Arial" w:hAnsi="Arial"/>
                <w:color w:val="CC0000"/>
                <w:sz w:val="20"/>
              </w:rPr>
              <w:t>No evidence on file — human action required.</w:t>
            </w:r>
          </w:p>
        </w:tc>
      </w:tr>
    </w:tbl>
    <w:p>
      <w:pPr>
        <w:pStyle w:val="Heading1"/>
        <w:spacing w:before="480"/>
      </w:pPr>
      <w:r>
        <w:t xml:space="preserve">3. Gap Summary</w:t>
      </w:r>
    </w:p>
    <w:p>
      <w:pPr>
        <w:spacing w:after="120" w:before="80"/>
      </w:pPr>
      <w:r>
        <w:rPr>
          <w:rFonts w:ascii="Arial" w:cs="Arial" w:eastAsia="Arial" w:hAnsi="Arial"/>
          <w:sz w:val="22"/>
          <w:szCs w:val="22"/>
        </w:rPr>
        <w:t>GAPS (35 items requiring human input before submission):</w:t>
        <w:br/>
        <w:t xml:space="preserve">  [ACTION REQUIRED] REQ-003: Provide a requirement-by-requirement matrix or document with explicit, verifiable evidence mapped to each mandatory requirement.</w:t>
        <w:br/>
        <w:t xml:space="preserve">  [ACTION REQUIRED] REQ-004: No internal evidence found for this requirement. Provide documentation covering: Unsupported claims will be disregarded by the evaluation panel....</w:t>
        <w:br/>
        <w:t xml:space="preserve">  [ACTION REQUIRED] REQ-010: Provide documentation or case studies explicitly demonstrating full decommissioning support for datacentres prior to lease expiry.</w:t>
        <w:br/>
        <w:t xml:space="preserve">  [ACTION REQUIRED] REQ-015: Provide case studies or project documentation demonstrating production experience designing, deploying, and operating containerised workloads on Azure Kubernetes Service (AKS) at scale, and a sample modernisation roadmap.</w:t>
        <w:br/>
        <w:t xml:space="preserve">  [ACTION REQUIRED] REQ-020: Provide policy or contract language demonstrating that substitution of key personnel requires the Agency's prior written approval.</w:t>
        <w:br/>
        <w:t xml:space="preserve">  [ACTION REQUIRED] REQ-022: Provide meeting schedules, minutes, or reporting templates demonstrating operation of a monthly steering committee and fortnightly progress reporting.</w:t>
        <w:br/>
        <w:t xml:space="preserve">  [ACTION REQUIRED] REQ-024: Provide a documented breach notification procedure explicitly committing to notify the Agency within 24 hours of discovery of any eligible or suspected data breach.</w:t>
        <w:br/>
        <w:t xml:space="preserve">  [ACTION REQUIRED] REQ-026: Provide contract schedules or supplier registers demonstrating at least 10% of contract value delivered through registered Indigenous businesses.</w:t>
        <w:br/>
        <w:t xml:space="preserve">  [ACTION REQUIRED] REQ-027: No internal evidence found for this requirement. Provide documentation covering: Respondents must identify the Indigenous businesses they propose to engage, the scope each will deliver, and any existin...</w:t>
        <w:br/>
        <w:t xml:space="preserve">  [ACTION REQUIRED] REQ-028: Provide a documented quantum-safe cryptography transition plan detailing migration of platform cryptography to post-quantum algorithms and interim crypto-agility measures.</w:t>
        <w:br/>
        <w:t xml:space="preserve">  [ACTION REQUIRED] REQ-029: Provide documentation or reports demonstrating quarterly carbon footprint reporting and year-on-year reduction targets for Azure consumption.</w:t>
        <w:br/>
        <w:t xml:space="preserve">  [ACTION REQUIRED] REQ-030: No internal evidence found for this requirement. Provide documentation covering: An ongoing FinOps practice with quarterly optimisation reviews and a shared-savings mechanism for realised cost reductio...</w:t>
        <w:br/>
        <w:t xml:space="preserve">  [ACTION REQUIRED] REQ-031: Provide a compliance matrix or checklist explicitly mapping responses to each mandatory requirement to demonstrate that all have been addressed.</w:t>
        <w:br/>
        <w:t xml:space="preserve">  [ACTION REQUIRED] REQ-033: Provide documentation or internal policy demonstrating understanding of and compliance with the minimum proposal scoring threshold.</w:t>
        <w:br/>
        <w:t xml:space="preserve">  [ACTION REQUIRED] REQ-035: Provide documentation or correspondence confirming intent or ability to lodge proposals via AusTender by the specified deadline.</w:t>
        <w:br/>
        <w:t xml:space="preserve">  [ACTION REQUIRED] REQ-036: No internal evidence found for this requirement. Provide documentation covering: Late submissions will not be accepted under any circumstances....</w:t>
        <w:br/>
        <w:t xml:space="preserve">  [ACTION REQUIRED] REQ-037: No internal evidence found for this requirement. Provide documentation covering: Proposals must be submitted as a single PDF of no more than 60 pages, structured to address each requirement reference (...</w:t>
        <w:br/>
        <w:t xml:space="preserve">  [ACTION REQUIRED] REQ-038: Provide internal policy or communication demonstrating compliance with AusTender forum question and answer procedures and deadlines.</w:t>
        <w:br/>
        <w:t xml:space="preserve">  [ACTION REQUIRED] REQ-039: Provide a copy of the RFP terms or proposal cover letter explicitly acknowledging the Agency's right not to accept the lowest-priced or any proposal.</w:t>
        <w:br/>
        <w:t xml:space="preserve">  [ACTION REQUIRED] REQ-040: Provide contract terms or policy documents explicitly acknowledging the Agency's right to discontinue the process at any time.</w:t>
        <w:br/>
        <w:t xml:space="preserve">  [ACTION REQUIRED] REQ-041: No internal evidence found for this requirement. Provide documentation covering: Respondents bear their own costs of participation....</w:t>
        <w:br/>
        <w:t xml:space="preserve">  [ACTION REQUIRED] REQ-042: Provide a proposal or contractual document explicitly stating proposal validity for at least 120 days from submission.</w:t>
        <w:br/>
        <w:t xml:space="preserve">  [ACTION REQUIRED] REQ-043: Provide executed contract excerpts or legal correspondence demonstrating acceptance of Commonwealth contract terms, including liquidated damages, key personnel, and step-in rights.</w:t>
        <w:br/>
        <w:t xml:space="preserve">  [ACTION REQUIRED] REQ-045: Provide a case study or reference demonstrating migration and management of at least 36 SQL Server instances (2014-2019) totaling 48 TB of data.</w:t>
        <w:br/>
        <w:t xml:space="preserve">  [ACTION REQUIRED] REQ-047: Provide architecture diagrams or project documentation demonstrating implementation of dual 10 Gbps datacentre links and ExpressRoute provisioning.</w:t>
        <w:br/>
        <w:t xml:space="preserve">  [ACTION REQUIRED] REQ-048: Provide documentation or case studies demonstrating integration with Active Directory at 2016 functional level and Entra ID Connect synchronisation.</w:t>
        <w:br/>
        <w:t xml:space="preserve">  [ACTION REQUIRED] REQ-049: Provide backup policy documentation or operational evidence demonstrating nightly full backups to disk with 35-day retention and quarterly archive to tape.</w:t>
        <w:br/>
        <w:t xml:space="preserve">  [ACTION REQUIRED] REQ-052: Provide documentation or case studies explicitly demonstrating support for Tier-3 workloads such as development, test, and archive systems.</w:t>
        <w:br/>
        <w:t xml:space="preserve">  [ACTION REQUIRED] REQ-053: Provide case studies or project documentation demonstrating assessment of nominated legacy applications for containerisation or re-platforming.</w:t>
        <w:br/>
        <w:t xml:space="preserve">  [ACTION REQUIRED] REQ-054: Provide documentation or project plans explicitly committing to datacentre decommissioning and lease exit by 30 June 2027.</w:t>
        <w:br/>
        <w:t xml:space="preserve">  [ACTION REQUIRED] REQ-055: Provide documentation or project plans demonstrating the ability to propose and deliver alternative timelines while meeting fixed lease-exit dates.</w:t>
        <w:br/>
        <w:t xml:space="preserve">  [ACTION REQUIRED] REQ-056: Provide executed contract clauses or SOW excerpts explicitly stating the vendor assumes delivery risk and rollback cost liability for migration failures.</w:t>
        <w:br/>
        <w:t xml:space="preserve">  [ACTION REQUIRED] REQ-057: Provide executed contract excerpts or policy documents explicitly confirming acceptance of liquidated damages for missed milestones.</w:t>
        <w:br/>
        <w:t xml:space="preserve">  [ACTION REQUIRED] REQ-058: Provide contract excerpts or policy documents explicitly stating acceptance of unlimited liability for privacy or security breaches in line with Commonwealth norms.</w:t>
        <w:br/>
        <w:t xml:space="preserve">  [ACTION REQUIRED] REQ-059: Provide a policy or procedure document demonstrating how non-compliance with mandatory requirements is assessed, justified, and remediated, including exclusion and remediation plan processes.</w:t>
        <w:br/>
        <w:br/>
        <w:t>PARTIAL COVERAGE (18 items with weak evidence):</w:t>
        <w:br/>
        <w:t xml:space="preserve">  REQ-002: Provide documentation or case studies explicitly demonstrating ongoing managed platform services for client workloads in Microsoft Azure.</w:t>
        <w:br/>
        <w:t xml:space="preserve">  REQ-005: Provide project documentation or case studies explicitly demonstrating performance of discovery, dependency mapping, and wave planning for all in-scope workloads.</w:t>
        <w:br/>
        <w:t xml:space="preserve">  REQ-008: Provide case studies or technical documentation demonstrating application modernisation and containerisation of workloads.</w:t>
        <w:br/>
        <w:t xml:space="preserve">  REQ-009: Provide executed contracts or service descriptions explicitly confirming the provision of managed platform and security operations services for a three-year term.</w:t>
        <w:br/>
        <w:t xml:space="preserve">  REQ-011: Provide evidence of at least three completed Windows Server 2012/2016 migrations to Azure IaaS and PaaS, each involving 500+ VMs, with explicit confirmation of contactable client references for each.</w:t>
        <w:br/>
        <w:t xml:space="preserve">  REQ-012: Provide documented evidence of actual achieved availability and MTTR figures from current or recent managed service operations.</w:t>
        <w:br/>
        <w:t xml:space="preserve">  REQ-014: Provide documentation demonstrating zero-downtime migration approaches with Azure Site Recovery (or equivalent), including evidence of rehearsal cutovers, tested rollback plans, and production cutover windows not exceeding four hours per workload group, with details on any data loss incidents.</w:t>
        <w:br/>
        <w:t xml:space="preserve">  REQ-016: Provide a fixed-price schedule explicitly showing Years 1, 2, and 3 with annual escalation capped at CPI plus 2% and inclusions of all licences, migration tooling, professional services, and transition costs.</w:t>
        <w:br/>
        <w:t xml:space="preserve">  REQ-018: Provide a sample payment schedule explicitly showing DDT Project Director certification prior to invoicing and net 30 payment terms.</w:t>
        <w:br/>
        <w:t xml:space="preserve">  REQ-019: Provide a CV or document explicitly evidencing that the named Project Manager has at least seven years of cloud migration programme experience.</w:t>
        <w:br/>
        <w:t xml:space="preserve">  REQ-023: Provide documentation or independent audit reports specifically demonstrating compliance with the Notifiable Data Breaches scheme.</w:t>
        <w:br/>
        <w:t xml:space="preserve">  REQ-025: Provide documentation or test reports demonstrating that breach response procedures have been tested in practice.</w:t>
        <w:br/>
        <w:t xml:space="preserve">  REQ-032: Provide evidence demonstrating team experience, governance, and risk management/compliance approach as scored in the requirement.</w:t>
        <w:br/>
        <w:t xml:space="preserve">  REQ-034: Provide documentation or policy confirming the company's ability and process to deliver presentations and respond to clarification requests from the Agency.</w:t>
        <w:br/>
        <w:t xml:space="preserve">  REQ-044: Provide documentation or case studies specifying migration and management of Windows Server 2012 R2/2016, Windows Server 2019, and RHEL 8 instances at the required scale.</w:t>
        <w:br/>
        <w:t xml:space="preserve">  REQ-046: Provide documentation or case studies specifying storage migration and management of at least 410 TB across SAN and NAS tiers.</w:t>
        <w:br/>
        <w:t xml:space="preserve">  REQ-050: Provide documentation or case studies demonstrating that cutover windows for Tier-1 workloads were limited to a maximum of four hours during migration.</w:t>
        <w:br/>
        <w:t xml:space="preserve">  REQ-051: Provide documentation or case studies specifically demonstrating migration and management of Tier-2 workloads, including internal corporate and case-management applications.</w:t>
      </w:r>
    </w:p>
    <w:p>
      <w:pPr>
        <w:pStyle w:val="Heading1"/>
      </w:pPr>
      <w:r>
        <w:t xml:space="preserve">4. Estimated Fit Score</w:t>
      </w:r>
    </w:p>
    <w:p>
      <w:pPr>
        <w:spacing w:before="80"/>
      </w:pPr>
      <w:r>
        <w:rPr>
          <w:rFonts w:ascii="Arial" w:cs="Arial" w:eastAsia="Arial" w:hAnsi="Arial"/>
          <w:sz w:val="24"/>
          <w:szCs w:val="24"/>
        </w:rPr>
        <w:t>Requirement coverage score: 29%</w:t>
      </w:r>
      <w:r>
        <w:rPr>
          <w:rFonts w:ascii="Arial" w:cs="Arial" w:eastAsia="Arial" w:hAnsi="Arial"/>
          <w:b/>
          <w:bCs/>
          <w:color w:val="1F4E79"/>
          <w:sz w:val="24"/>
          <w:szCs w:val="24"/>
        </w:rPr>
      </w:r>
    </w:p>
    <w:p>
      <w:pPr>
        <w:spacing w:before="40"/>
      </w:pPr>
      <w:r>
        <w:rPr>
          <w:rFonts w:ascii="Arial" w:cs="Arial" w:eastAsia="Arial" w:hAnsi="Arial"/>
          <w:color w:val="595959"/>
          <w:sz w:val="18"/>
          <w:szCs w:val="18"/>
        </w:rPr>
        <w:t xml:space="preserve">Score reflects coverage of requirements by verified internal evidence. All gaps must be resolved before submission.</w:t>
      </w:r>
    </w:p>
    <w:p>
      <w:r>
        <w:br w:type="page"/>
      </w:r>
    </w:p>
    <w:p>
      <w:r>
        <w:rPr>
          <w:b/>
          <w:sz w:val="32"/>
        </w:rPr>
        <w:t>Appendix — Bid Decision Report</w:t>
      </w:r>
    </w:p>
    <w:p>
      <w:r>
        <w:rPr>
          <w:b/>
        </w:rPr>
        <w:t xml:space="preserve">Recommendation: REVIEW BID DECISION — priority-weighted requirement coverage score 29%. </w:t>
      </w:r>
      <w:r>
        <w:t>Material gaps on weighted requirements — escalate before committing. Coverage: 6 covered, 18 partial, 35 gap of 59 requirements. Citations verified: 52/52.</w:t>
      </w:r>
    </w:p>
    <w:p>
      <w:r>
        <w:rPr>
          <w:i/>
        </w:rPr>
        <w:t>This appendix is the pipeline's reasoning trace: for each requirement, the evidence retrieved from the knowledge base, the scoring decision with confidence, the citation verification outcome, and the action required from the bid team.</w:t>
      </w:r>
    </w:p>
    <w:p>
      <w:r>
        <w:rPr>
          <w:b/>
          <w:color w:val="1E7A1E"/>
        </w:rPr>
        <w:t>REQ-001 (high priority, technical) — COVERED</w:t>
      </w:r>
    </w:p>
    <w:p>
      <w:r>
        <w:rPr>
          <w:color w:val="444444"/>
          <w:sz w:val="18"/>
        </w:rPr>
        <w:t>Requirement: The vendor must migrate DDT's hosted workloads to Microsoft Azure.</w:t>
      </w:r>
    </w:p>
    <w:p>
      <w:r>
        <w:rPr>
          <w:color w:val="444444"/>
          <w:sz w:val="18"/>
        </w:rPr>
        <w:t>Evidence considered: DOC-001 (Case Study — HealthGov Australia Datacentre-to-Azure Migration); DOC-013 (Client Reference Register — Government Engagements); DOC-007 (Executed SOW Extract — Fixed-Price Multi-Year Schedule (ClientCo))</w:t>
      </w:r>
    </w:p>
    <w:p>
      <w:r>
        <w:rPr>
          <w:color w:val="444444"/>
          <w:sz w:val="18"/>
        </w:rPr>
        <w:t>Decision: COVERED (scorer confidence 0.85); citations verified: DOC-001, DOC-013, DOC-007</w:t>
      </w:r>
    </w:p>
    <w:p>
      <w:r>
        <w:rPr>
          <w:b/>
          <w:color w:val="B36B00"/>
        </w:rPr>
        <w:t>REQ-002 (high priority, technical) — PARTIAL</w:t>
      </w:r>
    </w:p>
    <w:p>
      <w:r>
        <w:rPr>
          <w:color w:val="444444"/>
          <w:sz w:val="18"/>
        </w:rPr>
        <w:t>Requirement: The vendor must provide ongoing managed platform services for DDT's workloads in Microsoft Azure.</w:t>
      </w:r>
    </w:p>
    <w:p>
      <w:r>
        <w:rPr>
          <w:color w:val="444444"/>
          <w:sz w:val="18"/>
        </w:rPr>
        <w:t>Evidence considered: DOC-010 (Managed Services Incident Response Runbook (Extract)); DOC-001 (Case Study — HealthGov Australia Datacentre-to-Azure Migration); DOC-002 (Case Study — StateGov Authority Cloud Transition Program)</w:t>
      </w:r>
    </w:p>
    <w:p>
      <w:r>
        <w:rPr>
          <w:color w:val="444444"/>
          <w:sz w:val="18"/>
        </w:rPr>
        <w:t>Decision: PARTIAL (scorer confidence 0.60); citations verified: DOC-010, DOC-001, DOC-002</w:t>
      </w:r>
    </w:p>
    <w:p>
      <w:r>
        <w:rPr>
          <w:color w:val="CC0000"/>
          <w:sz w:val="18"/>
        </w:rPr>
        <w:t>ACTION REQUIRED: Provide documentation or case studies explicitly demonstrating ongoing managed platform services for client workloads in Microsoft Azure.</w:t>
      </w:r>
    </w:p>
    <w:p>
      <w:r>
        <w:rPr>
          <w:b/>
          <w:color w:val="CC0000"/>
        </w:rPr>
        <w:t>REQ-003 (high priority, other) — GAP</w:t>
      </w:r>
    </w:p>
    <w:p>
      <w:r>
        <w:rPr>
          <w:color w:val="444444"/>
          <w:sz w:val="18"/>
        </w:rPr>
        <w:t>Requirement: Respondents must address every mandatory requirement individually, providing verifiable evidence for each claim made.</w:t>
      </w:r>
    </w:p>
    <w:p>
      <w:r>
        <w:rPr>
          <w:color w:val="444444"/>
          <w:sz w:val="18"/>
        </w:rPr>
        <w:t>Evidence considered: DOC-013 (Client Reference Register — Government Engagements); DOC-006 (Data Residency and Sovereignty Policy)</w:t>
      </w:r>
    </w:p>
    <w:p>
      <w:r>
        <w:rPr>
          <w:color w:val="444444"/>
          <w:sz w:val="18"/>
        </w:rPr>
        <w:t>Decision: GAP (scorer confidence 0.20)</w:t>
      </w:r>
    </w:p>
    <w:p>
      <w:r>
        <w:rPr>
          <w:color w:val="CC0000"/>
          <w:sz w:val="18"/>
        </w:rPr>
        <w:t>ACTION REQUIRED: Provide a requirement-by-requirement matrix or document with explicit, verifiable evidence mapped to each mandatory requirement.</w:t>
      </w:r>
    </w:p>
    <w:p>
      <w:r>
        <w:rPr>
          <w:b/>
          <w:color w:val="CC0000"/>
        </w:rPr>
        <w:t>REQ-004 (high priority, other) — GAP</w:t>
      </w:r>
    </w:p>
    <w:p>
      <w:r>
        <w:rPr>
          <w:color w:val="444444"/>
          <w:sz w:val="18"/>
        </w:rPr>
        <w:t>Requirement: Unsupported claims will be disregarded by the evaluation panel.</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Unsupported claims will be disregarded by the evaluation panel....</w:t>
      </w:r>
    </w:p>
    <w:p>
      <w:r>
        <w:rPr>
          <w:b/>
          <w:color w:val="B36B00"/>
        </w:rPr>
        <w:t>REQ-005 (high priority, technical) — PARTIAL</w:t>
      </w:r>
    </w:p>
    <w:p>
      <w:r>
        <w:rPr>
          <w:color w:val="444444"/>
          <w:sz w:val="18"/>
        </w:rPr>
        <w:t>Requirement: The vendor must perform discovery, dependency mapping, and wave planning for all in-scope workloads.</w:t>
      </w:r>
    </w:p>
    <w:p>
      <w:r>
        <w:rPr>
          <w:color w:val="444444"/>
          <w:sz w:val="18"/>
        </w:rPr>
        <w:t>Evidence considered: DOC-001 (Case Study — HealthGov Australia Datacentre-to-Azure Migration); DOC-012 (Winning Proposal Excerpt — GovCloud Services Panel 2025 (Technical Approach)); DOC-003 (Case Study — FinanceDept Agency Core Systems Migration)</w:t>
      </w:r>
    </w:p>
    <w:p>
      <w:r>
        <w:rPr>
          <w:color w:val="444444"/>
          <w:sz w:val="18"/>
        </w:rPr>
        <w:t>Decision: PARTIAL (scorer confidence 0.60); citations verified: DOC-001, DOC-012</w:t>
      </w:r>
    </w:p>
    <w:p>
      <w:r>
        <w:rPr>
          <w:color w:val="CC0000"/>
          <w:sz w:val="18"/>
        </w:rPr>
        <w:t>ACTION REQUIRED: Provide project documentation or case studies explicitly demonstrating performance of discovery, dependency mapping, and wave planning for all in-scope workloads.</w:t>
      </w:r>
    </w:p>
    <w:p>
      <w:r>
        <w:rPr>
          <w:b/>
          <w:color w:val="1E7A1E"/>
        </w:rPr>
        <w:t>REQ-006 (high priority, technical) — COVERED</w:t>
      </w:r>
    </w:p>
    <w:p>
      <w:r>
        <w:rPr>
          <w:color w:val="444444"/>
          <w:sz w:val="18"/>
        </w:rPr>
        <w:t>Requirement: The vendor must design and build an Azure landing zone compliant with the ISM at the PROTECTED level.</w:t>
      </w:r>
    </w:p>
    <w:p>
      <w:r>
        <w:rPr>
          <w:color w:val="444444"/>
          <w:sz w:val="18"/>
        </w:rPr>
        <w:t>Evidence considered: DOC-005 (IRAP Assessment Summary — ISM PROTECTED Level); DOC-001 (Case Study — HealthGov Australia Datacentre-to-Azure Migration); DOC-014 (Key Personnel CV — James Liu, Lead Cloud Architect)</w:t>
      </w:r>
    </w:p>
    <w:p>
      <w:r>
        <w:rPr>
          <w:color w:val="444444"/>
          <w:sz w:val="18"/>
        </w:rPr>
        <w:t>Decision: COVERED (scorer confidence 0.85); citations verified: DOC-005, DOC-014</w:t>
      </w:r>
    </w:p>
    <w:p>
      <w:r>
        <w:rPr>
          <w:b/>
          <w:color w:val="1E7A1E"/>
        </w:rPr>
        <w:t>REQ-007 (high priority, technical) — COVERED</w:t>
      </w:r>
    </w:p>
    <w:p>
      <w:r>
        <w:rPr>
          <w:color w:val="444444"/>
          <w:sz w:val="18"/>
        </w:rPr>
        <w:t>Requirement: The vendor must migrate all in-scope workloads to Azure.</w:t>
      </w:r>
    </w:p>
    <w:p>
      <w:r>
        <w:rPr>
          <w:color w:val="444444"/>
          <w:sz w:val="18"/>
        </w:rPr>
        <w:t>Evidence considered: DOC-001 (Case Study — HealthGov Australia Datacentre-to-Azure Migration); DOC-002 (Case Study — StateGov Authority Cloud Transition Program); DOC-003 (Case Study — FinanceDept Agency Core Systems Migration)</w:t>
      </w:r>
    </w:p>
    <w:p>
      <w:r>
        <w:rPr>
          <w:color w:val="444444"/>
          <w:sz w:val="18"/>
        </w:rPr>
        <w:t>Decision: COVERED (scorer confidence 0.85); citations verified: DOC-001, DOC-002, DOC-003</w:t>
      </w:r>
    </w:p>
    <w:p>
      <w:r>
        <w:rPr>
          <w:b/>
          <w:color w:val="B36B00"/>
        </w:rPr>
        <w:t>REQ-008 (medium priority, technical) — PARTIAL</w:t>
      </w:r>
    </w:p>
    <w:p>
      <w:r>
        <w:rPr>
          <w:color w:val="444444"/>
          <w:sz w:val="18"/>
        </w:rPr>
        <w:t>Requirement: The vendor must modernise nominated application workloads, including containerisation where assessed as suitable.</w:t>
      </w:r>
    </w:p>
    <w:p>
      <w:r>
        <w:rPr>
          <w:color w:val="444444"/>
          <w:sz w:val="18"/>
        </w:rPr>
        <w:t>Evidence considered: DOC-012 (Winning Proposal Excerpt — GovCloud Services Panel 2025 (Technical Approach)); DOC-001 (Case Study — HealthGov Australia Datacentre-to-Azure Migration); DOC-003 (Case Study — FinanceDept Agency Core Systems Migration)</w:t>
      </w:r>
    </w:p>
    <w:p>
      <w:r>
        <w:rPr>
          <w:color w:val="444444"/>
          <w:sz w:val="18"/>
        </w:rPr>
        <w:t>Decision: PARTIAL (scorer confidence 0.50); citations verified: DOC-012, DOC-001, DOC-003</w:t>
      </w:r>
    </w:p>
    <w:p>
      <w:r>
        <w:rPr>
          <w:color w:val="CC0000"/>
          <w:sz w:val="18"/>
        </w:rPr>
        <w:t>ACTION REQUIRED: Provide case studies or technical documentation demonstrating application modernisation and containerisation of workloads.</w:t>
      </w:r>
    </w:p>
    <w:p>
      <w:r>
        <w:rPr>
          <w:b/>
          <w:color w:val="B36B00"/>
        </w:rPr>
        <w:t>REQ-009 (high priority, technical) — PARTIAL</w:t>
      </w:r>
    </w:p>
    <w:p>
      <w:r>
        <w:rPr>
          <w:color w:val="444444"/>
          <w:sz w:val="18"/>
        </w:rPr>
        <w:t>Requirement: The vendor must provide managed platform and security operations services for an initial term of three years.</w:t>
      </w:r>
    </w:p>
    <w:p>
      <w:r>
        <w:rPr>
          <w:color w:val="444444"/>
          <w:sz w:val="18"/>
        </w:rPr>
        <w:t>Evidence considered: DOC-004 (ISO/IEC 27001:2022 Certification Summary); DOC-007 (Executed SOW Extract — Fixed-Price Multi-Year Schedule (ClientCo)); DOC-012 (Winning Proposal Excerpt — GovCloud Services Panel 2025 (Technical Approach))</w:t>
      </w:r>
    </w:p>
    <w:p>
      <w:r>
        <w:rPr>
          <w:color w:val="444444"/>
          <w:sz w:val="18"/>
        </w:rPr>
        <w:t>Decision: PARTIAL (scorer confidence 0.60); citations verified: DOC-007, DOC-004</w:t>
      </w:r>
    </w:p>
    <w:p>
      <w:r>
        <w:rPr>
          <w:color w:val="CC0000"/>
          <w:sz w:val="18"/>
        </w:rPr>
        <w:t>ACTION REQUIRED: Provide executed contracts or service descriptions explicitly confirming the provision of managed platform and security operations services for a three-year term.</w:t>
      </w:r>
    </w:p>
    <w:p>
      <w:r>
        <w:rPr>
          <w:b/>
          <w:color w:val="CC0000"/>
        </w:rPr>
        <w:t>REQ-010 (high priority, technical) — GAP</w:t>
      </w:r>
    </w:p>
    <w:p>
      <w:r>
        <w:rPr>
          <w:color w:val="444444"/>
          <w:sz w:val="18"/>
        </w:rPr>
        <w:t>Requirement: The vendor must provide full decommissioning support for both existing datacentres prior to lease expiry.</w:t>
      </w:r>
    </w:p>
    <w:p>
      <w:r>
        <w:rPr>
          <w:color w:val="444444"/>
          <w:sz w:val="18"/>
        </w:rPr>
        <w:t>Evidence considered: DOC-001 (Case Study — HealthGov Australia Datacentre-to-Azure Migration); DOC-002 (Case Study — StateGov Authority Cloud Transition Program); DOC-013 (Client Reference Register — Government Engagements)</w:t>
      </w:r>
    </w:p>
    <w:p>
      <w:r>
        <w:rPr>
          <w:color w:val="444444"/>
          <w:sz w:val="18"/>
        </w:rPr>
        <w:t>Decision: GAP (scorer confidence 0.20)</w:t>
      </w:r>
    </w:p>
    <w:p>
      <w:r>
        <w:rPr>
          <w:color w:val="CC0000"/>
          <w:sz w:val="18"/>
        </w:rPr>
        <w:t>ACTION REQUIRED: Provide documentation or case studies explicitly demonstrating full decommissioning support for datacentres prior to lease expiry.</w:t>
      </w:r>
    </w:p>
    <w:p>
      <w:r>
        <w:rPr>
          <w:b/>
          <w:color w:val="B36B00"/>
        </w:rPr>
        <w:t>REQ-011 (high priority, technical) — PARTIAL</w:t>
      </w:r>
    </w:p>
    <w:p>
      <w:r>
        <w:rPr>
          <w:color w:val="444444"/>
          <w:sz w:val="18"/>
        </w:rPr>
        <w:t>Requirement: The vendor must demonstrate proven experience migrating Windows Server 2012/2016 workloads to Azure IaaS and PaaS services, with a minimum of three completed migrations of comparable scale (500 or mor</w:t>
      </w:r>
    </w:p>
    <w:p>
      <w:r>
        <w:rPr>
          <w:color w:val="444444"/>
          <w:sz w:val="18"/>
        </w:rPr>
        <w:t>Evidence considered: DOC-013 (Client Reference Register — Government Engagements); DOC-003 (Case Study — FinanceDept Agency Core Systems Migration); DOC-001 (Case Study — HealthGov Australia Datacentre-to-Azure Migration)</w:t>
      </w:r>
    </w:p>
    <w:p>
      <w:r>
        <w:rPr>
          <w:color w:val="444444"/>
          <w:sz w:val="18"/>
        </w:rPr>
        <w:t>Decision: PARTIAL (scorer confidence 0.60); citations verified: DOC-001, DOC-003, DOC-013</w:t>
      </w:r>
    </w:p>
    <w:p>
      <w:r>
        <w:rPr>
          <w:color w:val="CC0000"/>
          <w:sz w:val="18"/>
        </w:rPr>
        <w:t>ACTION REQUIRED: Provide evidence of at least three completed Windows Server 2012/2016 migrations to Azure IaaS and PaaS, each involving 500+ VMs, with explicit confirmation of contactable client references for each.</w:t>
      </w:r>
    </w:p>
    <w:p>
      <w:r>
        <w:rPr>
          <w:b/>
          <w:color w:val="B36B00"/>
        </w:rPr>
        <w:t>REQ-012 (high priority, technical) — PARTIAL</w:t>
      </w:r>
    </w:p>
    <w:p>
      <w:r>
        <w:rPr>
          <w:color w:val="444444"/>
          <w:sz w:val="18"/>
        </w:rPr>
        <w:t>Requirement: The proposed managed service must achieve a 99.95% availability SLA for Tier-1 production workloads, with continuous monitoring tooling, documented incident response procedures, and a mean time to rec</w:t>
      </w:r>
    </w:p>
    <w:p>
      <w:r>
        <w:rPr>
          <w:color w:val="444444"/>
          <w:sz w:val="18"/>
        </w:rPr>
        <w:t>Evidence considered: DOC-010 (Managed Services Incident Response Runbook (Extract)); DOC-002 (Case Study — StateGov Authority Cloud Transition Program); DOC-014 (Key Personnel CV — James Liu, Lead Cloud Architect)</w:t>
      </w:r>
    </w:p>
    <w:p>
      <w:r>
        <w:rPr>
          <w:color w:val="444444"/>
          <w:sz w:val="18"/>
        </w:rPr>
        <w:t>Decision: PARTIAL (scorer confidence 0.60); citations verified: DOC-010</w:t>
      </w:r>
    </w:p>
    <w:p>
      <w:r>
        <w:rPr>
          <w:color w:val="CC0000"/>
          <w:sz w:val="18"/>
        </w:rPr>
        <w:t>ACTION REQUIRED: Provide documented evidence of actual achieved availability and MTTR figures from current or recent managed service operations.</w:t>
      </w:r>
    </w:p>
    <w:p>
      <w:r>
        <w:rPr>
          <w:b/>
          <w:color w:val="1E7A1E"/>
        </w:rPr>
        <w:t>REQ-013 (high priority, legal) — COVERED</w:t>
      </w:r>
    </w:p>
    <w:p>
      <w:r>
        <w:rPr>
          <w:color w:val="444444"/>
          <w:sz w:val="18"/>
        </w:rPr>
        <w:t>Requirement: All Agency data must remain within Australian Azure regions (Australia East and Australia Southeast) at all times, including backup and disaster recovery copies; the vendor must hold current ISO/IEC 2</w:t>
      </w:r>
    </w:p>
    <w:p>
      <w:r>
        <w:rPr>
          <w:color w:val="444444"/>
          <w:sz w:val="18"/>
        </w:rPr>
        <w:t>Evidence considered: DOC-005 (IRAP Assessment Summary — ISM PROTECTED Level); DOC-006 (Data Residency and Sovereignty Policy); DOC-004 (ISO/IEC 27001:2022 Certification Summary)</w:t>
      </w:r>
    </w:p>
    <w:p>
      <w:r>
        <w:rPr>
          <w:color w:val="444444"/>
          <w:sz w:val="18"/>
        </w:rPr>
        <w:t>Decision: COVERED (scorer confidence 0.90); citations verified: DOC-006, DOC-004, DOC-005</w:t>
      </w:r>
    </w:p>
    <w:p>
      <w:r>
        <w:rPr>
          <w:b/>
          <w:color w:val="B36B00"/>
        </w:rPr>
        <w:t>REQ-014 (high priority, technical) — PARTIAL</w:t>
      </w:r>
    </w:p>
    <w:p>
      <w:r>
        <w:rPr>
          <w:color w:val="444444"/>
          <w:sz w:val="18"/>
        </w:rPr>
        <w:t>Requirement: The vendor must provide a zero-downtime migration approach using Azure Site Recovery or an equivalent replication-based mechanism, including rehearsal cutovers and tested rollback plans; production cu</w:t>
      </w:r>
    </w:p>
    <w:p>
      <w:r>
        <w:rPr>
          <w:color w:val="444444"/>
          <w:sz w:val="18"/>
        </w:rPr>
        <w:t>Evidence considered: DOC-003 (Case Study — FinanceDept Agency Core Systems Migration); DOC-001 (Case Study — HealthGov Australia Datacentre-to-Azure Migration); DOC-002 (Case Study — StateGov Authority Cloud Transition Program)</w:t>
      </w:r>
    </w:p>
    <w:p>
      <w:r>
        <w:rPr>
          <w:color w:val="444444"/>
          <w:sz w:val="18"/>
        </w:rPr>
        <w:t>Decision: PARTIAL (scorer confidence 0.50); citations verified: DOC-001, DOC-002, DOC-003</w:t>
      </w:r>
    </w:p>
    <w:p>
      <w:r>
        <w:rPr>
          <w:color w:val="CC0000"/>
          <w:sz w:val="18"/>
        </w:rPr>
        <w:t>ACTION REQUIRED: Provide documentation demonstrating zero-downtime migration approaches with Azure Site Recovery (or equivalent), including evidence of rehearsal cutovers, tested rollback plans, and production cutover windows not exceeding four hours per workload group, with details on any data loss incidents.</w:t>
      </w:r>
    </w:p>
    <w:p>
      <w:r>
        <w:rPr>
          <w:b/>
          <w:color w:val="CC0000"/>
        </w:rPr>
        <w:t>REQ-015 (medium priority, technical) — GAP</w:t>
      </w:r>
    </w:p>
    <w:p>
      <w:r>
        <w:rPr>
          <w:color w:val="444444"/>
          <w:sz w:val="18"/>
        </w:rPr>
        <w:t>Requirement: The vendor must demonstrate an established application modernisation capability, including production experience designing, deploying, and operating containerised workloads on Azure Kubernetes Service</w:t>
      </w:r>
    </w:p>
    <w:p>
      <w:r>
        <w:rPr>
          <w:color w:val="444444"/>
          <w:sz w:val="18"/>
        </w:rPr>
        <w:t>Evidence considered: DOC-012 (Winning Proposal Excerpt — GovCloud Services Panel 2025 (Technical Approach)); DOC-001 (Case Study — HealthGov Australia Datacentre-to-Azure Migration); DOC-002 (Case Study — StateGov Authority Cloud Transition Program)</w:t>
      </w:r>
    </w:p>
    <w:p>
      <w:r>
        <w:rPr>
          <w:color w:val="444444"/>
          <w:sz w:val="18"/>
        </w:rPr>
        <w:t>Decision: GAP (scorer confidence 0.20)</w:t>
      </w:r>
    </w:p>
    <w:p>
      <w:r>
        <w:rPr>
          <w:color w:val="CC0000"/>
          <w:sz w:val="18"/>
        </w:rPr>
        <w:t>ACTION REQUIRED: Provide case studies or project documentation demonstrating production experience designing, deploying, and operating containerised workloads on Azure Kubernetes Service (AKS) at scale, and a sample modernisation roadmap.</w:t>
      </w:r>
    </w:p>
    <w:p>
      <w:r>
        <w:rPr>
          <w:b/>
          <w:color w:val="B36B00"/>
        </w:rPr>
        <w:t>REQ-016 (high priority, commercial) — PARTIAL</w:t>
      </w:r>
    </w:p>
    <w:p>
      <w:r>
        <w:rPr>
          <w:color w:val="444444"/>
          <w:sz w:val="18"/>
        </w:rPr>
        <w:t>Requirement: Pricing must be submitted as a fixed-price schedule for Years 1, 2, and 3 of the engagement, with annual escalation capped at CPI plus 2%, inclusive of all licences, migration tooling, professional se</w:t>
      </w:r>
    </w:p>
    <w:p>
      <w:r>
        <w:rPr>
          <w:color w:val="444444"/>
          <w:sz w:val="18"/>
        </w:rPr>
        <w:t>Evidence considered: DOC-007 (Executed SOW Extract — Fixed-Price Multi-Year Schedule (ClientCo)); DOC-003 (Case Study — FinanceDept Agency Core Systems Migration); DOC-001 (Case Study — HealthGov Australia Datacentre-to-Azure Migration)</w:t>
      </w:r>
    </w:p>
    <w:p>
      <w:r>
        <w:rPr>
          <w:color w:val="444444"/>
          <w:sz w:val="18"/>
        </w:rPr>
        <w:t>Decision: PARTIAL (scorer confidence 0.50); citations verified: DOC-007</w:t>
      </w:r>
    </w:p>
    <w:p>
      <w:r>
        <w:rPr>
          <w:color w:val="CC0000"/>
          <w:sz w:val="18"/>
        </w:rPr>
        <w:t>ACTION REQUIRED: Provide a fixed-price schedule explicitly showing Years 1, 2, and 3 with annual escalation capped at CPI plus 2% and inclusions of all licences, migration tooling, professional services, and transition costs.</w:t>
      </w:r>
    </w:p>
    <w:p>
      <w:r>
        <w:rPr>
          <w:b/>
          <w:color w:val="1E7A1E"/>
        </w:rPr>
        <w:t>REQ-017 (high priority, commercial) — COVERED</w:t>
      </w:r>
    </w:p>
    <w:p>
      <w:r>
        <w:rPr>
          <w:color w:val="444444"/>
          <w:sz w:val="18"/>
        </w:rPr>
        <w:t>Requirement: Respondents should evidence prior acceptance of equivalent fixed-price structures.</w:t>
      </w:r>
    </w:p>
    <w:p>
      <w:r>
        <w:rPr>
          <w:color w:val="444444"/>
          <w:sz w:val="18"/>
        </w:rPr>
        <w:t>Evidence considered: DOC-007 (Executed SOW Extract — Fixed-Price Multi-Year Schedule (ClientCo)); DOC-003 (Case Study — FinanceDept Agency Core Systems Migration)</w:t>
      </w:r>
    </w:p>
    <w:p>
      <w:r>
        <w:rPr>
          <w:color w:val="444444"/>
          <w:sz w:val="18"/>
        </w:rPr>
        <w:t>Decision: COVERED (scorer confidence 0.85); citations verified: DOC-007, DOC-003</w:t>
      </w:r>
    </w:p>
    <w:p>
      <w:r>
        <w:rPr>
          <w:b/>
          <w:color w:val="B36B00"/>
        </w:rPr>
        <w:t>REQ-018 (medium priority, commercial) — PARTIAL</w:t>
      </w:r>
    </w:p>
    <w:p>
      <w:r>
        <w:rPr>
          <w:color w:val="444444"/>
          <w:sz w:val="18"/>
        </w:rPr>
        <w:t>Requirement: A milestone-based payment schedule must be provided, with each milestone's completion certified by the DDT Project Director prior to invoicing, and payment terms of net 30 days from receipt of a corre</w:t>
      </w:r>
    </w:p>
    <w:p>
      <w:r>
        <w:rPr>
          <w:color w:val="444444"/>
          <w:sz w:val="18"/>
        </w:rPr>
        <w:t>Evidence considered: DOC-008 (Commercial Terms Register — Milestone Payments and Invoicing History)</w:t>
      </w:r>
    </w:p>
    <w:p>
      <w:r>
        <w:rPr>
          <w:color w:val="444444"/>
          <w:sz w:val="18"/>
        </w:rPr>
        <w:t>Decision: PARTIAL (scorer confidence 0.50); citations verified: DOC-008</w:t>
      </w:r>
    </w:p>
    <w:p>
      <w:r>
        <w:rPr>
          <w:color w:val="CC0000"/>
          <w:sz w:val="18"/>
        </w:rPr>
        <w:t>ACTION REQUIRED: Provide a sample payment schedule explicitly showing DDT Project Director certification prior to invoicing and net 30 payment terms.</w:t>
      </w:r>
    </w:p>
    <w:p>
      <w:r>
        <w:rPr>
          <w:b/>
          <w:color w:val="B36B00"/>
        </w:rPr>
        <w:t>REQ-019 (high priority, team) — PARTIAL</w:t>
      </w:r>
    </w:p>
    <w:p>
      <w:r>
        <w:rPr>
          <w:color w:val="444444"/>
          <w:sz w:val="18"/>
        </w:rPr>
        <w:t>Requirement: The proposed delivery team must include a named Project Manager holding a current PMP or PRINCE2 Practitioner certification with a minimum of seven years of cloud migration programme experience, evide</w:t>
      </w:r>
    </w:p>
    <w:p>
      <w:r>
        <w:rPr>
          <w:color w:val="444444"/>
          <w:sz w:val="18"/>
        </w:rPr>
        <w:t>Evidence considered: DOC-009 (Key Personnel CV — Sarah Mitchell, Project Director); DOC-014 (Key Personnel CV — James Liu, Lead Cloud Architect); DOC-007 (Executed SOW Extract — Fixed-Price Multi-Year Schedule (ClientCo))</w:t>
      </w:r>
    </w:p>
    <w:p>
      <w:r>
        <w:rPr>
          <w:color w:val="444444"/>
          <w:sz w:val="18"/>
        </w:rPr>
        <w:t>Decision: PARTIAL (scorer confidence 0.60); citations verified: DOC-009</w:t>
      </w:r>
    </w:p>
    <w:p>
      <w:r>
        <w:rPr>
          <w:color w:val="CC0000"/>
          <w:sz w:val="18"/>
        </w:rPr>
        <w:t>ACTION REQUIRED: Provide a CV or document explicitly evidencing that the named Project Manager has at least seven years of cloud migration programme experience.</w:t>
      </w:r>
    </w:p>
    <w:p>
      <w:r>
        <w:rPr>
          <w:b/>
          <w:color w:val="CC0000"/>
        </w:rPr>
        <w:t>REQ-020 (high priority, team) — GAP</w:t>
      </w:r>
    </w:p>
    <w:p>
      <w:r>
        <w:rPr>
          <w:color w:val="444444"/>
          <w:sz w:val="18"/>
        </w:rPr>
        <w:t>Requirement: Substitution of key personnel requires the Agency's prior written approval.</w:t>
      </w:r>
    </w:p>
    <w:p>
      <w:r>
        <w:rPr>
          <w:color w:val="444444"/>
          <w:sz w:val="18"/>
        </w:rPr>
        <w:t>Evidence considered: DOC-009 (Key Personnel CV — Sarah Mitchell, Project Director)</w:t>
      </w:r>
    </w:p>
    <w:p>
      <w:r>
        <w:rPr>
          <w:color w:val="444444"/>
          <w:sz w:val="18"/>
        </w:rPr>
        <w:t>Decision: GAP (scorer confidence 0.00)</w:t>
      </w:r>
    </w:p>
    <w:p>
      <w:r>
        <w:rPr>
          <w:color w:val="CC0000"/>
          <w:sz w:val="18"/>
        </w:rPr>
        <w:t>ACTION REQUIRED: Provide policy or contract language demonstrating that substitution of key personnel requires the Agency's prior written approval.</w:t>
      </w:r>
    </w:p>
    <w:p>
      <w:r>
        <w:rPr>
          <w:b/>
          <w:color w:val="1E7A1E"/>
        </w:rPr>
        <w:t>REQ-021 (high priority, team) — COVERED</w:t>
      </w:r>
    </w:p>
    <w:p>
      <w:r>
        <w:rPr>
          <w:color w:val="444444"/>
          <w:sz w:val="18"/>
        </w:rPr>
        <w:t>Requirement: The vendor must also name a lead cloud architect holding current Microsoft Azure architecture certification.</w:t>
      </w:r>
    </w:p>
    <w:p>
      <w:r>
        <w:rPr>
          <w:color w:val="444444"/>
          <w:sz w:val="18"/>
        </w:rPr>
        <w:t>Evidence considered: DOC-014 (Key Personnel CV — James Liu, Lead Cloud Architect); DOC-009 (Key Personnel CV — Sarah Mitchell, Project Director); DOC-013 (Client Reference Register — Government Engagements)</w:t>
      </w:r>
    </w:p>
    <w:p>
      <w:r>
        <w:rPr>
          <w:color w:val="444444"/>
          <w:sz w:val="18"/>
        </w:rPr>
        <w:t>Decision: COVERED (scorer confidence 0.95); citations verified: DOC-014</w:t>
      </w:r>
    </w:p>
    <w:p>
      <w:r>
        <w:rPr>
          <w:b/>
          <w:color w:val="CC0000"/>
        </w:rPr>
        <w:t>REQ-022 (low priority, team) — GAP</w:t>
      </w:r>
    </w:p>
    <w:p>
      <w:r>
        <w:rPr>
          <w:color w:val="444444"/>
          <w:sz w:val="18"/>
        </w:rPr>
        <w:t>Requirement: The vendor must operate a monthly steering committee with Agency executives and provide fortnightly written progress reports covering schedule, risk, and financial status.</w:t>
      </w:r>
    </w:p>
    <w:p>
      <w:r>
        <w:rPr>
          <w:color w:val="444444"/>
          <w:sz w:val="18"/>
        </w:rPr>
        <w:t>Evidence considered: DOC-009 (Key Personnel CV — Sarah Mitchell, Project Director)</w:t>
      </w:r>
    </w:p>
    <w:p>
      <w:r>
        <w:rPr>
          <w:color w:val="444444"/>
          <w:sz w:val="18"/>
        </w:rPr>
        <w:t>Decision: GAP (scorer confidence 0.10)</w:t>
      </w:r>
    </w:p>
    <w:p>
      <w:r>
        <w:rPr>
          <w:color w:val="CC0000"/>
          <w:sz w:val="18"/>
        </w:rPr>
        <w:t>ACTION REQUIRED: Provide meeting schedules, minutes, or reporting templates demonstrating operation of a monthly steering committee and fortnightly progress reporting.</w:t>
      </w:r>
    </w:p>
    <w:p>
      <w:r>
        <w:rPr>
          <w:b/>
          <w:color w:val="B36B00"/>
        </w:rPr>
        <w:t>REQ-023 (high priority, legal) — PARTIAL</w:t>
      </w:r>
    </w:p>
    <w:p>
      <w:r>
        <w:rPr>
          <w:color w:val="444444"/>
          <w:sz w:val="18"/>
        </w:rPr>
        <w:t>Requirement: The vendor must comply with the Privacy Act 1988 (Cth), the Australian Privacy Principles, and the Notifiable Data Breaches scheme.</w:t>
      </w:r>
    </w:p>
    <w:p>
      <w:r>
        <w:rPr>
          <w:color w:val="444444"/>
          <w:sz w:val="18"/>
        </w:rPr>
        <w:t>Evidence considered: DOC-011 (Privacy Act 1988 Compliance Statement and Breach Notification Procedure); DOC-004 (ISO/IEC 27001:2022 Certification Summary); DOC-006 (Data Residency and Sovereignty Policy)</w:t>
      </w:r>
    </w:p>
    <w:p>
      <w:r>
        <w:rPr>
          <w:color w:val="444444"/>
          <w:sz w:val="18"/>
        </w:rPr>
        <w:t>Decision: PARTIAL (scorer confidence 0.60); citations verified: DOC-011</w:t>
      </w:r>
    </w:p>
    <w:p>
      <w:r>
        <w:rPr>
          <w:color w:val="CC0000"/>
          <w:sz w:val="18"/>
        </w:rPr>
        <w:t>ACTION REQUIRED: Provide documentation or independent audit reports specifically demonstrating compliance with the Notifiable Data Breaches scheme.</w:t>
      </w:r>
    </w:p>
    <w:p>
      <w:r>
        <w:rPr>
          <w:b/>
          <w:color w:val="CC0000"/>
        </w:rPr>
        <w:t>REQ-024 (high priority, legal) — GAP</w:t>
      </w:r>
    </w:p>
    <w:p>
      <w:r>
        <w:rPr>
          <w:color w:val="444444"/>
          <w:sz w:val="18"/>
        </w:rPr>
        <w:t>Requirement: Any eligible or suspected data breach affecting Agency data must be notified to the Agency within 24 hours of discovery.</w:t>
      </w:r>
    </w:p>
    <w:p>
      <w:r>
        <w:rPr>
          <w:color w:val="444444"/>
          <w:sz w:val="18"/>
        </w:rPr>
        <w:t>Evidence considered: DOC-011 (Privacy Act 1988 Compliance Statement and Breach Notification Procedure); DOC-006 (Data Residency and Sovereignty Policy); DOC-010 (Managed Services Incident Response Runbook (Extract))</w:t>
      </w:r>
    </w:p>
    <w:p>
      <w:r>
        <w:rPr>
          <w:color w:val="444444"/>
          <w:sz w:val="18"/>
        </w:rPr>
        <w:t>Decision: GAP (scorer confidence 0.20)</w:t>
      </w:r>
    </w:p>
    <w:p>
      <w:r>
        <w:rPr>
          <w:color w:val="CC0000"/>
          <w:sz w:val="18"/>
        </w:rPr>
        <w:t>ACTION REQUIRED: Provide a documented breach notification procedure explicitly committing to notify the Agency within 24 hours of discovery of any eligible or suspected data breach.</w:t>
      </w:r>
    </w:p>
    <w:p>
      <w:r>
        <w:rPr>
          <w:b/>
          <w:color w:val="B36B00"/>
        </w:rPr>
        <w:t>REQ-025 (high priority, legal) — PARTIAL</w:t>
      </w:r>
    </w:p>
    <w:p>
      <w:r>
        <w:rPr>
          <w:color w:val="444444"/>
          <w:sz w:val="18"/>
        </w:rPr>
        <w:t>Requirement: Respondents must evidence their privacy management framework and tested breach response procedures.</w:t>
      </w:r>
    </w:p>
    <w:p>
      <w:r>
        <w:rPr>
          <w:color w:val="444444"/>
          <w:sz w:val="18"/>
        </w:rPr>
        <w:t>Evidence considered: DOC-011 (Privacy Act 1988 Compliance Statement and Breach Notification Procedure); DOC-006 (Data Residency and Sovereignty Policy); DOC-013 (Client Reference Register — Government Engagements)</w:t>
      </w:r>
    </w:p>
    <w:p>
      <w:r>
        <w:rPr>
          <w:color w:val="444444"/>
          <w:sz w:val="18"/>
        </w:rPr>
        <w:t>Decision: PARTIAL (scorer confidence 0.60); citations verified: DOC-011</w:t>
      </w:r>
    </w:p>
    <w:p>
      <w:r>
        <w:rPr>
          <w:color w:val="CC0000"/>
          <w:sz w:val="18"/>
        </w:rPr>
        <w:t>ACTION REQUIRED: Provide documentation or test reports demonstrating that breach response procedures have been tested in practice.</w:t>
      </w:r>
    </w:p>
    <w:p>
      <w:r>
        <w:rPr>
          <w:b/>
          <w:color w:val="CC0000"/>
        </w:rPr>
        <w:t>REQ-026 (medium priority, commercial) — GAP</w:t>
      </w:r>
    </w:p>
    <w:p>
      <w:r>
        <w:rPr>
          <w:color w:val="444444"/>
          <w:sz w:val="18"/>
        </w:rPr>
        <w:t>Requirement: Consistent with the Commonwealth Indigenous Procurement Policy, a minimum of 10% of the total contract value must be delivered through registered Indigenous businesses as subcontractors or suppliers.</w:t>
      </w:r>
    </w:p>
    <w:p>
      <w:r>
        <w:rPr>
          <w:color w:val="444444"/>
          <w:sz w:val="18"/>
        </w:rPr>
        <w:t>Evidence considered: DOC-008 (Commercial Terms Register — Milestone Payments and Invoicing History); DOC-003 (Case Study — FinanceDept Agency Core Systems Migration); DOC-001 (Case Study — HealthGov Australia Datacentre-to-Azure Migration)</w:t>
      </w:r>
    </w:p>
    <w:p>
      <w:r>
        <w:rPr>
          <w:color w:val="444444"/>
          <w:sz w:val="18"/>
        </w:rPr>
        <w:t>Decision: GAP (scorer confidence 0.10)</w:t>
      </w:r>
    </w:p>
    <w:p>
      <w:r>
        <w:rPr>
          <w:color w:val="CC0000"/>
          <w:sz w:val="18"/>
        </w:rPr>
        <w:t>ACTION REQUIRED: Provide contract schedules or supplier registers demonstrating at least 10% of contract value delivered through registered Indigenous businesses.</w:t>
      </w:r>
    </w:p>
    <w:p>
      <w:r>
        <w:rPr>
          <w:b/>
          <w:color w:val="CC0000"/>
        </w:rPr>
        <w:t>REQ-027 (medium priority, commercial) — GAP</w:t>
      </w:r>
    </w:p>
    <w:p>
      <w:r>
        <w:rPr>
          <w:color w:val="444444"/>
          <w:sz w:val="18"/>
        </w:rPr>
        <w:t>Requirement: Respondents must identify the Indigenous businesses they propose to engage, the scope each will deliver, and any existing partnership history.</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Respondents must identify the Indigenous businesses they propose to engage, the scope each will deliver, and any existin...</w:t>
      </w:r>
    </w:p>
    <w:p>
      <w:r>
        <w:rPr>
          <w:b/>
          <w:color w:val="CC0000"/>
        </w:rPr>
        <w:t>REQ-028 (medium priority, technical) — GAP</w:t>
      </w:r>
    </w:p>
    <w:p>
      <w:r>
        <w:rPr>
          <w:color w:val="444444"/>
          <w:sz w:val="18"/>
        </w:rPr>
        <w:t xml:space="preserve">Requirement: The vendor must provide a quantum-safe cryptography transition plan describing how platform cryptography (data in transit, data at rest, and key management) will migrate to post-quantum algorithms by </w:t>
      </w:r>
    </w:p>
    <w:p>
      <w:r>
        <w:rPr>
          <w:color w:val="444444"/>
          <w:sz w:val="18"/>
        </w:rPr>
        <w:t>Evidence considered: DOC-013 (Client Reference Register — Government Engagements); DOC-002 (Case Study — StateGov Authority Cloud Transition Program)</w:t>
      </w:r>
    </w:p>
    <w:p>
      <w:r>
        <w:rPr>
          <w:color w:val="444444"/>
          <w:sz w:val="18"/>
        </w:rPr>
        <w:t>Decision: GAP (scorer confidence 0.10)</w:t>
      </w:r>
    </w:p>
    <w:p>
      <w:r>
        <w:rPr>
          <w:color w:val="CC0000"/>
          <w:sz w:val="18"/>
        </w:rPr>
        <w:t>ACTION REQUIRED: Provide a documented quantum-safe cryptography transition plan detailing migration of platform cryptography to post-quantum algorithms and interim crypto-agility measures.</w:t>
      </w:r>
    </w:p>
    <w:p>
      <w:r>
        <w:rPr>
          <w:b/>
          <w:color w:val="CC0000"/>
        </w:rPr>
        <w:t>REQ-029 (low priority, other) — GAP</w:t>
      </w:r>
    </w:p>
    <w:p>
      <w:r>
        <w:rPr>
          <w:color w:val="444444"/>
          <w:sz w:val="18"/>
        </w:rPr>
        <w:t>Requirement: Quarterly reporting of the carbon footprint attributable to the Agency's Azure consumption, with year-on-year reduction targets.</w:t>
      </w:r>
    </w:p>
    <w:p>
      <w:r>
        <w:rPr>
          <w:color w:val="444444"/>
          <w:sz w:val="18"/>
        </w:rPr>
        <w:t>Evidence considered: DOC-001 (Case Study — HealthGov Australia Datacentre-to-Azure Migration); DOC-007 (Executed SOW Extract — Fixed-Price Multi-Year Schedule (ClientCo)); DOC-002 (Case Study — StateGov Authority Cloud Transition Program)</w:t>
      </w:r>
    </w:p>
    <w:p>
      <w:r>
        <w:rPr>
          <w:color w:val="444444"/>
          <w:sz w:val="18"/>
        </w:rPr>
        <w:t>Decision: GAP (scorer confidence 0.10)</w:t>
      </w:r>
    </w:p>
    <w:p>
      <w:r>
        <w:rPr>
          <w:color w:val="CC0000"/>
          <w:sz w:val="18"/>
        </w:rPr>
        <w:t>ACTION REQUIRED: Provide documentation or reports demonstrating quarterly carbon footprint reporting and year-on-year reduction targets for Azure consumption.</w:t>
      </w:r>
    </w:p>
    <w:p>
      <w:r>
        <w:rPr>
          <w:b/>
          <w:color w:val="CC0000"/>
        </w:rPr>
        <w:t>REQ-030 (low priority, commercial) — GAP</w:t>
      </w:r>
    </w:p>
    <w:p>
      <w:r>
        <w:rPr>
          <w:color w:val="444444"/>
          <w:sz w:val="18"/>
        </w:rPr>
        <w:t>Requirement: An ongoing FinOps practice with quarterly optimisation reviews and a shared-savings mechanism for realised cost reductions.</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An ongoing FinOps practice with quarterly optimisation reviews and a shared-savings mechanism for realised cost reductio...</w:t>
      </w:r>
    </w:p>
    <w:p>
      <w:r>
        <w:rPr>
          <w:b/>
          <w:color w:val="CC0000"/>
        </w:rPr>
        <w:t>REQ-031 (high priority, other) — GAP</w:t>
      </w:r>
    </w:p>
    <w:p>
      <w:r>
        <w:rPr>
          <w:color w:val="444444"/>
          <w:sz w:val="18"/>
        </w:rPr>
        <w:t>Requirement: Proposals that fail to address any mandatory requirement will be excluded from further evaluation.</w:t>
      </w:r>
    </w:p>
    <w:p>
      <w:r>
        <w:rPr>
          <w:color w:val="444444"/>
          <w:sz w:val="18"/>
        </w:rPr>
        <w:t>Evidence considered: DOC-012 (Winning Proposal Excerpt — GovCloud Services Panel 2025 (Technical Approach)); DOC-007 (Executed SOW Extract — Fixed-Price Multi-Year Schedule (ClientCo)); DOC-006 (Data Residency and Sovereignty Policy)</w:t>
      </w:r>
    </w:p>
    <w:p>
      <w:r>
        <w:rPr>
          <w:color w:val="444444"/>
          <w:sz w:val="18"/>
        </w:rPr>
        <w:t>Decision: GAP (scorer confidence 0.00)</w:t>
      </w:r>
    </w:p>
    <w:p>
      <w:r>
        <w:rPr>
          <w:color w:val="CC0000"/>
          <w:sz w:val="18"/>
        </w:rPr>
        <w:t>ACTION REQUIRED: Provide a compliance matrix or checklist explicitly mapping responses to each mandatory requirement to demonstrate that all have been addressed.</w:t>
      </w:r>
    </w:p>
    <w:p>
      <w:r>
        <w:rPr>
          <w:b/>
          <w:color w:val="B36B00"/>
        </w:rPr>
        <w:t>REQ-032 (high priority, other) — PARTIAL</w:t>
      </w:r>
    </w:p>
    <w:p>
      <w:r>
        <w:rPr>
          <w:color w:val="444444"/>
          <w:sz w:val="18"/>
        </w:rPr>
        <w:t>Requirement: Compliant proposals will be scored as follows: Technical capability and migration approach - 40%; Price and commercial terms - 30%; Team experience and governance - 20%; Risk management and compliance</w:t>
      </w:r>
    </w:p>
    <w:p>
      <w:r>
        <w:rPr>
          <w:color w:val="444444"/>
          <w:sz w:val="18"/>
        </w:rPr>
        <w:t>Evidence considered: DOC-012 (Winning Proposal Excerpt — GovCloud Services Panel 2025 (Technical Approach)); DOC-007 (Executed SOW Extract — Fixed-Price Multi-Year Schedule (ClientCo)); DOC-003 (Case Study — FinanceDept Agency Core Systems Migration)</w:t>
      </w:r>
    </w:p>
    <w:p>
      <w:r>
        <w:rPr>
          <w:color w:val="444444"/>
          <w:sz w:val="18"/>
        </w:rPr>
        <w:t>Decision: PARTIAL (scorer confidence 0.60); citations verified: DOC-012, DOC-007, DOC-003</w:t>
      </w:r>
    </w:p>
    <w:p>
      <w:r>
        <w:rPr>
          <w:color w:val="CC0000"/>
          <w:sz w:val="18"/>
        </w:rPr>
        <w:t>ACTION REQUIRED: Provide evidence demonstrating team experience, governance, and risk management/compliance approach as scored in the requirement.</w:t>
      </w:r>
    </w:p>
    <w:p>
      <w:r>
        <w:rPr>
          <w:b/>
          <w:color w:val="CC0000"/>
        </w:rPr>
        <w:t>REQ-033 (high priority, other) — GAP</w:t>
      </w:r>
    </w:p>
    <w:p>
      <w:r>
        <w:rPr>
          <w:color w:val="444444"/>
          <w:sz w:val="18"/>
        </w:rPr>
        <w:t>Requirement: Proposals scoring below 60% overall will not proceed to the negotiation stage.</w:t>
      </w:r>
    </w:p>
    <w:p>
      <w:r>
        <w:rPr>
          <w:color w:val="444444"/>
          <w:sz w:val="18"/>
        </w:rPr>
        <w:t>Evidence considered: DOC-007 (Executed SOW Extract — Fixed-Price Multi-Year Schedule (ClientCo))</w:t>
      </w:r>
    </w:p>
    <w:p>
      <w:r>
        <w:rPr>
          <w:color w:val="444444"/>
          <w:sz w:val="18"/>
        </w:rPr>
        <w:t>Decision: GAP (scorer confidence 0.00)</w:t>
      </w:r>
    </w:p>
    <w:p>
      <w:r>
        <w:rPr>
          <w:color w:val="CC0000"/>
          <w:sz w:val="18"/>
        </w:rPr>
        <w:t>ACTION REQUIRED: Provide documentation or internal policy demonstrating understanding of and compliance with the minimum proposal scoring threshold.</w:t>
      </w:r>
    </w:p>
    <w:p>
      <w:r>
        <w:rPr>
          <w:b/>
          <w:color w:val="B36B00"/>
        </w:rPr>
        <w:t>REQ-034 (medium priority, references) — PARTIAL</w:t>
      </w:r>
    </w:p>
    <w:p>
      <w:r>
        <w:rPr>
          <w:color w:val="444444"/>
          <w:sz w:val="18"/>
        </w:rPr>
        <w:t>Requirement: The Agency may seek clarification, conduct reference checks, and require presentations from shortlisted respondents.</w:t>
      </w:r>
    </w:p>
    <w:p>
      <w:r>
        <w:rPr>
          <w:color w:val="444444"/>
          <w:sz w:val="18"/>
        </w:rPr>
        <w:t>Evidence considered: DOC-013 (Client Reference Register — Government Engagements); DOC-003 (Case Study — FinanceDept Agency Core Systems Migration)</w:t>
      </w:r>
    </w:p>
    <w:p>
      <w:r>
        <w:rPr>
          <w:color w:val="444444"/>
          <w:sz w:val="18"/>
        </w:rPr>
        <w:t>Decision: PARTIAL (scorer confidence 0.60); citations verified: DOC-013, DOC-003</w:t>
      </w:r>
    </w:p>
    <w:p>
      <w:r>
        <w:rPr>
          <w:color w:val="CC0000"/>
          <w:sz w:val="18"/>
        </w:rPr>
        <w:t>ACTION REQUIRED: Provide documentation or policy confirming the company's ability and process to deliver presentations and respond to clarification requests from the Agency.</w:t>
      </w:r>
    </w:p>
    <w:p>
      <w:r>
        <w:rPr>
          <w:b/>
          <w:color w:val="CC0000"/>
        </w:rPr>
        <w:t>REQ-035 (high priority, timeline) — GAP</w:t>
      </w:r>
    </w:p>
    <w:p>
      <w:r>
        <w:rPr>
          <w:color w:val="444444"/>
          <w:sz w:val="18"/>
        </w:rPr>
        <w:t>Requirement: Proposals must be lodged via the AusTender portal no later than 17:00 AEST on 30 June 2026.</w:t>
      </w:r>
    </w:p>
    <w:p>
      <w:r>
        <w:rPr>
          <w:color w:val="444444"/>
          <w:sz w:val="18"/>
        </w:rPr>
        <w:t>Evidence considered: DOC-014 (Key Personnel CV — James Liu, Lead Cloud Architect); DOC-007 (Executed SOW Extract — Fixed-Price Multi-Year Schedule (ClientCo)); DOC-009 (Key Personnel CV — Sarah Mitchell, Project Director)</w:t>
      </w:r>
    </w:p>
    <w:p>
      <w:r>
        <w:rPr>
          <w:color w:val="444444"/>
          <w:sz w:val="18"/>
        </w:rPr>
        <w:t>Decision: GAP (scorer confidence 0.00)</w:t>
      </w:r>
    </w:p>
    <w:p>
      <w:r>
        <w:rPr>
          <w:color w:val="CC0000"/>
          <w:sz w:val="18"/>
        </w:rPr>
        <w:t>ACTION REQUIRED: Provide documentation or correspondence confirming intent or ability to lodge proposals via AusTender by the specified deadline.</w:t>
      </w:r>
    </w:p>
    <w:p>
      <w:r>
        <w:rPr>
          <w:b/>
          <w:color w:val="CC0000"/>
        </w:rPr>
        <w:t>REQ-036 (high priority, timeline) — GAP</w:t>
      </w:r>
    </w:p>
    <w:p>
      <w:r>
        <w:rPr>
          <w:color w:val="444444"/>
          <w:sz w:val="18"/>
        </w:rPr>
        <w:t>Requirement: Late submissions will not be accepted under any circumstances.</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Late submissions will not be accepted under any circumstances....</w:t>
      </w:r>
    </w:p>
    <w:p>
      <w:r>
        <w:rPr>
          <w:b/>
          <w:color w:val="CC0000"/>
        </w:rPr>
        <w:t>REQ-037 (medium priority, other) — GAP</w:t>
      </w:r>
    </w:p>
    <w:p>
      <w:r>
        <w:rPr>
          <w:color w:val="444444"/>
          <w:sz w:val="18"/>
        </w:rPr>
        <w:t>Requirement: Proposals must be submitted as a single PDF of no more than 60 pages, structured to address each requirement reference (MR-1 through MR-12, DR-1 and DR-2) in order.</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Proposals must be submitted as a single PDF of no more than 60 pages, structured to address each requirement reference (...</w:t>
      </w:r>
    </w:p>
    <w:p>
      <w:r>
        <w:rPr>
          <w:b/>
          <w:color w:val="CC0000"/>
        </w:rPr>
        <w:t>REQ-038 (low priority, other) — GAP</w:t>
      </w:r>
    </w:p>
    <w:p>
      <w:r>
        <w:rPr>
          <w:color w:val="444444"/>
          <w:sz w:val="18"/>
        </w:rPr>
        <w:t>Requirement: Questions must be lodged through the AusTender forum no later than 20 June 2026; answers will be published to all registered respondents.</w:t>
      </w:r>
    </w:p>
    <w:p>
      <w:r>
        <w:rPr>
          <w:color w:val="444444"/>
          <w:sz w:val="18"/>
        </w:rPr>
        <w:t>Evidence considered: DOC-005 (IRAP Assessment Summary — ISM PROTECTED Level); DOC-013 (Client Reference Register — Government Engagements)</w:t>
      </w:r>
    </w:p>
    <w:p>
      <w:r>
        <w:rPr>
          <w:color w:val="444444"/>
          <w:sz w:val="18"/>
        </w:rPr>
        <w:t>Decision: GAP (scorer confidence 0.00)</w:t>
      </w:r>
    </w:p>
    <w:p>
      <w:r>
        <w:rPr>
          <w:color w:val="CC0000"/>
          <w:sz w:val="18"/>
        </w:rPr>
        <w:t>ACTION REQUIRED: Provide internal policy or communication demonstrating compliance with AusTender forum question and answer procedures and deadlines.</w:t>
      </w:r>
    </w:p>
    <w:p>
      <w:r>
        <w:rPr>
          <w:b/>
          <w:color w:val="CC0000"/>
        </w:rPr>
        <w:t>REQ-039 (low priority, commercial) — GAP</w:t>
      </w:r>
    </w:p>
    <w:p>
      <w:r>
        <w:rPr>
          <w:color w:val="444444"/>
          <w:sz w:val="18"/>
        </w:rPr>
        <w:t>Requirement: The Agency is not bound to accept the lowest-priced or any proposal.</w:t>
      </w:r>
    </w:p>
    <w:p>
      <w:r>
        <w:rPr>
          <w:color w:val="444444"/>
          <w:sz w:val="18"/>
        </w:rPr>
        <w:t>Evidence considered: DOC-003 (Case Study — FinanceDept Agency Core Systems Migration); DOC-007 (Executed SOW Extract — Fixed-Price Multi-Year Schedule (ClientCo)); DOC-001 (Case Study — HealthGov Australia Datacentre-to-Azure Migration)</w:t>
      </w:r>
    </w:p>
    <w:p>
      <w:r>
        <w:rPr>
          <w:color w:val="444444"/>
          <w:sz w:val="18"/>
        </w:rPr>
        <w:t>Decision: GAP (scorer confidence 0.00)</w:t>
      </w:r>
    </w:p>
    <w:p>
      <w:r>
        <w:rPr>
          <w:color w:val="CC0000"/>
          <w:sz w:val="18"/>
        </w:rPr>
        <w:t>ACTION REQUIRED: Provide a copy of the RFP terms or proposal cover letter explicitly acknowledging the Agency's right not to accept the lowest-priced or any proposal.</w:t>
      </w:r>
    </w:p>
    <w:p>
      <w:r>
        <w:rPr>
          <w:b/>
          <w:color w:val="CC0000"/>
        </w:rPr>
        <w:t>REQ-040 (low priority, other) — GAP</w:t>
      </w:r>
    </w:p>
    <w:p>
      <w:r>
        <w:rPr>
          <w:color w:val="444444"/>
          <w:sz w:val="18"/>
        </w:rPr>
        <w:t>Requirement: The Agency may discontinue this process at any time.</w:t>
      </w:r>
    </w:p>
    <w:p>
      <w:r>
        <w:rPr>
          <w:color w:val="444444"/>
          <w:sz w:val="18"/>
        </w:rPr>
        <w:t>Evidence considered: DOC-001 (Case Study — HealthGov Australia Datacentre-to-Azure Migration); DOC-003 (Case Study — FinanceDept Agency Core Systems Migration); DOC-002 (Case Study — StateGov Authority Cloud Transition Program)</w:t>
      </w:r>
    </w:p>
    <w:p>
      <w:r>
        <w:rPr>
          <w:color w:val="444444"/>
          <w:sz w:val="18"/>
        </w:rPr>
        <w:t>Decision: GAP (scorer confidence 0.00)</w:t>
      </w:r>
    </w:p>
    <w:p>
      <w:r>
        <w:rPr>
          <w:color w:val="CC0000"/>
          <w:sz w:val="18"/>
        </w:rPr>
        <w:t>ACTION REQUIRED: Provide contract terms or policy documents explicitly acknowledging the Agency's right to discontinue the process at any time.</w:t>
      </w:r>
    </w:p>
    <w:p>
      <w:r>
        <w:rPr>
          <w:b/>
          <w:color w:val="CC0000"/>
        </w:rPr>
        <w:t>REQ-041 (low priority, commercial) — GAP</w:t>
      </w:r>
    </w:p>
    <w:p>
      <w:r>
        <w:rPr>
          <w:color w:val="444444"/>
          <w:sz w:val="18"/>
        </w:rPr>
        <w:t>Requirement: Respondents bear their own costs of participation.</w:t>
      </w:r>
    </w:p>
    <w:p>
      <w:r>
        <w:rPr>
          <w:color w:val="444444"/>
          <w:sz w:val="18"/>
        </w:rPr>
        <w:t>Evidence considered: none — no relevant documents in the knowledge base</w:t>
      </w:r>
    </w:p>
    <w:p>
      <w:r>
        <w:rPr>
          <w:color w:val="444444"/>
          <w:sz w:val="18"/>
        </w:rPr>
        <w:t>Decision: GAP (scorer confidence 0.95)</w:t>
      </w:r>
    </w:p>
    <w:p>
      <w:r>
        <w:rPr>
          <w:color w:val="CC0000"/>
          <w:sz w:val="18"/>
        </w:rPr>
        <w:t>ACTION REQUIRED: No internal evidence found for this requirement. Provide documentation covering: Respondents bear their own costs of participation....</w:t>
      </w:r>
    </w:p>
    <w:p>
      <w:r>
        <w:rPr>
          <w:b/>
          <w:color w:val="CC0000"/>
        </w:rPr>
        <w:t>REQ-042 (medium priority, commercial) — GAP</w:t>
      </w:r>
    </w:p>
    <w:p>
      <w:r>
        <w:rPr>
          <w:color w:val="444444"/>
          <w:sz w:val="18"/>
        </w:rPr>
        <w:t>Requirement: Proposals must remain valid for 120 days from the submission deadline.</w:t>
      </w:r>
    </w:p>
    <w:p>
      <w:r>
        <w:rPr>
          <w:color w:val="444444"/>
          <w:sz w:val="18"/>
        </w:rPr>
        <w:t>Evidence considered: DOC-001 (Case Study — HealthGov Australia Datacentre-to-Azure Migration); DOC-012 (Winning Proposal Excerpt — GovCloud Services Panel 2025 (Technical Approach)); DOC-004 (ISO/IEC 27001:2022 Certification Summary)</w:t>
      </w:r>
    </w:p>
    <w:p>
      <w:r>
        <w:rPr>
          <w:color w:val="444444"/>
          <w:sz w:val="18"/>
        </w:rPr>
        <w:t>Decision: GAP (scorer confidence 0.00)</w:t>
      </w:r>
    </w:p>
    <w:p>
      <w:r>
        <w:rPr>
          <w:color w:val="CC0000"/>
          <w:sz w:val="18"/>
        </w:rPr>
        <w:t>ACTION REQUIRED: Provide a proposal or contractual document explicitly stating proposal validity for at least 120 days from submission.</w:t>
      </w:r>
    </w:p>
    <w:p>
      <w:r>
        <w:rPr>
          <w:b/>
          <w:color w:val="CC0000"/>
        </w:rPr>
        <w:t>REQ-043 (high priority, legal) — GAP</w:t>
      </w:r>
    </w:p>
    <w:p>
      <w:r>
        <w:rPr>
          <w:color w:val="444444"/>
          <w:sz w:val="18"/>
        </w:rPr>
        <w:t>Requirement: The successful respondent will be required to enter into the Commonwealth contract attached as Annex C, including provisions for liquidated damages, key personnel, and step-in rights.</w:t>
      </w:r>
    </w:p>
    <w:p>
      <w:r>
        <w:rPr>
          <w:color w:val="444444"/>
          <w:sz w:val="18"/>
        </w:rPr>
        <w:t>Evidence considered: DOC-008 (Commercial Terms Register — Milestone Payments and Invoicing History); DOC-003 (Case Study — FinanceDept Agency Core Systems Migration); DOC-013 (Client Reference Register — Government Engagements)</w:t>
      </w:r>
    </w:p>
    <w:p>
      <w:r>
        <w:rPr>
          <w:color w:val="444444"/>
          <w:sz w:val="18"/>
        </w:rPr>
        <w:t>Decision: GAP (scorer confidence 0.20)</w:t>
      </w:r>
    </w:p>
    <w:p>
      <w:r>
        <w:rPr>
          <w:color w:val="CC0000"/>
          <w:sz w:val="18"/>
        </w:rPr>
        <w:t>ACTION REQUIRED: Provide executed contract excerpts or legal correspondence demonstrating acceptance of Commonwealth contract terms, including liquidated damages, key personnel, and step-in rights.</w:t>
      </w:r>
    </w:p>
    <w:p>
      <w:r>
        <w:rPr>
          <w:b/>
          <w:color w:val="B36B00"/>
        </w:rPr>
        <w:t>REQ-044 (high priority, technical) — PARTIAL</w:t>
      </w:r>
    </w:p>
    <w:p>
      <w:r>
        <w:rPr>
          <w:color w:val="444444"/>
          <w:sz w:val="18"/>
        </w:rPr>
        <w:t>Requirement: The vendor must support migration and management of approximately 580 virtual machines, including 430 Windows Server 2012 R2/2016, 95 Windows Server 2019, and 55 RHEL 8 instances.</w:t>
      </w:r>
    </w:p>
    <w:p>
      <w:r>
        <w:rPr>
          <w:color w:val="444444"/>
          <w:sz w:val="18"/>
        </w:rPr>
        <w:t>Evidence considered: DOC-002 (Case Study — StateGov Authority Cloud Transition Program); DOC-003 (Case Study — FinanceDept Agency Core Systems Migration); DOC-001 (Case Study — HealthGov Australia Datacentre-to-Azure Migration)</w:t>
      </w:r>
    </w:p>
    <w:p>
      <w:r>
        <w:rPr>
          <w:color w:val="444444"/>
          <w:sz w:val="18"/>
        </w:rPr>
        <w:t>Decision: PARTIAL (scorer confidence 0.60); citations verified: DOC-002, DOC-003, DOC-001</w:t>
      </w:r>
    </w:p>
    <w:p>
      <w:r>
        <w:rPr>
          <w:color w:val="CC0000"/>
          <w:sz w:val="18"/>
        </w:rPr>
        <w:t>ACTION REQUIRED: Provide documentation or case studies specifying migration and management of Windows Server 2012 R2/2016, Windows Server 2019, and RHEL 8 instances at the required scale.</w:t>
      </w:r>
    </w:p>
    <w:p>
      <w:r>
        <w:rPr>
          <w:b/>
          <w:color w:val="CC0000"/>
        </w:rPr>
        <w:t>REQ-045 (high priority, technical) — GAP</w:t>
      </w:r>
    </w:p>
    <w:p>
      <w:r>
        <w:rPr>
          <w:color w:val="444444"/>
          <w:sz w:val="18"/>
        </w:rPr>
        <w:t>Requirement: The vendor must be able to migrate and manage 36 SQL Server instances (2014-2019) totaling 48 TB of data.</w:t>
      </w:r>
    </w:p>
    <w:p>
      <w:r>
        <w:rPr>
          <w:color w:val="444444"/>
          <w:sz w:val="18"/>
        </w:rPr>
        <w:t>Evidence considered: DOC-001 (Case Study — HealthGov Australia Datacentre-to-Azure Migration); DOC-012 (Winning Proposal Excerpt — GovCloud Services Panel 2025 (Technical Approach)); DOC-003 (Case Study — FinanceDept Agency Core Systems Migration)</w:t>
      </w:r>
    </w:p>
    <w:p>
      <w:r>
        <w:rPr>
          <w:color w:val="444444"/>
          <w:sz w:val="18"/>
        </w:rPr>
        <w:t>Decision: GAP (scorer confidence 0.20)</w:t>
      </w:r>
    </w:p>
    <w:p>
      <w:r>
        <w:rPr>
          <w:color w:val="CC0000"/>
          <w:sz w:val="18"/>
        </w:rPr>
        <w:t>ACTION REQUIRED: Provide a case study or reference demonstrating migration and management of at least 36 SQL Server instances (2014-2019) totaling 48 TB of data.</w:t>
      </w:r>
    </w:p>
    <w:p>
      <w:r>
        <w:rPr>
          <w:b/>
          <w:color w:val="B36B00"/>
        </w:rPr>
        <w:t>REQ-046 (medium priority, technical) — PARTIAL</w:t>
      </w:r>
    </w:p>
    <w:p>
      <w:r>
        <w:rPr>
          <w:color w:val="444444"/>
          <w:sz w:val="18"/>
        </w:rPr>
        <w:t>Requirement: The vendor must handle storage migration and management for approximately 410 TB across SAN and NAS tiers.</w:t>
      </w:r>
    </w:p>
    <w:p>
      <w:r>
        <w:rPr>
          <w:color w:val="444444"/>
          <w:sz w:val="18"/>
        </w:rPr>
        <w:t>Evidence considered: DOC-002 (Case Study — StateGov Authority Cloud Transition Program); DOC-004 (ISO/IEC 27001:2022 Certification Summary); DOC-001 (Case Study — HealthGov Australia Datacentre-to-Azure Migration)</w:t>
      </w:r>
    </w:p>
    <w:p>
      <w:r>
        <w:rPr>
          <w:color w:val="444444"/>
          <w:sz w:val="18"/>
        </w:rPr>
        <w:t>Decision: PARTIAL (scorer confidence 0.50); citations verified: DOC-001, DOC-002</w:t>
      </w:r>
    </w:p>
    <w:p>
      <w:r>
        <w:rPr>
          <w:color w:val="CC0000"/>
          <w:sz w:val="18"/>
        </w:rPr>
        <w:t>ACTION REQUIRED: Provide documentation or case studies specifying storage migration and management of at least 410 TB across SAN and NAS tiers.</w:t>
      </w:r>
    </w:p>
    <w:p>
      <w:r>
        <w:rPr>
          <w:b/>
          <w:color w:val="CC0000"/>
        </w:rPr>
        <w:t>REQ-047 (medium priority, technical) — GAP</w:t>
      </w:r>
    </w:p>
    <w:p>
      <w:r>
        <w:rPr>
          <w:color w:val="444444"/>
          <w:sz w:val="18"/>
        </w:rPr>
        <w:t>Requirement: The vendor must accommodate network connectivity with dual 10 Gbps links between datacentres and plan for ExpressRoute provisioning.</w:t>
      </w:r>
    </w:p>
    <w:p>
      <w:r>
        <w:rPr>
          <w:color w:val="444444"/>
          <w:sz w:val="18"/>
        </w:rPr>
        <w:t>Evidence considered: DOC-013 (Client Reference Register — Government Engagements)</w:t>
      </w:r>
    </w:p>
    <w:p>
      <w:r>
        <w:rPr>
          <w:color w:val="444444"/>
          <w:sz w:val="18"/>
        </w:rPr>
        <w:t>Decision: GAP (scorer confidence 0.10)</w:t>
      </w:r>
    </w:p>
    <w:p>
      <w:r>
        <w:rPr>
          <w:color w:val="CC0000"/>
          <w:sz w:val="18"/>
        </w:rPr>
        <w:t>ACTION REQUIRED: Provide architecture diagrams or project documentation demonstrating implementation of dual 10 Gbps datacentre links and ExpressRoute provisioning.</w:t>
      </w:r>
    </w:p>
    <w:p>
      <w:r>
        <w:rPr>
          <w:b/>
          <w:color w:val="CC0000"/>
        </w:rPr>
        <w:t>REQ-048 (medium priority, technical) — GAP</w:t>
      </w:r>
    </w:p>
    <w:p>
      <w:r>
        <w:rPr>
          <w:color w:val="444444"/>
          <w:sz w:val="18"/>
        </w:rPr>
        <w:t>Requirement: The vendor must integrate with an Active Directory environment at 2016 functional level and Entra ID Connect synchronisation.</w:t>
      </w:r>
    </w:p>
    <w:p>
      <w:r>
        <w:rPr>
          <w:color w:val="444444"/>
          <w:sz w:val="18"/>
        </w:rPr>
        <w:t>Evidence considered: DOC-002 (Case Study — StateGov Authority Cloud Transition Program); DOC-001 (Case Study — HealthGov Australia Datacentre-to-Azure Migration)</w:t>
      </w:r>
    </w:p>
    <w:p>
      <w:r>
        <w:rPr>
          <w:color w:val="444444"/>
          <w:sz w:val="18"/>
        </w:rPr>
        <w:t>Decision: GAP (scorer confidence 0.10)</w:t>
      </w:r>
    </w:p>
    <w:p>
      <w:r>
        <w:rPr>
          <w:color w:val="CC0000"/>
          <w:sz w:val="18"/>
        </w:rPr>
        <w:t>ACTION REQUIRED: Provide documentation or case studies demonstrating integration with Active Directory at 2016 functional level and Entra ID Connect synchronisation.</w:t>
      </w:r>
    </w:p>
    <w:p>
      <w:r>
        <w:rPr>
          <w:b/>
          <w:color w:val="CC0000"/>
        </w:rPr>
        <w:t>REQ-049 (medium priority, technical) — GAP</w:t>
      </w:r>
    </w:p>
    <w:p>
      <w:r>
        <w:rPr>
          <w:color w:val="444444"/>
          <w:sz w:val="18"/>
        </w:rPr>
        <w:t>Requirement: The vendor must support a backup regime of nightly full backups to disk with 35-day retention and quarterly archive to tape.</w:t>
      </w:r>
    </w:p>
    <w:p>
      <w:r>
        <w:rPr>
          <w:color w:val="444444"/>
          <w:sz w:val="18"/>
        </w:rPr>
        <w:t>Evidence considered: DOC-006 (Data Residency and Sovereignty Policy)</w:t>
      </w:r>
    </w:p>
    <w:p>
      <w:r>
        <w:rPr>
          <w:color w:val="444444"/>
          <w:sz w:val="18"/>
        </w:rPr>
        <w:t>Decision: GAP (scorer confidence 0.10)</w:t>
      </w:r>
    </w:p>
    <w:p>
      <w:r>
        <w:rPr>
          <w:color w:val="CC0000"/>
          <w:sz w:val="18"/>
        </w:rPr>
        <w:t>ACTION REQUIRED: Provide backup policy documentation or operational evidence demonstrating nightly full backups to disk with 35-day retention and quarterly archive to tape.</w:t>
      </w:r>
    </w:p>
    <w:p>
      <w:r>
        <w:rPr>
          <w:b/>
          <w:color w:val="B36B00"/>
        </w:rPr>
        <w:t>REQ-050 (high priority, technical) — PARTIAL</w:t>
      </w:r>
    </w:p>
    <w:p>
      <w:r>
        <w:rPr>
          <w:color w:val="444444"/>
          <w:sz w:val="18"/>
        </w:rPr>
        <w:t>Requirement: For Tier-1 workloads (24 applications), the vendor must ensure 99.95% availability and limit cutover windows to a maximum of four hours.</w:t>
      </w:r>
    </w:p>
    <w:p>
      <w:r>
        <w:rPr>
          <w:color w:val="444444"/>
          <w:sz w:val="18"/>
        </w:rPr>
        <w:t>Evidence considered: DOC-010 (Managed Services Incident Response Runbook (Extract)); DOC-003 (Case Study — FinanceDept Agency Core Systems Migration); DOC-001 (Case Study — HealthGov Australia Datacentre-to-Azure Migration)</w:t>
      </w:r>
    </w:p>
    <w:p>
      <w:r>
        <w:rPr>
          <w:color w:val="444444"/>
          <w:sz w:val="18"/>
        </w:rPr>
        <w:t>Decision: PARTIAL (scorer confidence 0.60); citations verified: DOC-010, DOC-001, DOC-003</w:t>
      </w:r>
    </w:p>
    <w:p>
      <w:r>
        <w:rPr>
          <w:color w:val="CC0000"/>
          <w:sz w:val="18"/>
        </w:rPr>
        <w:t>ACTION REQUIRED: Provide documentation or case studies demonstrating that cutover windows for Tier-1 workloads were limited to a maximum of four hours during migration.</w:t>
      </w:r>
    </w:p>
    <w:p>
      <w:r>
        <w:rPr>
          <w:b/>
          <w:color w:val="B36B00"/>
        </w:rPr>
        <w:t>REQ-051 (medium priority, technical) — PARTIAL</w:t>
      </w:r>
    </w:p>
    <w:p>
      <w:r>
        <w:rPr>
          <w:color w:val="444444"/>
          <w:sz w:val="18"/>
        </w:rPr>
        <w:t>Requirement: The vendor must support migration and management of Tier-2 workloads, including 61 internal corporate and case-management applications.</w:t>
      </w:r>
    </w:p>
    <w:p>
      <w:r>
        <w:rPr>
          <w:color w:val="444444"/>
          <w:sz w:val="18"/>
        </w:rPr>
        <w:t>Evidence considered: DOC-012 (Winning Proposal Excerpt — GovCloud Services Panel 2025 (Technical Approach)); DOC-001 (Case Study — HealthGov Australia Datacentre-to-Azure Migration); DOC-007 (Executed SOW Extract — Fixed-Price Multi-Year Schedule (ClientCo))</w:t>
      </w:r>
    </w:p>
    <w:p>
      <w:r>
        <w:rPr>
          <w:color w:val="444444"/>
          <w:sz w:val="18"/>
        </w:rPr>
        <w:t>Decision: PARTIAL (scorer confidence 0.60); citations verified: DOC-012, DOC-001, DOC-007</w:t>
      </w:r>
    </w:p>
    <w:p>
      <w:r>
        <w:rPr>
          <w:color w:val="CC0000"/>
          <w:sz w:val="18"/>
        </w:rPr>
        <w:t>ACTION REQUIRED: Provide documentation or case studies specifically demonstrating migration and management of Tier-2 workloads, including internal corporate and case-management applications.</w:t>
      </w:r>
    </w:p>
    <w:p>
      <w:r>
        <w:rPr>
          <w:b/>
          <w:color w:val="CC0000"/>
        </w:rPr>
        <w:t>REQ-052 (low priority, technical) — GAP</w:t>
      </w:r>
    </w:p>
    <w:p>
      <w:r>
        <w:rPr>
          <w:color w:val="444444"/>
          <w:sz w:val="18"/>
        </w:rPr>
        <w:t>Requirement: The vendor must accommodate Tier-3 workloads, including development, test, and archive systems.</w:t>
      </w:r>
    </w:p>
    <w:p>
      <w:r>
        <w:rPr>
          <w:color w:val="444444"/>
          <w:sz w:val="18"/>
        </w:rPr>
        <w:t>Evidence considered: DOC-001 (Case Study — HealthGov Australia Datacentre-to-Azure Migration); DOC-010 (Managed Services Incident Response Runbook (Extract)); DOC-003 (Case Study — FinanceDept Agency Core Systems Migration)</w:t>
      </w:r>
    </w:p>
    <w:p>
      <w:r>
        <w:rPr>
          <w:color w:val="444444"/>
          <w:sz w:val="18"/>
        </w:rPr>
        <w:t>Decision: GAP (scorer confidence 0.20)</w:t>
      </w:r>
    </w:p>
    <w:p>
      <w:r>
        <w:rPr>
          <w:color w:val="CC0000"/>
          <w:sz w:val="18"/>
        </w:rPr>
        <w:t>ACTION REQUIRED: Provide documentation or case studies explicitly demonstrating support for Tier-3 workloads such as development, test, and archive systems.</w:t>
      </w:r>
    </w:p>
    <w:p>
      <w:r>
        <w:rPr>
          <w:b/>
          <w:color w:val="CC0000"/>
        </w:rPr>
        <w:t>REQ-053 (high priority, technical) — GAP</w:t>
      </w:r>
    </w:p>
    <w:p>
      <w:r>
        <w:rPr>
          <w:color w:val="444444"/>
          <w:sz w:val="18"/>
        </w:rPr>
        <w:t>Requirement: The vendor must assess 8 nominated legacy applications for containerisation or re-platforming during the engagement.</w:t>
      </w:r>
    </w:p>
    <w:p>
      <w:r>
        <w:rPr>
          <w:color w:val="444444"/>
          <w:sz w:val="18"/>
        </w:rPr>
        <w:t>Evidence considered: DOC-012 (Winning Proposal Excerpt — GovCloud Services Panel 2025 (Technical Approach)); DOC-003 (Case Study — FinanceDept Agency Core Systems Migration); DOC-001 (Case Study — HealthGov Australia Datacentre-to-Azure Migration)</w:t>
      </w:r>
    </w:p>
    <w:p>
      <w:r>
        <w:rPr>
          <w:color w:val="444444"/>
          <w:sz w:val="18"/>
        </w:rPr>
        <w:t>Decision: GAP (scorer confidence 0.20)</w:t>
      </w:r>
    </w:p>
    <w:p>
      <w:r>
        <w:rPr>
          <w:color w:val="CC0000"/>
          <w:sz w:val="18"/>
        </w:rPr>
        <w:t>ACTION REQUIRED: Provide case studies or project documentation demonstrating assessment of nominated legacy applications for containerisation or re-platforming.</w:t>
      </w:r>
    </w:p>
    <w:p>
      <w:r>
        <w:rPr>
          <w:b/>
          <w:color w:val="CC0000"/>
        </w:rPr>
        <w:t>REQ-054 (high priority, timeline) — GAP</w:t>
      </w:r>
    </w:p>
    <w:p>
      <w:r>
        <w:rPr>
          <w:color w:val="444444"/>
          <w:sz w:val="18"/>
        </w:rPr>
        <w:t>Requirement: The vendor must ensure datacentre decommissioning and lease exit is completed by 30 June 2027.</w:t>
      </w:r>
    </w:p>
    <w:p>
      <w:r>
        <w:rPr>
          <w:color w:val="444444"/>
          <w:sz w:val="18"/>
        </w:rPr>
        <w:t>Evidence considered: DOC-001 (Case Study — HealthGov Australia Datacentre-to-Azure Migration); DOC-002 (Case Study — StateGov Authority Cloud Transition Program); DOC-008 (Commercial Terms Register — Milestone Payments and Invoicing History)</w:t>
      </w:r>
    </w:p>
    <w:p>
      <w:r>
        <w:rPr>
          <w:color w:val="444444"/>
          <w:sz w:val="18"/>
        </w:rPr>
        <w:t>Decision: GAP (scorer confidence 0.20)</w:t>
      </w:r>
    </w:p>
    <w:p>
      <w:r>
        <w:rPr>
          <w:color w:val="CC0000"/>
          <w:sz w:val="18"/>
        </w:rPr>
        <w:t>ACTION REQUIRED: Provide documentation or project plans explicitly committing to datacentre decommissioning and lease exit by 30 June 2027.</w:t>
      </w:r>
    </w:p>
    <w:p>
      <w:r>
        <w:rPr>
          <w:b/>
          <w:color w:val="CC0000"/>
        </w:rPr>
        <w:t>REQ-055 (medium priority, timeline) — GAP</w:t>
      </w:r>
    </w:p>
    <w:p>
      <w:r>
        <w:rPr>
          <w:color w:val="444444"/>
          <w:sz w:val="18"/>
        </w:rPr>
        <w:t>Requirement: The vendor may propose an alternative timeline provided the lease-exit date is met.</w:t>
      </w:r>
    </w:p>
    <w:p>
      <w:r>
        <w:rPr>
          <w:color w:val="444444"/>
          <w:sz w:val="18"/>
        </w:rPr>
        <w:t>Evidence considered: DOC-002 (Case Study — StateGov Authority Cloud Transition Program); DOC-001 (Case Study — HealthGov Australia Datacentre-to-Azure Migration)</w:t>
      </w:r>
    </w:p>
    <w:p>
      <w:r>
        <w:rPr>
          <w:color w:val="444444"/>
          <w:sz w:val="18"/>
        </w:rPr>
        <w:t>Decision: GAP (scorer confidence 0.20)</w:t>
      </w:r>
    </w:p>
    <w:p>
      <w:r>
        <w:rPr>
          <w:color w:val="CC0000"/>
          <w:sz w:val="18"/>
        </w:rPr>
        <w:t>ACTION REQUIRED: Provide documentation or project plans demonstrating the ability to propose and deliver alternative timelines while meeting fixed lease-exit dates.</w:t>
      </w:r>
    </w:p>
    <w:p>
      <w:r>
        <w:rPr>
          <w:b/>
          <w:color w:val="CC0000"/>
        </w:rPr>
        <w:t>REQ-056 (high priority, legal) — GAP</w:t>
      </w:r>
    </w:p>
    <w:p>
      <w:r>
        <w:rPr>
          <w:color w:val="444444"/>
          <w:sz w:val="18"/>
        </w:rPr>
        <w:t>Requirement: The vendor bears delivery risk for migration execution, including rollback costs arising from failed cutovers.</w:t>
      </w:r>
    </w:p>
    <w:p>
      <w:r>
        <w:rPr>
          <w:color w:val="444444"/>
          <w:sz w:val="18"/>
        </w:rPr>
        <w:t>Evidence considered: DOC-003 (Case Study — FinanceDept Agency Core Systems Migration); DOC-007 (Executed SOW Extract — Fixed-Price Multi-Year Schedule (ClientCo)); DOC-001 (Case Study — HealthGov Australia Datacentre-to-Azure Migration)</w:t>
      </w:r>
    </w:p>
    <w:p>
      <w:r>
        <w:rPr>
          <w:color w:val="444444"/>
          <w:sz w:val="18"/>
        </w:rPr>
        <w:t>Decision: GAP (scorer confidence 0.20)</w:t>
      </w:r>
    </w:p>
    <w:p>
      <w:r>
        <w:rPr>
          <w:color w:val="CC0000"/>
          <w:sz w:val="18"/>
        </w:rPr>
        <w:t>ACTION REQUIRED: Provide executed contract clauses or SOW excerpts explicitly stating the vendor assumes delivery risk and rollback cost liability for migration failures.</w:t>
      </w:r>
    </w:p>
    <w:p>
      <w:r>
        <w:rPr>
          <w:b/>
          <w:color w:val="CC0000"/>
        </w:rPr>
        <w:t>REQ-057 (high priority, legal) — GAP</w:t>
      </w:r>
    </w:p>
    <w:p>
      <w:r>
        <w:rPr>
          <w:color w:val="444444"/>
          <w:sz w:val="18"/>
        </w:rPr>
        <w:t>Requirement: Liquidated damages will apply to missed lease-exit milestones attributable to the vendor.</w:t>
      </w:r>
    </w:p>
    <w:p>
      <w:r>
        <w:rPr>
          <w:color w:val="444444"/>
          <w:sz w:val="18"/>
        </w:rPr>
        <w:t>Evidence considered: DOC-008 (Commercial Terms Register — Milestone Payments and Invoicing History)</w:t>
      </w:r>
    </w:p>
    <w:p>
      <w:r>
        <w:rPr>
          <w:color w:val="444444"/>
          <w:sz w:val="18"/>
        </w:rPr>
        <w:t>Decision: GAP (scorer confidence 0.20)</w:t>
      </w:r>
    </w:p>
    <w:p>
      <w:r>
        <w:rPr>
          <w:color w:val="CC0000"/>
          <w:sz w:val="18"/>
        </w:rPr>
        <w:t>ACTION REQUIRED: Provide executed contract excerpts or policy documents explicitly confirming acceptance of liquidated damages for missed milestones.</w:t>
      </w:r>
    </w:p>
    <w:p>
      <w:r>
        <w:rPr>
          <w:b/>
          <w:color w:val="CC0000"/>
        </w:rPr>
        <w:t>REQ-058 (high priority, legal) — GAP</w:t>
      </w:r>
    </w:p>
    <w:p>
      <w:r>
        <w:rPr>
          <w:color w:val="444444"/>
          <w:sz w:val="18"/>
        </w:rPr>
        <w:t>Requirement: Caps on liability will be negotiated with the preferred respondent within Commonwealth contracting norms; unlimited liability applies for breach of privacy or security obligations.</w:t>
      </w:r>
    </w:p>
    <w:p>
      <w:r>
        <w:rPr>
          <w:color w:val="444444"/>
          <w:sz w:val="18"/>
        </w:rPr>
        <w:t>Evidence considered: DOC-011 (Privacy Act 1988 Compliance Statement and Breach Notification Procedure); DOC-003 (Case Study — FinanceDept Agency Core Systems Migration); DOC-005 (IRAP Assessment Summary — ISM PROTECTED Level)</w:t>
      </w:r>
    </w:p>
    <w:p>
      <w:r>
        <w:rPr>
          <w:color w:val="444444"/>
          <w:sz w:val="18"/>
        </w:rPr>
        <w:t>Decision: GAP (scorer confidence 0.20)</w:t>
      </w:r>
    </w:p>
    <w:p>
      <w:r>
        <w:rPr>
          <w:color w:val="CC0000"/>
          <w:sz w:val="18"/>
        </w:rPr>
        <w:t>ACTION REQUIRED: Provide contract excerpts or policy documents explicitly stating acceptance of unlimited liability for privacy or security breaches in line with Commonwealth norms.</w:t>
      </w:r>
    </w:p>
    <w:p>
      <w:r>
        <w:rPr>
          <w:b/>
          <w:color w:val="CC0000"/>
        </w:rPr>
        <w:t>REQ-059 (high priority, other) — GAP</w:t>
      </w:r>
    </w:p>
    <w:p>
      <w:r>
        <w:rPr>
          <w:color w:val="444444"/>
          <w:sz w:val="18"/>
        </w:rPr>
        <w:t>Requirement: Mandatory requirements assessed as non-compliant result in exclusion; partial compliance on mandatory requirements must be justified with a credible remediation plan.</w:t>
      </w:r>
    </w:p>
    <w:p>
      <w:r>
        <w:rPr>
          <w:color w:val="444444"/>
          <w:sz w:val="18"/>
        </w:rPr>
        <w:t>Evidence considered: DOC-011 (Privacy Act 1988 Compliance Statement and Breach Notification Procedure); DOC-004 (ISO/IEC 27001:2022 Certification Summary); DOC-006 (Data Residency and Sovereignty Policy)</w:t>
      </w:r>
    </w:p>
    <w:p>
      <w:r>
        <w:rPr>
          <w:color w:val="444444"/>
          <w:sz w:val="18"/>
        </w:rPr>
        <w:t>Decision: GAP (scorer confidence 0.20)</w:t>
      </w:r>
    </w:p>
    <w:p>
      <w:r>
        <w:rPr>
          <w:color w:val="CC0000"/>
          <w:sz w:val="18"/>
        </w:rPr>
        <w:t>ACTION REQUIRED: Provide a policy or procedure document demonstrating how non-compliance with mandatory requirements is assessed, justified, and remediated, including exclusion and remediation plan processes.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bCs/>
        <w:color w:val="CC0000"/>
        <w:sz w:val="16"/>
        <w:szCs w:val="16"/>
      </w:rPr>
      <w:t xml:space="preserve">CONFIDENTIAL — DRAFT — Requires human review before submission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2E75B6"/>
        <w:sz w:val="18"/>
        <w:szCs w:val="18"/>
      </w:rPr>
      <w:t xml:space="preserve">RFP Intelligence Agent — Proposal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2026-05-29T00:46:35.428Z</dcterms:created>
  <dcterms:modified xsi:type="dcterms:W3CDTF">2026-05-29T00:46:35.430Z</dcterms:modified>
</cp:coreProperties>
</file>

<file path=docProps/custom.xml><?xml version="1.0" encoding="utf-8"?>
<Properties xmlns="http://schemas.openxmlformats.org/officeDocument/2006/custom-properties" xmlns:vt="http://schemas.openxmlformats.org/officeDocument/2006/docPropsVTypes"/>
</file>