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{{company_name}}</w:t>
      </w:r>
    </w:p>
    <w:p>
      <w:pPr>
        <w:spacing w:before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Proposal in Response to: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{{rfp_title}}</w:t>
      </w:r>
    </w:p>
    <w:p>
      <w:pPr>
        <w:spacing w:before="4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Submitted: {{submission_date}}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 w:before="120"/>
      </w:pPr>
      <w:r>
        <w:rPr>
          <w:rFonts w:ascii="Arial" w:cs="Arial" w:eastAsia="Arial" w:hAnsi="Arial"/>
          <w:sz w:val="22"/>
          <w:szCs w:val="22"/>
        </w:rPr>
        <w:t xml:space="preserve">{{executive_summary}}</w:t>
      </w:r>
    </w:p>
    <w:p>
      <w:pPr>
        <w:pStyle w:val="Heading1"/>
      </w:pPr>
      <w:r>
        <w:t xml:space="preserve">2. Requirements Response</w:t>
      </w:r>
    </w:p>
    <w:p>
      <w:pPr>
        <w:spacing w:after="16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table below addresses each requirement from the RFP. Rows highlighted in red require action before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Evidence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{{req_id}}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{{response_text}}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{{evidence_citations}}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{{req_id_gap}}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[ACTION REQUIRED: {{gap_description}}]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No evidence on file</w:t>
            </w:r>
          </w:p>
        </w:tc>
      </w:tr>
    </w:tbl>
    <w:p>
      <w:pPr>
        <w:pStyle w:val="Heading1"/>
        <w:spacing w:before="480"/>
      </w:pPr>
      <w:r>
        <w:t xml:space="preserve">3. Gap Summary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{{gap_summary}}</w:t>
      </w:r>
    </w:p>
    <w:p>
      <w:pPr>
        <w:pStyle w:val="Heading1"/>
      </w:pPr>
      <w:r>
        <w:t xml:space="preserve">4. Estimated Fit Score</w:t>
      </w:r>
    </w:p>
    <w:p>
      <w:pPr>
        <w:spacing w:before="80"/>
      </w:pPr>
      <w:r>
        <w:rPr>
          <w:rFonts w:ascii="Arial" w:cs="Arial" w:eastAsia="Arial" w:hAnsi="Arial"/>
          <w:sz w:val="24"/>
          <w:szCs w:val="24"/>
        </w:rPr>
        <w:t>Requirement coverage score: {{coverage_score}}%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</w:r>
    </w:p>
    <w:p>
      <w:pPr>
        <w:spacing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Score reflects coverage of requirements by verified internal evidence. All gaps must be resolved before submission.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 — DRAFT — Requires human review before submission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RFP Intelligence Agent — Proposal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2026-05-29T00:46:35.428Z</dcterms:created>
  <dcterms:modified xsi:type="dcterms:W3CDTF">2026-05-29T00:46:35.430Z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