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>Contoso Cloud Solutions</w:t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Proposal in Response to: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>GOV-2026-ICT-0042 Cloud Infrastructure Modernisation</w:t>
      </w:r>
    </w:p>
    <w:p>
      <w:pPr>
        <w:spacing w:before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>Submitted: 30 June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 w:before="120"/>
      </w:pPr>
      <w:r>
        <w:rPr>
          <w:rFonts w:ascii="Arial" w:cs="Arial" w:eastAsia="Arial" w:hAnsi="Arial"/>
          <w:sz w:val="22"/>
          <w:szCs w:val="22"/>
        </w:rPr>
        <w:t>Contoso Cloud Solutions brings 8 years of Azure migration expertise and a proven track record of zero-downtime transitions for government clients across Australia. Our proposed solution addresses all technical, commercial, and compliance requirements with verifiable internal evidence.</w:t>
      </w:r>
    </w:p>
    <w:p>
      <w:pPr>
        <w:pStyle w:val="Heading1"/>
      </w:pPr>
      <w:r>
        <w:t xml:space="preserve">2. Requirements Response</w:t>
      </w:r>
    </w:p>
    <w:p>
      <w:pPr>
        <w:spacing w:after="16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table below addresses each requirement from the RFP. Rows highlighted in red require action before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Evidence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color w:val="000000"/>
                <w:sz w:val="20"/>
              </w:rPr>
              <w:t>REQ-001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color w:val="000000"/>
                <w:sz w:val="20"/>
              </w:rPr>
              <w:t>Contoso has completed 6 Azure migrations at the 500+ VM scale, including HealthGov (620 VMs, 2024) and StateDept (810 VMs, 2023). All migrations were completed with zero unplanned downtime. [Source: Azure Migration Case Study — HealthGov 2024 — https://sharepoint.example.com/sites/proposals/azure-migration-healthgov.pdf]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color w:val="000000"/>
                <w:sz w:val="20"/>
              </w:rPr>
              <w:t>[Source: Azure Migration Case Study — HealthGov 2024]</w:t>
              <w:br/>
              <w:t>[Source: ISO 27001 Certification — Current]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color w:val="000000"/>
                <w:sz w:val="20"/>
              </w:rPr>
              <w:t>REQ-002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color w:val="000000"/>
                <w:sz w:val="20"/>
              </w:rPr>
              <w:t>Our managed operations team maintains a 99.97% uptime track record across active engagements. Average MTTR is 18 minutes. Full SLA documentation and monitoring tooling available on request. [Source: Teams: delivery-updates — https://teams.microsoft.com/l/message/example/123]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color w:val="000000"/>
                <w:sz w:val="20"/>
              </w:rPr>
              <w:t>[Source: Teams: delivery-updates channel message, 10 Sep 2025]</w:t>
            </w:r>
          </w:p>
        </w:tc>
      </w:tr>
      <w:tr>
        <w:tc>
          <w:tcPr>
            <w:tcW w:type="dxa" w:w="1500"/>
            <w:shd w:val="clear" w:color="auto" w:fill="FFE0E0"/>
          </w:tcPr>
          <w:p>
            <w:r>
              <w:rPr>
                <w:rFonts w:ascii="Arial" w:hAnsi="Arial"/>
                <w:color w:val="CC0000"/>
                <w:sz w:val="20"/>
              </w:rPr>
              <w:t>REQ-003</w:t>
            </w:r>
          </w:p>
        </w:tc>
        <w:tc>
          <w:tcPr>
            <w:tcW w:type="dxa" w:w="4500"/>
            <w:shd w:val="clear" w:color="auto" w:fill="FFE0E0"/>
          </w:tcPr>
          <w:p>
            <w:r>
              <w:rPr>
                <w:rFonts w:ascii="Arial" w:hAnsi="Arial"/>
                <w:color w:val="CC0000"/>
                <w:sz w:val="20"/>
              </w:rPr>
              <w:t>[ACTION REQUIRED: Upload current ISO 27001 certificate and written confirmation of Australian East/Southeast data residency for the proposed solution.]</w:t>
            </w:r>
          </w:p>
        </w:tc>
        <w:tc>
          <w:tcPr>
            <w:tcW w:type="dxa" w:w="3360"/>
            <w:shd w:val="clear" w:color="auto" w:fill="FFE0E0"/>
          </w:tcPr>
          <w:p>
            <w:r>
              <w:rPr>
                <w:rFonts w:ascii="Arial" w:hAnsi="Arial"/>
                <w:color w:val="CC0000"/>
                <w:sz w:val="20"/>
              </w:rPr>
              <w:t>No evidence on file — human action required.</w:t>
            </w:r>
          </w:p>
        </w:tc>
      </w:tr>
    </w:tbl>
    <w:p>
      <w:pPr>
        <w:pStyle w:val="Heading1"/>
        <w:spacing w:before="480"/>
      </w:pPr>
      <w:r>
        <w:t xml:space="preserve">3. Gap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>GAPS (1 items requiring human input before submission):</w:t>
        <w:br/>
        <w:t xml:space="preserve">  [ACTION REQUIRED] REQ-003: Upload current ISO 27001 certificate and written confirmation of Australian East/Southeast data residency for the proposed solution.</w:t>
        <w:br/>
        <w:br/>
        <w:t>PARTIAL COVERAGE (1 items with weak evidence):</w:t>
        <w:br/>
        <w:t xml:space="preserve">  REQ-002: Provide formal SLA performance report for the last 12 months to substantiate the 99.95% uptime claim.</w:t>
      </w:r>
    </w:p>
    <w:p>
      <w:pPr>
        <w:pStyle w:val="Heading1"/>
      </w:pPr>
      <w:r>
        <w:t xml:space="preserve">4. Estimated Fit Score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>Estimated fit score: 78%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</w:r>
    </w:p>
    <w:p>
      <w:pPr>
        <w:spacing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Score reflects coverage of requirements by verified internal evidence. All gaps must be resolved before submission.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 — DRAFT — Requires human review before submission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RFP Intelligence Agent — Proposal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2026-05-29T00:46:35.428Z</dcterms:created>
  <dcterms:modified xsi:type="dcterms:W3CDTF">2026-05-29T00:46:35.430Z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