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p>
    <w:p>
      <w:pPr>
        <w:jc w:val="center"/>
      </w:pPr>
      <w:r>
        <w:rPr>
          <w:rFonts w:ascii="Arial" w:cs="Arial" w:eastAsia="Arial" w:hAnsi="Arial"/>
          <w:b/>
          <w:bCs/>
          <w:color w:val="1F4E79"/>
          <w:sz w:val="52"/>
          <w:szCs w:val="52"/>
        </w:rPr>
        <w:t>Contoso Cloud Solutions</w:t>
      </w:r>
    </w:p>
    <w:p>
      <w:pPr>
        <w:spacing w:before="240"/>
        <w:jc w:val="center"/>
      </w:pPr>
      <w:r>
        <w:rPr>
          <w:rFonts w:ascii="Arial" w:cs="Arial" w:eastAsia="Arial" w:hAnsi="Arial"/>
          <w:color w:val="595959"/>
          <w:sz w:val="24"/>
          <w:szCs w:val="24"/>
        </w:rPr>
        <w:t xml:space="preserve">Proposal in Response to:</w:t>
      </w:r>
    </w:p>
    <w:p>
      <w:pPr>
        <w:jc w:val="center"/>
      </w:pPr>
      <w:r>
        <w:rPr>
          <w:rFonts w:ascii="Arial" w:cs="Arial" w:eastAsia="Arial" w:hAnsi="Arial"/>
          <w:b/>
          <w:bCs/>
          <w:color w:val="2E75B6"/>
          <w:sz w:val="36"/>
          <w:szCs w:val="36"/>
        </w:rPr>
        <w:t>GOV-2026-ICT-0042 Cloud Infrastructure Modernisation</w:t>
      </w:r>
    </w:p>
    <w:p>
      <w:pPr>
        <w:spacing w:before="480"/>
        <w:jc w:val="center"/>
      </w:pPr>
      <w:r>
        <w:rPr>
          <w:rFonts w:ascii="Arial" w:cs="Arial" w:eastAsia="Arial" w:hAnsi="Arial"/>
          <w:color w:val="595959"/>
          <w:sz w:val="24"/>
          <w:szCs w:val="24"/>
        </w:rPr>
        <w:t>Submitted: 14 June 2026</w:t>
      </w:r>
    </w:p>
    <w:p>
      <w:r>
        <w:br w:type="page"/>
      </w:r>
    </w:p>
    <w:p>
      <w:pPr>
        <w:pStyle w:val="Heading1"/>
      </w:pPr>
      <w:r>
        <w:t xml:space="preserve">1. Executive Summary</w:t>
      </w:r>
    </w:p>
    <w:p>
      <w:pPr>
        <w:spacing w:after="240" w:before="120"/>
      </w:pPr>
      <w:r>
        <w:rPr>
          <w:rFonts w:ascii="Arial" w:cs="Arial" w:eastAsia="Arial" w:hAnsi="Arial"/>
          <w:sz w:val="22"/>
          <w:szCs w:val="22"/>
        </w:rPr>
        <w:t>Contoso Cloud Solutions has submitted a response to the "GOV-2026-ICT-0042 Cloud Infrastructure Modernisation" RFP. Of the 71 total requirements, the proposal fully covers 7 and partially addresses 22, resulting in a coverage score of 28%. There are 42 requirements identified as gaps. The proposal is grounded in the company’s verified internal evidence base, and all gaps are explicitly flagged for human input rather than being overlooked.</w:t>
      </w:r>
    </w:p>
    <w:p>
      <w:pPr>
        <w:pStyle w:val="Heading1"/>
      </w:pPr>
      <w:r>
        <w:t xml:space="preserve">2. Requirements Response</w:t>
      </w:r>
    </w:p>
    <w:p>
      <w:pPr>
        <w:spacing w:after="160" w:before="80"/>
      </w:pPr>
      <w:r>
        <w:rPr>
          <w:rFonts w:ascii="Arial" w:cs="Arial" w:eastAsia="Arial" w:hAnsi="Arial"/>
          <w:color w:val="595959"/>
          <w:sz w:val="20"/>
          <w:szCs w:val="20"/>
        </w:rPr>
        <w:t xml:space="preserve">The table below addresses each requirement from the RFP. Rows highlighted in red require action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Our Response</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r>
      <w:tr>
        <w:tc>
          <w:tcPr>
            <w:tcW w:type="dxa" w:w="1500"/>
          </w:tcPr>
          <w:p>
            <w:r>
              <w:rPr>
                <w:rFonts w:ascii="Arial" w:hAnsi="Arial"/>
                <w:color w:val="000000"/>
                <w:sz w:val="20"/>
              </w:rPr>
              <w:t>REQ-001</w:t>
            </w:r>
          </w:p>
        </w:tc>
        <w:tc>
          <w:tcPr>
            <w:tcW w:type="dxa" w:w="4500"/>
          </w:tcPr>
          <w:p>
            <w:r>
              <w:rPr>
                <w:rFonts w:ascii="Arial" w:hAnsi="Arial"/>
                <w:color w:val="000000"/>
                <w:sz w:val="20"/>
              </w:rPr>
              <w:t>We have successfully delivered large-scale Azure migration projects for government clients, including HealthGov Australia, where we migrated 620 virtual machines to Microsoft Azure over a 14-month engagement [DOC-001]. This migration included Windows Server workloads and was completed with zero unplanned downtime, achieving 99.97% availability [DOC-001]. Additionally, we migrated 540 virtual machines for StateGov Authority, encompassing a shared-services platform transition to Azure [DOC-002], and 510 virtual machines for FinanceDept Agency, covering core financial systems [DOC-003]. These projects demonstrate our proven capability in migrating substantial Windows Server estates to Azure IaaS. However, while our case studies confirm experience with large VM migrations and Windows Server workloads, further substantiation is required regarding migrations involving Microsoft SQL Server instances, Red Hat Enterprise Linux workloads, and the specific data volume of 410 TB.</w:t>
            </w:r>
          </w:p>
        </w:tc>
        <w:tc>
          <w:tcPr>
            <w:tcW w:type="dxa" w:w="3360"/>
          </w:tcPr>
          <w:p>
            <w:r>
              <w:rPr>
                <w:rFonts w:ascii="Arial" w:hAnsi="Arial"/>
                <w:color w:val="000000"/>
                <w:sz w:val="20"/>
              </w:rPr>
              <w:t>[DOC-001] Case Study — HealthGov Australia Datacentre-to-Azure Migration</w:t>
              <w:br/>
              <w:t>[DOC-002] Case Study — StateGov Authority Cloud Transition Program</w:t>
              <w:br/>
              <w:t>[DOC-003] Case Study — FinanceDept Agency Core Systems Migration</w:t>
            </w:r>
          </w:p>
        </w:tc>
      </w:tr>
      <w:tr>
        <w:tc>
          <w:tcPr>
            <w:tcW w:type="dxa" w:w="1500"/>
          </w:tcPr>
          <w:p>
            <w:r>
              <w:rPr>
                <w:rFonts w:ascii="Arial" w:hAnsi="Arial"/>
                <w:color w:val="000000"/>
                <w:sz w:val="20"/>
              </w:rPr>
              <w:t>REQ-002</w:t>
            </w:r>
          </w:p>
        </w:tc>
        <w:tc>
          <w:tcPr>
            <w:tcW w:type="dxa" w:w="4500"/>
          </w:tcPr>
          <w:p>
            <w:r>
              <w:rPr>
                <w:rFonts w:ascii="Arial" w:hAnsi="Arial"/>
                <w:color w:val="000000"/>
                <w:sz w:val="20"/>
              </w:rPr>
              <w:t>We provide ongoing managed platform services for migrated workloads in Microsoft Azure, as evidenced by our executed Statement of Work with ClientCo Enterprises, which includes cloud migration and managed services under a fixed-price, multi-year schedule [DOC-007]. Our managed services are governed by a comprehensive incident response runbook, covering all managed Azure environments with 24/7 support and a standard government-tier service level agreement guaranteeing 99.95% availability for Tier-1 production workloads [DOC-010]. Additionally, our engagement with StateGov Authority involved not only the migration of 540 virtual machines to Azure but also the provision of managed platform services throughout the 11-month transition program [DOC-002].</w:t>
            </w:r>
          </w:p>
        </w:tc>
        <w:tc>
          <w:tcPr>
            <w:tcW w:type="dxa" w:w="3360"/>
          </w:tcPr>
          <w:p>
            <w:r>
              <w:rPr>
                <w:rFonts w:ascii="Arial" w:hAnsi="Arial"/>
                <w:color w:val="000000"/>
                <w:sz w:val="20"/>
              </w:rPr>
              <w:t>[DOC-007] Executed SOW Extract — Fixed-Price Multi-Year Schedule (ClientCo)</w:t>
              <w:br/>
              <w:t>[DOC-010] Managed Services Incident Response Runbook (Extract)</w:t>
              <w:br/>
              <w:t>[DOC-002] Case Study — StateGov Authority Cloud Transition Program</w:t>
            </w:r>
          </w:p>
        </w:tc>
      </w:tr>
      <w:tr>
        <w:tc>
          <w:tcPr>
            <w:tcW w:type="dxa" w:w="1500"/>
          </w:tcPr>
          <w:p>
            <w:r>
              <w:rPr>
                <w:rFonts w:ascii="Arial" w:hAnsi="Arial"/>
                <w:color w:val="000000"/>
                <w:sz w:val="20"/>
              </w:rPr>
              <w:t>REQ-003</w:t>
            </w:r>
          </w:p>
        </w:tc>
        <w:tc>
          <w:tcPr>
            <w:tcW w:type="dxa" w:w="4500"/>
          </w:tcPr>
          <w:p>
            <w:r>
              <w:rPr>
                <w:rFonts w:ascii="Arial" w:hAnsi="Arial"/>
                <w:color w:val="000000"/>
                <w:sz w:val="20"/>
              </w:rPr>
              <w:t>Each mandatory requirement is addressed individually in our proposal, with verifiable evidence provided for each claim. For example, our executed Statement of Work for ClientCo Enterprises demonstrates acceptance of a fixed-price commercial structure, with signature pages held in the contract register as proof [DOC-007]. Additionally, our Data Residency and Sovereignty Policy (version 3.2, January 2025) applies to all client engagements involving Australian government or regulated-industry data, mandating that all client workloads and data classified as OFFICIAL or above are hosted exclusively in Australian regions [DOC-006]. Further substantiation is needed to demonstrate evidence for every possible mandatory requirement beyond the examples provided.</w:t>
            </w:r>
          </w:p>
        </w:tc>
        <w:tc>
          <w:tcPr>
            <w:tcW w:type="dxa" w:w="3360"/>
          </w:tcPr>
          <w:p>
            <w:r>
              <w:rPr>
                <w:rFonts w:ascii="Arial" w:hAnsi="Arial"/>
                <w:color w:val="000000"/>
                <w:sz w:val="20"/>
              </w:rPr>
              <w:t>[DOC-007] Executed SOW Extract — Fixed-Price Multi-Year Schedule (ClientCo)</w:t>
              <w:br/>
              <w:t>[DOC-006] Data Residency and Sovereignty Policy</w:t>
            </w:r>
          </w:p>
        </w:tc>
      </w:tr>
      <w:tr>
        <w:tc>
          <w:tcPr>
            <w:tcW w:type="dxa" w:w="1500"/>
            <w:shd w:val="clear" w:color="auto" w:fill="FFE0E0"/>
          </w:tcPr>
          <w:p>
            <w:r>
              <w:rPr>
                <w:rFonts w:ascii="Arial" w:hAnsi="Arial"/>
                <w:color w:val="CC0000"/>
                <w:sz w:val="20"/>
              </w:rPr>
              <w:t>REQ-004</w:t>
            </w:r>
          </w:p>
        </w:tc>
        <w:tc>
          <w:tcPr>
            <w:tcW w:type="dxa" w:w="4500"/>
            <w:shd w:val="clear" w:color="auto" w:fill="FFE0E0"/>
          </w:tcPr>
          <w:p>
            <w:r>
              <w:rPr>
                <w:rFonts w:ascii="Arial" w:hAnsi="Arial"/>
                <w:color w:val="CC0000"/>
                <w:sz w:val="20"/>
              </w:rPr>
              <w:t>[ACTION REQUIRED: Provide a policy or process document demonstrating how unsupported claims are identified and excluded from proposals.]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REQ-005</w:t>
            </w:r>
          </w:p>
        </w:tc>
        <w:tc>
          <w:tcPr>
            <w:tcW w:type="dxa" w:w="4500"/>
            <w:shd w:val="clear" w:color="auto" w:fill="FFE0E0"/>
          </w:tcPr>
          <w:p>
            <w:r>
              <w:rPr>
                <w:rFonts w:ascii="Arial" w:hAnsi="Arial"/>
                <w:color w:val="CC0000"/>
                <w:sz w:val="20"/>
              </w:rPr>
              <w:t>[ACTION REQUIRED: Provide documentation or confirmation that proposals will be or have been submitted via the AusTender portal by the specified deadline.]</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REQ-006</w:t>
            </w:r>
          </w:p>
        </w:tc>
        <w:tc>
          <w:tcPr>
            <w:tcW w:type="dxa" w:w="4500"/>
          </w:tcPr>
          <w:p>
            <w:r>
              <w:rPr>
                <w:rFonts w:ascii="Arial" w:hAnsi="Arial"/>
                <w:color w:val="000000"/>
                <w:sz w:val="20"/>
              </w:rPr>
              <w:t>Our migration methodology incorporates structured discovery, dependency mapping, and wave planning for all in-scope workloads. This approach was detailed in our successful GovCloud Services Panel 2025 proposal, where our migration factory model executes discovery, dependency mapping, and wave planning as foundational steps [DOC-012]. In previous engagements, such as the HealthGov Australia datacentre-to-Azure migration and the FinanceDept Agency core systems migration, we applied these practices to ensure comprehensive workload assessment and sequencing [DOC-001][DOC-003]. While the evidence confirms our methodology and its application in large-scale migrations, further substantiation is required to demonstrate specific tooling or automation used for dependency mapping.</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REQ-007</w:t>
            </w:r>
          </w:p>
        </w:tc>
        <w:tc>
          <w:tcPr>
            <w:tcW w:type="dxa" w:w="4500"/>
          </w:tcPr>
          <w:p>
            <w:r>
              <w:rPr>
                <w:rFonts w:ascii="Arial" w:hAnsi="Arial"/>
                <w:color w:val="000000"/>
                <w:sz w:val="20"/>
              </w:rPr>
              <w:t>Our Azure landing zone reference architecture and managed services practice have undergone an IRAP assessment against the Australian Government Information Security Manual (ISM) at the PROTECTED level [DOC-005]. This assessment confirms compliance with ISM PROTECTED requirements, ensuring that our Azure landing zone designs meet the stringent security controls mandated for Australian Government workloads. The IRAP assessment validates our capability to design and build Azure environments that align with the ISM PROTECTED framework, supporting secure deployment, management, and operation of sensitive government data [DOC-005]. Our team includes personnel with relevant security clearances and Azure certifications, further supporting our ability to deliver compliant solutions [DOC-014].</w:t>
            </w:r>
          </w:p>
        </w:tc>
        <w:tc>
          <w:tcPr>
            <w:tcW w:type="dxa" w:w="3360"/>
          </w:tcPr>
          <w:p>
            <w:r>
              <w:rPr>
                <w:rFonts w:ascii="Arial" w:hAnsi="Arial"/>
                <w:color w:val="000000"/>
                <w:sz w:val="20"/>
              </w:rPr>
              <w:t>[DOC-005] IRAP Assessment Summary — ISM PROTECTED Level</w:t>
              <w:br/>
              <w:t>[DOC-014] Key Personnel CV — James Liu, Lead Cloud Architect</w:t>
            </w:r>
          </w:p>
        </w:tc>
      </w:tr>
      <w:tr>
        <w:tc>
          <w:tcPr>
            <w:tcW w:type="dxa" w:w="1500"/>
          </w:tcPr>
          <w:p>
            <w:r>
              <w:rPr>
                <w:rFonts w:ascii="Arial" w:hAnsi="Arial"/>
                <w:color w:val="000000"/>
                <w:sz w:val="20"/>
              </w:rPr>
              <w:t>REQ-008</w:t>
            </w:r>
          </w:p>
        </w:tc>
        <w:tc>
          <w:tcPr>
            <w:tcW w:type="dxa" w:w="4500"/>
          </w:tcPr>
          <w:p>
            <w:r>
              <w:rPr>
                <w:rFonts w:ascii="Arial" w:hAnsi="Arial"/>
                <w:color w:val="000000"/>
                <w:sz w:val="20"/>
              </w:rPr>
              <w:t>We have successfully migrated all in-scope workloads to Azure for multiple government clients, demonstrating our proven capability in full-scale cloud transitions. For HealthGov Australia, we executed a complete datacentre exit and migrated all workloads to Microsoft Azure over a 14-month engagement [DOC-001]. Similarly, for StateGov Authority, we migrated the entire shared-services platform, including 540 virtual machines, to Azure within an 11-month timeframe [DOC-002]. Additionally, for FinanceDept Agency, we migrated all core financial systems, encompassing 510 virtual machines, to Azure IaaS/PaaS over a 9-month period [DOC-003]. These projects involved comprehensive planning, execution, and validation to ensure all in-scope workloads were transitioned to Azure, meeting client requirements and timelines.</w:t>
            </w:r>
          </w:p>
        </w:tc>
        <w:tc>
          <w:tcPr>
            <w:tcW w:type="dxa" w:w="3360"/>
          </w:tcPr>
          <w:p>
            <w:r>
              <w:rPr>
                <w:rFonts w:ascii="Arial" w:hAnsi="Arial"/>
                <w:color w:val="000000"/>
                <w:sz w:val="20"/>
              </w:rPr>
              <w:t>[DOC-001] Case Study — HealthGov Australia Datacentre-to-Azure Migration</w:t>
              <w:br/>
              <w:t>[DOC-002] Case Study — StateGov Authority Cloud Transition Program</w:t>
              <w:br/>
              <w:t>[DOC-003] Case Study — FinanceDept Agency Core Systems Migration</w:t>
            </w:r>
          </w:p>
        </w:tc>
      </w:tr>
      <w:tr>
        <w:tc>
          <w:tcPr>
            <w:tcW w:type="dxa" w:w="1500"/>
          </w:tcPr>
          <w:p>
            <w:r>
              <w:rPr>
                <w:rFonts w:ascii="Arial" w:hAnsi="Arial"/>
                <w:color w:val="000000"/>
                <w:sz w:val="20"/>
              </w:rPr>
              <w:t>REQ-009</w:t>
            </w:r>
          </w:p>
        </w:tc>
        <w:tc>
          <w:tcPr>
            <w:tcW w:type="dxa" w:w="4500"/>
          </w:tcPr>
          <w:p>
            <w:r>
              <w:rPr>
                <w:rFonts w:ascii="Arial" w:hAnsi="Arial"/>
                <w:color w:val="000000"/>
                <w:sz w:val="20"/>
              </w:rPr>
              <w:t>Our migration methodology, as outlined in our successful GovCloud Services Panel 2025 proposal, includes comprehensive discovery, dependency mapping, wave planning, and rehearsal phases to modernise application workloads [DOC-012]. This approach has been applied in engagements such as the HealthGov Australia datacentre migration, where legacy applications were transitioned to Azure environments [DOC-001], and the FinanceDept Agency migration, which involved moving core financial systems to Azure IaaS/PaaS [DOC-003]. While the evidence demonstrates our experience in modernising application workloads through migration and transformation, further substantiation is required regarding specific containerisation activities and outcomes.</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REQ-010</w:t>
            </w:r>
          </w:p>
        </w:tc>
        <w:tc>
          <w:tcPr>
            <w:tcW w:type="dxa" w:w="4500"/>
          </w:tcPr>
          <w:p>
            <w:r>
              <w:rPr>
                <w:rFonts w:ascii="Arial" w:hAnsi="Arial"/>
                <w:color w:val="000000"/>
                <w:sz w:val="20"/>
              </w:rPr>
              <w:t>We have demonstrated our capability to deliver managed platform and security operations services through executed multi-year contracts, such as the fixed-price engagement with ClientCo Enterprises, which includes managed services and was executed on 22 July 2025 [DOC-007]. Our ISO/IEC 27001:2022 certification, initially awarded in March 2019, confirms our adherence to internationally recognized security management standards [DOC-004]. While these documents substantiate our ability to provide managed platform and security operations services and our experience with multi-year terms, explicit evidence of a three-year initial term for such services requires further substantiation.</w:t>
            </w:r>
          </w:p>
        </w:tc>
        <w:tc>
          <w:tcPr>
            <w:tcW w:type="dxa" w:w="3360"/>
          </w:tcPr>
          <w:p>
            <w:r>
              <w:rPr>
                <w:rFonts w:ascii="Arial" w:hAnsi="Arial"/>
                <w:color w:val="000000"/>
                <w:sz w:val="20"/>
              </w:rPr>
              <w:t>[DOC-007] Executed SOW Extract — Fixed-Price Multi-Year Schedule (ClientCo)</w:t>
              <w:br/>
              <w:t>[DOC-004] ISO/IEC 27001:2022 Certification Summary</w:t>
            </w:r>
          </w:p>
        </w:tc>
      </w:tr>
      <w:tr>
        <w:tc>
          <w:tcPr>
            <w:tcW w:type="dxa" w:w="1500"/>
          </w:tcPr>
          <w:p>
            <w:r>
              <w:rPr>
                <w:rFonts w:ascii="Arial" w:hAnsi="Arial"/>
                <w:color w:val="000000"/>
                <w:sz w:val="20"/>
              </w:rPr>
              <w:t>REQ-011</w:t>
            </w:r>
          </w:p>
        </w:tc>
        <w:tc>
          <w:tcPr>
            <w:tcW w:type="dxa" w:w="4500"/>
          </w:tcPr>
          <w:p>
            <w:r>
              <w:rPr>
                <w:rFonts w:ascii="Arial" w:hAnsi="Arial"/>
                <w:color w:val="000000"/>
                <w:sz w:val="20"/>
              </w:rPr>
              <w:t>We have provided full datacentre exit support for HealthGov Australia, including migration to Microsoft Azure and decommissioning activities as part of a 14-month engagement covering two datacentres [DOC-001]. Our scope included the complete exit from existing facilities, ensuring all workloads were transitioned and datacentre operations ceased prior to lease expiry [DOC-001]. Additionally, our experience with StateGov Authority involved migration of shared-services platforms, demonstrating our capability in large-scale datacentre transitions [DOC-002]. While the evidence confirms our experience in datacentre exit and migration, further substantiation is required to demonstrate comprehensive decommissioning support for both datacentres prior to lease expiry.</w:t>
            </w:r>
          </w:p>
        </w:tc>
        <w:tc>
          <w:tcPr>
            <w:tcW w:type="dxa" w:w="3360"/>
          </w:tcPr>
          <w:p>
            <w:r>
              <w:rPr>
                <w:rFonts w:ascii="Arial" w:hAnsi="Arial"/>
                <w:color w:val="000000"/>
                <w:sz w:val="20"/>
              </w:rPr>
              <w:t>[DOC-001] Case Study — HealthGov Australia Datacentre-to-Azure Migration</w:t>
              <w:br/>
              <w:t>[DOC-002] Case Study — StateGov Authority Cloud Transition Program</w:t>
            </w:r>
          </w:p>
        </w:tc>
      </w:tr>
      <w:tr>
        <w:tc>
          <w:tcPr>
            <w:tcW w:type="dxa" w:w="1500"/>
          </w:tcPr>
          <w:p>
            <w:r>
              <w:rPr>
                <w:rFonts w:ascii="Arial" w:hAnsi="Arial"/>
                <w:color w:val="000000"/>
                <w:sz w:val="20"/>
              </w:rPr>
              <w:t>REQ-012</w:t>
            </w:r>
          </w:p>
        </w:tc>
        <w:tc>
          <w:tcPr>
            <w:tcW w:type="dxa" w:w="4500"/>
          </w:tcPr>
          <w:p>
            <w:r>
              <w:rPr>
                <w:rFonts w:ascii="Arial" w:hAnsi="Arial"/>
                <w:color w:val="000000"/>
                <w:sz w:val="20"/>
              </w:rPr>
              <w:t>We have successfully completed large-scale migrations of Windows Server workloads to Azure IaaS and PaaS services for government clients. Notably, we migrated 510 virtual machines for FinanceDept Agency, encompassing core financial systems, over a nine-month engagement [DOC-003]. Additionally, our HealthGov Australia project involved a full datacentre exit and migration of two on-premises environments to Microsoft Azure, with a total of 620 virtual machines migrated over fourteen months [DOC-001]. Both projects included Windows Server workloads and were executed at a scale exceeding 500 virtual machines. Contactable client references for these engagements are available and have consented to inclusion in government tender responses [DOC-013]. While the evidence substantiates two migrations of comparable scale with contactable references, further substantiation is required to demonstrate a third migration meeting the specified criteria.</w:t>
            </w:r>
          </w:p>
        </w:tc>
        <w:tc>
          <w:tcPr>
            <w:tcW w:type="dxa" w:w="3360"/>
          </w:tcPr>
          <w:p>
            <w:r>
              <w:rPr>
                <w:rFonts w:ascii="Arial" w:hAnsi="Arial"/>
                <w:color w:val="000000"/>
                <w:sz w:val="20"/>
              </w:rPr>
              <w:t>[DOC-003] Case Study — FinanceDept Agency Core Systems Migration</w:t>
              <w:br/>
              <w:t>[DOC-001] Case Study — HealthGov Australia Datacentre-to-Azure Migration</w:t>
              <w:br/>
              <w:t>[DOC-013] Client Reference Register — Government Engagements</w:t>
            </w:r>
          </w:p>
        </w:tc>
      </w:tr>
      <w:tr>
        <w:tc>
          <w:tcPr>
            <w:tcW w:type="dxa" w:w="1500"/>
          </w:tcPr>
          <w:p>
            <w:r>
              <w:rPr>
                <w:rFonts w:ascii="Arial" w:hAnsi="Arial"/>
                <w:color w:val="000000"/>
                <w:sz w:val="20"/>
              </w:rPr>
              <w:t>REQ-013</w:t>
            </w:r>
          </w:p>
        </w:tc>
        <w:tc>
          <w:tcPr>
            <w:tcW w:type="dxa" w:w="4500"/>
          </w:tcPr>
          <w:p>
            <w:r>
              <w:rPr>
                <w:rFonts w:ascii="Arial" w:hAnsi="Arial"/>
                <w:color w:val="000000"/>
                <w:sz w:val="20"/>
              </w:rPr>
              <w:t>Our managed service for Tier-1 production workloads operates under a documented incident response runbook, overseen by the Head of Service Operations, and covers all managed Azure environments with 24/7 support [DOC-010]. The service level agreement specifies a 99.95% availability SLA for Tier-1 production workloads, measured monthly [DOC-010]. The incident response procedures are formally documented and versioned, ensuring consistent and auditable processes [DOC-010]. However, while the evidence confirms the availability SLA and the existence of documented incident response procedures, it does not provide actual achieved availability figures or mean time to recovery (MTTR) statistics from current or recent operations. Further substantiation is required to demonstrate achieved MTTR under 30 minutes for Priority 1 incidents and actual availability outcomes.</w:t>
            </w:r>
          </w:p>
        </w:tc>
        <w:tc>
          <w:tcPr>
            <w:tcW w:type="dxa" w:w="3360"/>
          </w:tcPr>
          <w:p>
            <w:r>
              <w:rPr>
                <w:rFonts w:ascii="Arial" w:hAnsi="Arial"/>
                <w:color w:val="000000"/>
                <w:sz w:val="20"/>
              </w:rPr>
              <w:t>[DOC-010] Managed Services Incident Response Runbook (Extract)</w:t>
            </w:r>
          </w:p>
        </w:tc>
      </w:tr>
      <w:tr>
        <w:tc>
          <w:tcPr>
            <w:tcW w:type="dxa" w:w="1500"/>
          </w:tcPr>
          <w:p>
            <w:r>
              <w:rPr>
                <w:rFonts w:ascii="Arial" w:hAnsi="Arial"/>
                <w:color w:val="000000"/>
                <w:sz w:val="20"/>
              </w:rPr>
              <w:t>REQ-014</w:t>
            </w:r>
          </w:p>
        </w:tc>
        <w:tc>
          <w:tcPr>
            <w:tcW w:type="dxa" w:w="4500"/>
          </w:tcPr>
          <w:p>
            <w:r>
              <w:rPr>
                <w:rFonts w:ascii="Arial" w:hAnsi="Arial"/>
                <w:color w:val="000000"/>
                <w:sz w:val="20"/>
              </w:rPr>
              <w:t>All Agency data, including backup and disaster recovery copies, is maintained exclusively within Australian Azure regions (Australia East and Australia Southeast) in accordance with our Data Residency and Sovereignty Policy, which applies to all client engagements involving Australian government or regulated-industry data [DOC-006]. Our cloud delivery operations are covered by a current ISO/IEC 27001:2022 certification, issued by Southern Cross Assurance Services, with certificate number AU-27001-48213 [DOC-004]. Additionally, our Azure landing zone reference architecture and managed services practice have undergone an IRAP assessment against the Australian Government Information Security Manual (ISM) at the PROTECTED level, as documented in the IRAP Assessment Summary [DOC-005].</w:t>
            </w:r>
          </w:p>
        </w:tc>
        <w:tc>
          <w:tcPr>
            <w:tcW w:type="dxa" w:w="3360"/>
          </w:tcPr>
          <w:p>
            <w:r>
              <w:rPr>
                <w:rFonts w:ascii="Arial" w:hAnsi="Arial"/>
                <w:color w:val="000000"/>
                <w:sz w:val="20"/>
              </w:rPr>
              <w:t>[DOC-006] Data Residency and Sovereignty Policy</w:t>
              <w:br/>
              <w:t>[DOC-004] ISO/IEC 27001:2022 Certification Summary</w:t>
              <w:br/>
              <w:t>[DOC-005] IRAP Assessment Summary — ISM PROTECTED Level</w:t>
            </w:r>
          </w:p>
        </w:tc>
      </w:tr>
      <w:tr>
        <w:tc>
          <w:tcPr>
            <w:tcW w:type="dxa" w:w="1500"/>
            <w:shd w:val="clear" w:color="auto" w:fill="FFE0E0"/>
          </w:tcPr>
          <w:p>
            <w:r>
              <w:rPr>
                <w:rFonts w:ascii="Arial" w:hAnsi="Arial"/>
                <w:color w:val="CC0000"/>
                <w:sz w:val="20"/>
              </w:rPr>
              <w:t>REQ-015</w:t>
            </w:r>
          </w:p>
        </w:tc>
        <w:tc>
          <w:tcPr>
            <w:tcW w:type="dxa" w:w="4500"/>
            <w:shd w:val="clear" w:color="auto" w:fill="FFE0E0"/>
          </w:tcPr>
          <w:p>
            <w:r>
              <w:rPr>
                <w:rFonts w:ascii="Arial" w:hAnsi="Arial"/>
                <w:color w:val="CC0000"/>
                <w:sz w:val="20"/>
              </w:rPr>
              <w:t>[ACTION REQUIRED: Provide migration runbooks, project reports, or client attestations demonstrating zero-downtime migrations using Azure Site Recovery (or equivalent), with evidence of rehearsal cutovers, tested rollback plans, and production cutovers completed within four-hour windows including data loss reporting.]</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REQ-016</w:t>
            </w:r>
          </w:p>
        </w:tc>
        <w:tc>
          <w:tcPr>
            <w:tcW w:type="dxa" w:w="4500"/>
          </w:tcPr>
          <w:p>
            <w:r>
              <w:rPr>
                <w:rFonts w:ascii="Arial" w:hAnsi="Arial"/>
                <w:color w:val="000000"/>
                <w:sz w:val="20"/>
              </w:rPr>
              <w:t>Our migration methodology, as detailed in the GovCloud Services Panel 2025 technical approach, incorporates a migration factory model that executes discovery, dependency mapping, wave planning, rehearsal, and cutover for legacy applications [DOC-012]. This structured approach enables us to modernise application estates efficiently and aligns with industry best practices. We have successfully delivered large-scale Azure migrations for HealthGov Australia, involving a full datacentre exit and migration of legacy workloads to Microsoft Azure over a 14-month engagement [DOC-001], and for StateGov Authority, migrating a shared-services platform to Azure over 11 months [DOC-002]. These projects demonstrate our established capability in application modernisation and migration at scale. However, the provided evidence does not substantiate specific production experience designing, deploying, and operating containerised workloads on Azure Kubernetes Service (AKS), nor does it include a detailed modernisation roadmap for the Agency's nominated legacy applications.</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[DOC-002] Case Study — StateGov Authority Cloud Transition Program</w:t>
            </w:r>
          </w:p>
        </w:tc>
      </w:tr>
      <w:tr>
        <w:tc>
          <w:tcPr>
            <w:tcW w:type="dxa" w:w="1500"/>
          </w:tcPr>
          <w:p>
            <w:r>
              <w:rPr>
                <w:rFonts w:ascii="Arial" w:hAnsi="Arial"/>
                <w:color w:val="000000"/>
                <w:sz w:val="20"/>
              </w:rPr>
              <w:t>REQ-017</w:t>
            </w:r>
          </w:p>
        </w:tc>
        <w:tc>
          <w:tcPr>
            <w:tcW w:type="dxa" w:w="4500"/>
          </w:tcPr>
          <w:p>
            <w:r>
              <w:rPr>
                <w:rFonts w:ascii="Arial" w:hAnsi="Arial"/>
                <w:color w:val="000000"/>
                <w:sz w:val="20"/>
              </w:rPr>
              <w:t>We have executed fixed-price, multi-year commercial schedules for cloud migration and managed services engagements, as evidenced by our contract with ClientCo Enterprises [DOC-007]. This structure demonstrates our ability to submit pricing as a fixed-price schedule covering the full engagement period. Our contracts have included all relevant components such as licences, migration tooling, professional services, and transition costs, ensuring comprehensive coverage within the fixed-price model [DOC-007]. While the evidence confirms our experience with fixed-price, multi-year schedules inclusive of all required elements, further substantiation is needed regarding annual escalation specifically capped at CPI plus 2%.</w:t>
            </w:r>
          </w:p>
        </w:tc>
        <w:tc>
          <w:tcPr>
            <w:tcW w:type="dxa" w:w="3360"/>
          </w:tcPr>
          <w:p>
            <w:r>
              <w:rPr>
                <w:rFonts w:ascii="Arial" w:hAnsi="Arial"/>
                <w:color w:val="000000"/>
                <w:sz w:val="20"/>
              </w:rPr>
              <w:t>[DOC-007] Executed SOW Extract — Fixed-Price Multi-Year Schedule (ClientCo)</w:t>
            </w:r>
          </w:p>
        </w:tc>
      </w:tr>
      <w:tr>
        <w:tc>
          <w:tcPr>
            <w:tcW w:type="dxa" w:w="1500"/>
          </w:tcPr>
          <w:p>
            <w:r>
              <w:rPr>
                <w:rFonts w:ascii="Arial" w:hAnsi="Arial"/>
                <w:color w:val="000000"/>
                <w:sz w:val="20"/>
              </w:rPr>
              <w:t>REQ-018</w:t>
            </w:r>
          </w:p>
        </w:tc>
        <w:tc>
          <w:tcPr>
            <w:tcW w:type="dxa" w:w="4500"/>
          </w:tcPr>
          <w:p>
            <w:r>
              <w:rPr>
                <w:rFonts w:ascii="Arial" w:hAnsi="Arial"/>
                <w:color w:val="000000"/>
                <w:sz w:val="20"/>
              </w:rPr>
              <w:t>We have previously accepted fixed-price commercial structures for cloud migration and managed services engagements, as evidenced by the executed Statement of Work with ClientCo Enterprises dated 22 July 2025. This SOW included a fixed-price multi-year schedule and is held in our contract register [DOC-007]. Additionally, our engagement with FinanceDept Agency for the migration of core financial systems to Azure IaaS/PaaS was delivered under a fixed-price contract valued at AUD 4.9M over a nine-month period [DOC-003]. These examples demonstrate our experience and prior acceptance of equivalent fixed-price structures in both commercial and government contexts.</w:t>
            </w:r>
          </w:p>
        </w:tc>
        <w:tc>
          <w:tcPr>
            <w:tcW w:type="dxa" w:w="3360"/>
          </w:tcPr>
          <w:p>
            <w:r>
              <w:rPr>
                <w:rFonts w:ascii="Arial" w:hAnsi="Arial"/>
                <w:color w:val="000000"/>
                <w:sz w:val="20"/>
              </w:rPr>
              <w:t>[DOC-007] Executed SOW Extract — Fixed-Price Multi-Year Schedule (ClientCo)</w:t>
              <w:br/>
              <w:t>[DOC-003] Case Study — FinanceDept Agency Core Systems Migration</w:t>
            </w:r>
          </w:p>
        </w:tc>
      </w:tr>
      <w:tr>
        <w:tc>
          <w:tcPr>
            <w:tcW w:type="dxa" w:w="1500"/>
          </w:tcPr>
          <w:p>
            <w:r>
              <w:rPr>
                <w:rFonts w:ascii="Arial" w:hAnsi="Arial"/>
                <w:color w:val="000000"/>
                <w:sz w:val="20"/>
              </w:rPr>
              <w:t>REQ-019</w:t>
            </w:r>
          </w:p>
        </w:tc>
        <w:tc>
          <w:tcPr>
            <w:tcW w:type="dxa" w:w="4500"/>
          </w:tcPr>
          <w:p>
            <w:r>
              <w:rPr>
                <w:rFonts w:ascii="Arial" w:hAnsi="Arial"/>
                <w:color w:val="000000"/>
                <w:sz w:val="20"/>
              </w:rPr>
              <w:t>We utilize a milestone-based payment schedule, as documented in our Commercial Terms Register, which records milestone payment structures agreed in prior engagements [DOC-008]. Each milestone is defined with a specific trigger for payment, and payments are tied to the completion of these milestones. Our standard model ensures that invoicing occurs only after milestone completion, supporting transparent and auditable payment processes [DOC-008]. While our evidence demonstrates the use of milestone-based payment schedules and invoicing post-milestone completion, further substantiation is required regarding certification by the DDT Project Director and net 30 payment terms from receipt of a correctly rendered invoice.</w:t>
            </w:r>
          </w:p>
        </w:tc>
        <w:tc>
          <w:tcPr>
            <w:tcW w:type="dxa" w:w="3360"/>
          </w:tcPr>
          <w:p>
            <w:r>
              <w:rPr>
                <w:rFonts w:ascii="Arial" w:hAnsi="Arial"/>
                <w:color w:val="000000"/>
                <w:sz w:val="20"/>
              </w:rPr>
              <w:t>[DOC-008] Commercial Terms Register — Milestone Payments and Invoicing History</w:t>
            </w:r>
          </w:p>
        </w:tc>
      </w:tr>
      <w:tr>
        <w:tc>
          <w:tcPr>
            <w:tcW w:type="dxa" w:w="1500"/>
          </w:tcPr>
          <w:p>
            <w:r>
              <w:rPr>
                <w:rFonts w:ascii="Arial" w:hAnsi="Arial"/>
                <w:color w:val="000000"/>
                <w:sz w:val="20"/>
              </w:rPr>
              <w:t>REQ-020</w:t>
            </w:r>
          </w:p>
        </w:tc>
        <w:tc>
          <w:tcPr>
            <w:tcW w:type="dxa" w:w="4500"/>
          </w:tcPr>
          <w:p>
            <w:r>
              <w:rPr>
                <w:rFonts w:ascii="Arial" w:hAnsi="Arial"/>
                <w:color w:val="000000"/>
                <w:sz w:val="20"/>
              </w:rPr>
              <w:t>Our proposed delivery team includes Sarah Mitchell as the named Project Manager, holding both current PRINCE2 Practitioner (recertified 2025) and PMP certifications [DOC-009]. Her CV confirms her role as Project Director for proposed engagements and lists her current NV1 security clearance [DOC-009]. However, while her certifications and role are documented, the evidence provided does not substantiate her minimum of seven years of cloud migration programme experience.</w:t>
            </w:r>
          </w:p>
        </w:tc>
        <w:tc>
          <w:tcPr>
            <w:tcW w:type="dxa" w:w="3360"/>
          </w:tcPr>
          <w:p>
            <w:r>
              <w:rPr>
                <w:rFonts w:ascii="Arial" w:hAnsi="Arial"/>
                <w:color w:val="000000"/>
                <w:sz w:val="20"/>
              </w:rPr>
              <w:t>[DOC-009] Key Personnel CV — Sarah Mitchell, Project Director</w:t>
            </w:r>
          </w:p>
        </w:tc>
      </w:tr>
      <w:tr>
        <w:tc>
          <w:tcPr>
            <w:tcW w:type="dxa" w:w="1500"/>
            <w:shd w:val="clear" w:color="auto" w:fill="FFE0E0"/>
          </w:tcPr>
          <w:p>
            <w:r>
              <w:rPr>
                <w:rFonts w:ascii="Arial" w:hAnsi="Arial"/>
                <w:color w:val="CC0000"/>
                <w:sz w:val="20"/>
              </w:rPr>
              <w:t>REQ-021</w:t>
            </w:r>
          </w:p>
        </w:tc>
        <w:tc>
          <w:tcPr>
            <w:tcW w:type="dxa" w:w="4500"/>
            <w:shd w:val="clear" w:color="auto" w:fill="FFE0E0"/>
          </w:tcPr>
          <w:p>
            <w:r>
              <w:rPr>
                <w:rFonts w:ascii="Arial" w:hAnsi="Arial"/>
                <w:color w:val="CC0000"/>
                <w:sz w:val="20"/>
              </w:rPr>
              <w:t>[ACTION REQUIRED: Provide a policy or contract excerpt demonstrating that substitution of key personnel requires the Agency's prior written approval.]</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REQ-022</w:t>
            </w:r>
          </w:p>
        </w:tc>
        <w:tc>
          <w:tcPr>
            <w:tcW w:type="dxa" w:w="4500"/>
          </w:tcPr>
          <w:p>
            <w:r>
              <w:rPr>
                <w:rFonts w:ascii="Arial" w:hAnsi="Arial"/>
                <w:color w:val="000000"/>
                <w:sz w:val="20"/>
              </w:rPr>
              <w:t>James Liu is named as our lead cloud architect for proposed engagements. He holds the Microsoft Certified: Azure Solutions Architect Expert certification, which is current, as well as Microsoft Certified: Azure Security credentials. James Liu is based in Sydney and maintains an NV1 security clearance [DOC-014].</w:t>
            </w:r>
          </w:p>
        </w:tc>
        <w:tc>
          <w:tcPr>
            <w:tcW w:type="dxa" w:w="3360"/>
          </w:tcPr>
          <w:p>
            <w:r>
              <w:rPr>
                <w:rFonts w:ascii="Arial" w:hAnsi="Arial"/>
                <w:color w:val="000000"/>
                <w:sz w:val="20"/>
              </w:rPr>
              <w:t>[DOC-014] Key Personnel CV — James Liu, Lead Cloud Architect</w:t>
            </w:r>
          </w:p>
        </w:tc>
      </w:tr>
      <w:tr>
        <w:tc>
          <w:tcPr>
            <w:tcW w:type="dxa" w:w="1500"/>
            <w:shd w:val="clear" w:color="auto" w:fill="FFE0E0"/>
          </w:tcPr>
          <w:p>
            <w:r>
              <w:rPr>
                <w:rFonts w:ascii="Arial" w:hAnsi="Arial"/>
                <w:color w:val="CC0000"/>
                <w:sz w:val="20"/>
              </w:rPr>
              <w:t>REQ-023</w:t>
            </w:r>
          </w:p>
        </w:tc>
        <w:tc>
          <w:tcPr>
            <w:tcW w:type="dxa" w:w="4500"/>
            <w:shd w:val="clear" w:color="auto" w:fill="FFE0E0"/>
          </w:tcPr>
          <w:p>
            <w:r>
              <w:rPr>
                <w:rFonts w:ascii="Arial" w:hAnsi="Arial"/>
                <w:color w:val="CC0000"/>
                <w:sz w:val="20"/>
              </w:rPr>
              <w:t>[ACTION REQUIRED: Provide meeting schedules, minutes, or reporting templates demonstrating operation of a monthly steering committee and provision of fortnightly progress reports.]</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REQ-024</w:t>
            </w:r>
          </w:p>
        </w:tc>
        <w:tc>
          <w:tcPr>
            <w:tcW w:type="dxa" w:w="4500"/>
          </w:tcPr>
          <w:p>
            <w:r>
              <w:rPr>
                <w:rFonts w:ascii="Arial" w:hAnsi="Arial"/>
                <w:color w:val="000000"/>
                <w:sz w:val="20"/>
              </w:rPr>
              <w:t>Contoso Cloud Solutions operates a privacy management framework aligned to the Privacy Act 1988 (Cth) and the Australian Privacy Principles (APPs), with annual reviews to ensure ongoing compliance [DOC-011]. Our data residency policy mandates that all client workloads and regulated data are hosted exclusively within Australian regions, supporting compliance with local privacy regulations [DOC-006]. While our compliance statement addresses the Privacy Act and APPs, further substantiation is required regarding specific procedures for the Notifiable Data Breaches scheme.</w:t>
            </w:r>
          </w:p>
        </w:tc>
        <w:tc>
          <w:tcPr>
            <w:tcW w:type="dxa" w:w="3360"/>
          </w:tcPr>
          <w:p>
            <w:r>
              <w:rPr>
                <w:rFonts w:ascii="Arial" w:hAnsi="Arial"/>
                <w:color w:val="000000"/>
                <w:sz w:val="20"/>
              </w:rPr>
              <w:t>[DOC-011] Privacy Act 1988 Compliance Statement and Breach Notification Procedure</w:t>
              <w:br/>
              <w:t>[DOC-006] Data Residency and Sovereignty Policy</w:t>
            </w:r>
          </w:p>
        </w:tc>
      </w:tr>
      <w:tr>
        <w:tc>
          <w:tcPr>
            <w:tcW w:type="dxa" w:w="1500"/>
            <w:shd w:val="clear" w:color="auto" w:fill="FFE0E0"/>
          </w:tcPr>
          <w:p>
            <w:r>
              <w:rPr>
                <w:rFonts w:ascii="Arial" w:hAnsi="Arial"/>
                <w:color w:val="CC0000"/>
                <w:sz w:val="20"/>
              </w:rPr>
              <w:t>REQ-025</w:t>
            </w:r>
          </w:p>
        </w:tc>
        <w:tc>
          <w:tcPr>
            <w:tcW w:type="dxa" w:w="4500"/>
            <w:shd w:val="clear" w:color="auto" w:fill="FFE0E0"/>
          </w:tcPr>
          <w:p>
            <w:r>
              <w:rPr>
                <w:rFonts w:ascii="Arial" w:hAnsi="Arial"/>
                <w:color w:val="CC0000"/>
                <w:sz w:val="20"/>
              </w:rPr>
              <w:t>[ACTION REQUIRED: Provide a documented breach notification procedure explicitly stating notification to the Agency within 24 hours of discovery.]</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REQ-026</w:t>
            </w:r>
          </w:p>
        </w:tc>
        <w:tc>
          <w:tcPr>
            <w:tcW w:type="dxa" w:w="4500"/>
          </w:tcPr>
          <w:p>
            <w:r>
              <w:rPr>
                <w:rFonts w:ascii="Arial" w:hAnsi="Arial"/>
                <w:color w:val="000000"/>
                <w:sz w:val="20"/>
              </w:rPr>
              <w:t>Our privacy management framework is aligned with the Privacy Act 1988 (Cth) and the Australian Privacy Principles (APPs), and is reviewed annually to ensure ongoing compliance [DOC-011]. The framework is owned and maintained by our General Counsel / Privacy Officer, as documented in our compliance statement [DOC-011]. While our breach notification procedure is referenced in the compliance statement, the provided evidence does not substantiate that breach response procedures have been tested.</w:t>
            </w:r>
          </w:p>
        </w:tc>
        <w:tc>
          <w:tcPr>
            <w:tcW w:type="dxa" w:w="3360"/>
          </w:tcPr>
          <w:p>
            <w:r>
              <w:rPr>
                <w:rFonts w:ascii="Arial" w:hAnsi="Arial"/>
                <w:color w:val="000000"/>
                <w:sz w:val="20"/>
              </w:rPr>
              <w:t>[DOC-011] Privacy Act 1988 Compliance Statement and Breach Notification Procedure</w:t>
            </w:r>
          </w:p>
        </w:tc>
      </w:tr>
      <w:tr>
        <w:tc>
          <w:tcPr>
            <w:tcW w:type="dxa" w:w="1500"/>
            <w:shd w:val="clear" w:color="auto" w:fill="FFE0E0"/>
          </w:tcPr>
          <w:p>
            <w:r>
              <w:rPr>
                <w:rFonts w:ascii="Arial" w:hAnsi="Arial"/>
                <w:color w:val="CC0000"/>
                <w:sz w:val="20"/>
              </w:rPr>
              <w:t>REQ-027</w:t>
            </w:r>
          </w:p>
        </w:tc>
        <w:tc>
          <w:tcPr>
            <w:tcW w:type="dxa" w:w="4500"/>
            <w:shd w:val="clear" w:color="auto" w:fill="FFE0E0"/>
          </w:tcPr>
          <w:p>
            <w:r>
              <w:rPr>
                <w:rFonts w:ascii="Arial" w:hAnsi="Arial"/>
                <w:color w:val="CC0000"/>
                <w:sz w:val="20"/>
              </w:rPr>
              <w:t>[ACTION REQUIRED: Provide contract schedules or supplier registers demonstrating use of registered Indigenous businesses as subcontractors or suppliers meeting the 10% value requirement.]</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REQ-028</w:t>
            </w:r>
          </w:p>
        </w:tc>
        <w:tc>
          <w:tcPr>
            <w:tcW w:type="dxa" w:w="4500"/>
            <w:shd w:val="clear" w:color="auto" w:fill="FFE0E0"/>
          </w:tcPr>
          <w:p>
            <w:r>
              <w:rPr>
                <w:rFonts w:ascii="Arial" w:hAnsi="Arial"/>
                <w:color w:val="CC0000"/>
                <w:sz w:val="20"/>
              </w:rPr>
              <w:t>[ACTION REQUIRED: No internal evidence found for this requirement. Provide documentation covering: Respondents must identify the Indigenous businesses they propose to engage, the scope each will deliver, and any existin...]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REQ-029</w:t>
            </w:r>
          </w:p>
        </w:tc>
        <w:tc>
          <w:tcPr>
            <w:tcW w:type="dxa" w:w="4500"/>
            <w:shd w:val="clear" w:color="auto" w:fill="FFE0E0"/>
          </w:tcPr>
          <w:p>
            <w:r>
              <w:rPr>
                <w:rFonts w:ascii="Arial" w:hAnsi="Arial"/>
                <w:color w:val="CC0000"/>
                <w:sz w:val="20"/>
              </w:rPr>
              <w:t>[ACTION REQUIRED: Provide a documented quantum-safe cryptography transition plan detailing migration to post-quantum algorithms and interim crypto-agility measures.]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REQ-030</w:t>
            </w:r>
          </w:p>
        </w:tc>
        <w:tc>
          <w:tcPr>
            <w:tcW w:type="dxa" w:w="4500"/>
            <w:shd w:val="clear" w:color="auto" w:fill="FFE0E0"/>
          </w:tcPr>
          <w:p>
            <w:r>
              <w:rPr>
                <w:rFonts w:ascii="Arial" w:hAnsi="Arial"/>
                <w:color w:val="CC0000"/>
                <w:sz w:val="20"/>
              </w:rPr>
              <w:t>[ACTION REQUIRED: Provide documentation or reports demonstrating quarterly carbon footprint reporting and year-on-year reduction targets for Azure consumption.]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REQ-031</w:t>
            </w:r>
          </w:p>
        </w:tc>
        <w:tc>
          <w:tcPr>
            <w:tcW w:type="dxa" w:w="4500"/>
            <w:shd w:val="clear" w:color="auto" w:fill="FFE0E0"/>
          </w:tcPr>
          <w:p>
            <w:r>
              <w:rPr>
                <w:rFonts w:ascii="Arial" w:hAnsi="Arial"/>
                <w:color w:val="CC0000"/>
                <w:sz w:val="20"/>
              </w:rPr>
              <w:t>[ACTION REQUIRED: No internal evidence found for this requirement. Provide documentation covering: An ongoing FinOps practice with quarterly optimisation reviews and a shared-savings mechanism for realised cost reductio...]</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REQ-032</w:t>
            </w:r>
          </w:p>
        </w:tc>
        <w:tc>
          <w:tcPr>
            <w:tcW w:type="dxa" w:w="4500"/>
            <w:shd w:val="clear" w:color="auto" w:fill="FFE0E0"/>
          </w:tcPr>
          <w:p>
            <w:r>
              <w:rPr>
                <w:rFonts w:ascii="Arial" w:hAnsi="Arial"/>
                <w:color w:val="CC0000"/>
                <w:sz w:val="20"/>
              </w:rPr>
              <w:t>[ACTION REQUIRED: Provide a compliance matrix or checklist explicitly mapping each mandatory requirement to supporting evidence.]</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REQ-033</w:t>
            </w:r>
          </w:p>
        </w:tc>
        <w:tc>
          <w:tcPr>
            <w:tcW w:type="dxa" w:w="4500"/>
          </w:tcPr>
          <w:p>
            <w:r>
              <w:rPr>
                <w:rFonts w:ascii="Arial" w:hAnsi="Arial"/>
                <w:color w:val="000000"/>
                <w:sz w:val="20"/>
              </w:rPr>
              <w:t>Our technical capability and migration approach are demonstrated through successful large-scale Azure migrations and recognized methodologies. We were appointed to the GovCloud Services Panel in August 2025 based on our migration factory model, which includes comprehensive discovery, dependency mapping, wave planning, rehearsal, and cutover processes [DOC-012]. This approach has been proven in practice, as evidenced by the migration of 510 virtual machines and core financial systems for FinanceDept Agency over a nine-month engagement [DOC-003], and the full datacentre exit and migration of HealthGov Australia's two on-premises datacentres to Microsoft Azure, involving 620 virtual machines over a 14-month period [DOC-001]. These projects were delivered within contract timelines and demonstrate our ability to execute complex migrations with robust planning and execution. Our technical methodology and track record directly align with the evaluation criteria, ensuring a reliable and repeatable migration process for Windows Server workloads to Azure IaaS.</w:t>
            </w:r>
          </w:p>
        </w:tc>
        <w:tc>
          <w:tcPr>
            <w:tcW w:type="dxa" w:w="3360"/>
          </w:tcPr>
          <w:p>
            <w:r>
              <w:rPr>
                <w:rFonts w:ascii="Arial" w:hAnsi="Arial"/>
                <w:color w:val="000000"/>
                <w:sz w:val="20"/>
              </w:rPr>
              <w:t>[DOC-012] Winning Proposal Excerpt — GovCloud Services Panel 2025 (Technical Approach)</w:t>
              <w:br/>
              <w:t>[DOC-003] Case Study — FinanceDept Agency Core Systems Migration</w:t>
              <w:br/>
              <w:t>[DOC-001] Case Study — HealthGov Australia Datacentre-to-Azure Migration</w:t>
            </w:r>
          </w:p>
        </w:tc>
      </w:tr>
      <w:tr>
        <w:tc>
          <w:tcPr>
            <w:tcW w:type="dxa" w:w="1500"/>
            <w:shd w:val="clear" w:color="auto" w:fill="FFE0E0"/>
          </w:tcPr>
          <w:p>
            <w:r>
              <w:rPr>
                <w:rFonts w:ascii="Arial" w:hAnsi="Arial"/>
                <w:color w:val="CC0000"/>
                <w:sz w:val="20"/>
              </w:rPr>
              <w:t>REQ-034</w:t>
            </w:r>
          </w:p>
        </w:tc>
        <w:tc>
          <w:tcPr>
            <w:tcW w:type="dxa" w:w="4500"/>
            <w:shd w:val="clear" w:color="auto" w:fill="FFE0E0"/>
          </w:tcPr>
          <w:p>
            <w:r>
              <w:rPr>
                <w:rFonts w:ascii="Arial" w:hAnsi="Arial"/>
                <w:color w:val="CC0000"/>
                <w:sz w:val="20"/>
              </w:rPr>
              <w:t>[ACTION REQUIRED: Provide documentation explicitly addressing how price and commercial terms are proposed and evaluated in response to RFPs.]</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REQ-035</w:t>
            </w:r>
          </w:p>
        </w:tc>
        <w:tc>
          <w:tcPr>
            <w:tcW w:type="dxa" w:w="4500"/>
          </w:tcPr>
          <w:p>
            <w:r>
              <w:rPr>
                <w:rFonts w:ascii="Arial" w:hAnsi="Arial"/>
                <w:color w:val="000000"/>
                <w:sz w:val="20"/>
              </w:rPr>
              <w:t>Our team includes experienced personnel such as Sarah Mitchell, Project Director, who holds current PRINCE2 Practitioner and PMP certifications and maintains NV1 security clearance [DOC-009]. We have successfully delivered complex Azure migration projects, including a 9-month engagement for FinanceDept Agency involving the migration of core financial systems to Azure IaaS/PaaS [DOC-003]. These credentials and project outcomes demonstrate our team's capability to manage large-scale migrations. While evidence is provided for individual team experience and successful project delivery, further substantiation is required regarding formal governance frameworks and processes.</w:t>
            </w:r>
          </w:p>
        </w:tc>
        <w:tc>
          <w:tcPr>
            <w:tcW w:type="dxa" w:w="3360"/>
          </w:tcPr>
          <w:p>
            <w:r>
              <w:rPr>
                <w:rFonts w:ascii="Arial" w:hAnsi="Arial"/>
                <w:color w:val="000000"/>
                <w:sz w:val="20"/>
              </w:rPr>
              <w:t>[DOC-009] Key Personnel CV — Sarah Mitchell, Project Director</w:t>
              <w:br/>
              <w:t>[DOC-003] Case Study — FinanceDept Agency Core Systems Migration</w:t>
            </w:r>
          </w:p>
        </w:tc>
      </w:tr>
      <w:tr>
        <w:tc>
          <w:tcPr>
            <w:tcW w:type="dxa" w:w="1500"/>
            <w:shd w:val="clear" w:color="auto" w:fill="FFE0E0"/>
          </w:tcPr>
          <w:p>
            <w:r>
              <w:rPr>
                <w:rFonts w:ascii="Arial" w:hAnsi="Arial"/>
                <w:color w:val="CC0000"/>
                <w:sz w:val="20"/>
              </w:rPr>
              <w:t>REQ-036</w:t>
            </w:r>
          </w:p>
        </w:tc>
        <w:tc>
          <w:tcPr>
            <w:tcW w:type="dxa" w:w="4500"/>
            <w:shd w:val="clear" w:color="auto" w:fill="FFE0E0"/>
          </w:tcPr>
          <w:p>
            <w:r>
              <w:rPr>
                <w:rFonts w:ascii="Arial" w:hAnsi="Arial"/>
                <w:color w:val="CC0000"/>
                <w:sz w:val="20"/>
              </w:rPr>
              <w:t>[ACTION REQUIRED: Provide a risk management framework or compliance program documentation demonstrating the company's approach to risk management and compliance.]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REQ-037</w:t>
            </w:r>
          </w:p>
        </w:tc>
        <w:tc>
          <w:tcPr>
            <w:tcW w:type="dxa" w:w="4500"/>
            <w:shd w:val="clear" w:color="auto" w:fill="FFE0E0"/>
          </w:tcPr>
          <w:p>
            <w:r>
              <w:rPr>
                <w:rFonts w:ascii="Arial" w:hAnsi="Arial"/>
                <w:color w:val="CC0000"/>
                <w:sz w:val="20"/>
              </w:rPr>
              <w:t>[ACTION REQUIRED: Provide documentation or policy demonstrating the process for scoring proposals and the threshold for proceeding to negotiation.]</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REQ-038</w:t>
            </w:r>
          </w:p>
        </w:tc>
        <w:tc>
          <w:tcPr>
            <w:tcW w:type="dxa" w:w="4500"/>
          </w:tcPr>
          <w:p>
            <w:r>
              <w:rPr>
                <w:rFonts w:ascii="Arial" w:hAnsi="Arial"/>
                <w:color w:val="000000"/>
                <w:sz w:val="20"/>
              </w:rPr>
              <w:t>We maintain a Client Reference Register specifically for government engagements, which includes consented contactable references such as HealthGov Australia [DOC-013]. This register is regularly updated and managed by Sales Operations to ensure references are available for government tender responses [DOC-013]. Additionally, our experience with FinanceDept Agency, where we migrated core financial systems to Azure IaaS/PaaS, demonstrates our ability to provide substantive references for large-scale projects [DOC-003]. While we can supply references and project details for clarification and reference checks, the evidence does not explicitly confirm our ability to deliver presentations to shortlisted respondents.</w:t>
            </w:r>
          </w:p>
        </w:tc>
        <w:tc>
          <w:tcPr>
            <w:tcW w:type="dxa" w:w="3360"/>
          </w:tcPr>
          <w:p>
            <w:r>
              <w:rPr>
                <w:rFonts w:ascii="Arial" w:hAnsi="Arial"/>
                <w:color w:val="000000"/>
                <w:sz w:val="20"/>
              </w:rPr>
              <w:t>[DOC-013] Client Reference Register — Government Engagements</w:t>
              <w:br/>
              <w:t>[DOC-003] Case Study — FinanceDept Agency Core Systems Migration</w:t>
            </w:r>
          </w:p>
        </w:tc>
      </w:tr>
      <w:tr>
        <w:tc>
          <w:tcPr>
            <w:tcW w:type="dxa" w:w="1500"/>
            <w:shd w:val="clear" w:color="auto" w:fill="FFE0E0"/>
          </w:tcPr>
          <w:p>
            <w:r>
              <w:rPr>
                <w:rFonts w:ascii="Arial" w:hAnsi="Arial"/>
                <w:color w:val="CC0000"/>
                <w:sz w:val="20"/>
              </w:rPr>
              <w:t>REQ-039</w:t>
            </w:r>
          </w:p>
        </w:tc>
        <w:tc>
          <w:tcPr>
            <w:tcW w:type="dxa" w:w="4500"/>
            <w:shd w:val="clear" w:color="auto" w:fill="FFE0E0"/>
          </w:tcPr>
          <w:p>
            <w:r>
              <w:rPr>
                <w:rFonts w:ascii="Arial" w:hAnsi="Arial"/>
                <w:color w:val="CC0000"/>
                <w:sz w:val="20"/>
              </w:rPr>
              <w:t>[ACTION REQUIRED: Provide documentation or correspondence confirming intent or ability to lodge proposals via AusTender by the specified deadline.]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REQ-040</w:t>
            </w:r>
          </w:p>
        </w:tc>
        <w:tc>
          <w:tcPr>
            <w:tcW w:type="dxa" w:w="4500"/>
            <w:shd w:val="clear" w:color="auto" w:fill="FFE0E0"/>
          </w:tcPr>
          <w:p>
            <w:r>
              <w:rPr>
                <w:rFonts w:ascii="Arial" w:hAnsi="Arial"/>
                <w:color w:val="CC0000"/>
                <w:sz w:val="20"/>
              </w:rPr>
              <w:t>[ACTION REQUIRED: No internal evidence found for this requirement. Provide documentation covering: Late submissions will not be accepted under any circumstances....]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REQ-041</w:t>
            </w:r>
          </w:p>
        </w:tc>
        <w:tc>
          <w:tcPr>
            <w:tcW w:type="dxa" w:w="4500"/>
            <w:shd w:val="clear" w:color="auto" w:fill="FFE0E0"/>
          </w:tcPr>
          <w:p>
            <w:r>
              <w:rPr>
                <w:rFonts w:ascii="Arial" w:hAnsi="Arial"/>
                <w:color w:val="CC0000"/>
                <w:sz w:val="20"/>
              </w:rPr>
              <w:t>[ACTION REQUIRED: No internal evidence found for this requirement. Provide documentation covering: Proposals must be submitted as a single PDF of no more than 60 pages, structured to address each requirement reference (...]</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REQ-042</w:t>
            </w:r>
          </w:p>
        </w:tc>
        <w:tc>
          <w:tcPr>
            <w:tcW w:type="dxa" w:w="4500"/>
            <w:shd w:val="clear" w:color="auto" w:fill="FFE0E0"/>
          </w:tcPr>
          <w:p>
            <w:r>
              <w:rPr>
                <w:rFonts w:ascii="Arial" w:hAnsi="Arial"/>
                <w:color w:val="CC0000"/>
                <w:sz w:val="20"/>
              </w:rPr>
              <w:t>[ACTION REQUIRED: Provide correspondence or policy confirming questions are lodged via AusTender forum by the specified deadline and answers are published to all respondents.]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REQ-043</w:t>
            </w:r>
          </w:p>
        </w:tc>
        <w:tc>
          <w:tcPr>
            <w:tcW w:type="dxa" w:w="4500"/>
            <w:shd w:val="clear" w:color="auto" w:fill="FFE0E0"/>
          </w:tcPr>
          <w:p>
            <w:r>
              <w:rPr>
                <w:rFonts w:ascii="Arial" w:hAnsi="Arial"/>
                <w:color w:val="CC0000"/>
                <w:sz w:val="20"/>
              </w:rPr>
              <w:t>[ACTION REQUIRED: Provide a copy of the RFP terms or correspondence explicitly stating the Agency's right not to accept the lowest-priced or any proposal.]</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REQ-044</w:t>
            </w:r>
          </w:p>
        </w:tc>
        <w:tc>
          <w:tcPr>
            <w:tcW w:type="dxa" w:w="4500"/>
            <w:shd w:val="clear" w:color="auto" w:fill="FFE0E0"/>
          </w:tcPr>
          <w:p>
            <w:r>
              <w:rPr>
                <w:rFonts w:ascii="Arial" w:hAnsi="Arial"/>
                <w:color w:val="CC0000"/>
                <w:sz w:val="20"/>
              </w:rPr>
              <w:t>[ACTION REQUIRED: Provide documentation or policy acknowledging the Agency's right to discontinue the process at any time.]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REQ-045</w:t>
            </w:r>
          </w:p>
        </w:tc>
        <w:tc>
          <w:tcPr>
            <w:tcW w:type="dxa" w:w="4500"/>
            <w:shd w:val="clear" w:color="auto" w:fill="FFE0E0"/>
          </w:tcPr>
          <w:p>
            <w:r>
              <w:rPr>
                <w:rFonts w:ascii="Arial" w:hAnsi="Arial"/>
                <w:color w:val="CC0000"/>
                <w:sz w:val="20"/>
              </w:rPr>
              <w:t>[ACTION REQUIRED: No internal evidence found for this requirement. Provide documentation covering: Respondents bear their own costs of participation....]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REQ-046</w:t>
            </w:r>
          </w:p>
        </w:tc>
        <w:tc>
          <w:tcPr>
            <w:tcW w:type="dxa" w:w="4500"/>
            <w:shd w:val="clear" w:color="auto" w:fill="FFE0E0"/>
          </w:tcPr>
          <w:p>
            <w:r>
              <w:rPr>
                <w:rFonts w:ascii="Arial" w:hAnsi="Arial"/>
                <w:color w:val="CC0000"/>
                <w:sz w:val="20"/>
              </w:rPr>
              <w:t>[ACTION REQUIRED: Provide a proposal or contractual document explicitly stating proposal validity for at least 120 days from submission.]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REQ-047</w:t>
            </w:r>
          </w:p>
        </w:tc>
        <w:tc>
          <w:tcPr>
            <w:tcW w:type="dxa" w:w="4500"/>
            <w:shd w:val="clear" w:color="auto" w:fill="FFE0E0"/>
          </w:tcPr>
          <w:p>
            <w:r>
              <w:rPr>
                <w:rFonts w:ascii="Arial" w:hAnsi="Arial"/>
                <w:color w:val="CC0000"/>
                <w:sz w:val="20"/>
              </w:rPr>
              <w:t>[ACTION REQUIRED: Provide executed contract excerpts or legal correspondence demonstrating acceptance of Commonwealth contract terms, including liquidated damages, key personnel, and step-in rights.]</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REQ-048</w:t>
            </w:r>
          </w:p>
        </w:tc>
        <w:tc>
          <w:tcPr>
            <w:tcW w:type="dxa" w:w="4500"/>
          </w:tcPr>
          <w:p>
            <w:r>
              <w:rPr>
                <w:rFonts w:ascii="Arial" w:hAnsi="Arial"/>
                <w:color w:val="000000"/>
                <w:sz w:val="20"/>
              </w:rPr>
              <w:t>We have demonstrated experience assessing and migrating large-scale virtual machine environments to Azure, as evidenced by three recent projects. For StateGov Authority, we migrated 540 virtual machines as part of a shared-services platform transition to Azure over an 11-month engagement [DOC-002]. Our HealthGov Australia datacentre exit involved migrating two on-premises environments totaling 620 virtual machines to Microsoft Azure [DOC-001]. Additionally, we migrated 510 virtual machines for FinanceDept Agency, including core financial systems, to Azure IaaS/PaaS [DOC-003]. These projects confirm our capability to assess and migrate environments at the 500+ VM scale. While the evidence substantiates our experience with large-scale VM migrations, further substantiation is required regarding specific experience with Windows Server 2012 R2/2016, Windows Server 2019, and RHEL 8 instance types.</w:t>
            </w:r>
          </w:p>
        </w:tc>
        <w:tc>
          <w:tcPr>
            <w:tcW w:type="dxa" w:w="3360"/>
          </w:tcPr>
          <w:p>
            <w:r>
              <w:rPr>
                <w:rFonts w:ascii="Arial" w:hAnsi="Arial"/>
                <w:color w:val="000000"/>
                <w:sz w:val="20"/>
              </w:rPr>
              <w:t>[DOC-002] Case Study — StateGov Authority Cloud Transition Program</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REQ-049</w:t>
            </w:r>
          </w:p>
        </w:tc>
        <w:tc>
          <w:tcPr>
            <w:tcW w:type="dxa" w:w="4500"/>
          </w:tcPr>
          <w:p>
            <w:r>
              <w:rPr>
                <w:rFonts w:ascii="Arial" w:hAnsi="Arial"/>
                <w:color w:val="000000"/>
                <w:sz w:val="20"/>
              </w:rPr>
              <w:t>Our migration factory model, as detailed in our successful GovCloud Services Panel 2025 proposal, enables structured discovery, dependency mapping, wave planning, rehearsal, and cutover for SQL Server workloads [DOC-012]. We have managed large-scale migrations for federal agencies, including HealthGov Australia, which involved a full datacentre exit and migration to Microsoft Azure [DOC-001], and FinanceDept Agency, where core systems were migrated to Azure IaaS/PaaS [DOC-003]. These engagements demonstrate our capability to manage complex SQL Server migrations and modernisations. However, the evidence does not specifically confirm experience with migrating 36 SQL Server instances totaling 48 TB of data; further substantiation is required for this precise scale and volume.</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REQ-050</w:t>
            </w:r>
          </w:p>
        </w:tc>
        <w:tc>
          <w:tcPr>
            <w:tcW w:type="dxa" w:w="4500"/>
          </w:tcPr>
          <w:p>
            <w:r>
              <w:rPr>
                <w:rFonts w:ascii="Arial" w:hAnsi="Arial"/>
                <w:color w:val="000000"/>
                <w:sz w:val="20"/>
              </w:rPr>
              <w:t>We have managed large-scale migrations involving significant storage volumes across SAN and NAS tiers. For example, our engagement with HealthGov Australia included a full datacentre exit and migration to Microsoft Azure, encompassing the transfer of two on-premises datacentres and associated storage infrastructure [DOC-001]. Additionally, our work with StateGov Authority involved migrating a shared-services platform to Azure, which included 540 virtual machines and their underlying storage [DOC-002]. While these projects demonstrate our capability in handling complex storage migrations, the evidence does not specify the migration of approximately 410 TB of storage; further substantiation is required to confirm experience with this exact volume.</w:t>
            </w:r>
          </w:p>
        </w:tc>
        <w:tc>
          <w:tcPr>
            <w:tcW w:type="dxa" w:w="3360"/>
          </w:tcPr>
          <w:p>
            <w:r>
              <w:rPr>
                <w:rFonts w:ascii="Arial" w:hAnsi="Arial"/>
                <w:color w:val="000000"/>
                <w:sz w:val="20"/>
              </w:rPr>
              <w:t>[DOC-001] Case Study — HealthGov Australia Datacentre-to-Azure Migration</w:t>
              <w:br/>
              <w:t>[DOC-002] Case Study — StateGov Authority Cloud Transition Program</w:t>
            </w:r>
          </w:p>
        </w:tc>
      </w:tr>
      <w:tr>
        <w:tc>
          <w:tcPr>
            <w:tcW w:type="dxa" w:w="1500"/>
            <w:shd w:val="clear" w:color="auto" w:fill="FFE0E0"/>
          </w:tcPr>
          <w:p>
            <w:r>
              <w:rPr>
                <w:rFonts w:ascii="Arial" w:hAnsi="Arial"/>
                <w:color w:val="CC0000"/>
                <w:sz w:val="20"/>
              </w:rPr>
              <w:t>REQ-051</w:t>
            </w:r>
          </w:p>
        </w:tc>
        <w:tc>
          <w:tcPr>
            <w:tcW w:type="dxa" w:w="4500"/>
            <w:shd w:val="clear" w:color="auto" w:fill="FFE0E0"/>
          </w:tcPr>
          <w:p>
            <w:r>
              <w:rPr>
                <w:rFonts w:ascii="Arial" w:hAnsi="Arial"/>
                <w:color w:val="CC0000"/>
                <w:sz w:val="20"/>
              </w:rPr>
              <w:t>[ACTION REQUIRED: Provide documentation or case studies demonstrating experience accommodating dual 10 Gbps links between datacentres without ExpressRoute.]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REQ-052</w:t>
            </w:r>
          </w:p>
        </w:tc>
        <w:tc>
          <w:tcPr>
            <w:tcW w:type="dxa" w:w="4500"/>
            <w:shd w:val="clear" w:color="auto" w:fill="FFE0E0"/>
          </w:tcPr>
          <w:p>
            <w:r>
              <w:rPr>
                <w:rFonts w:ascii="Arial" w:hAnsi="Arial"/>
                <w:color w:val="CC0000"/>
                <w:sz w:val="20"/>
              </w:rPr>
              <w:t>[ACTION REQUIRED: Provide documentation or case studies demonstrating integration with Active Directory (2016 functional level) and Entra ID Connect synchronisation.]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REQ-053</w:t>
            </w:r>
          </w:p>
        </w:tc>
        <w:tc>
          <w:tcPr>
            <w:tcW w:type="dxa" w:w="4500"/>
            <w:shd w:val="clear" w:color="auto" w:fill="FFE0E0"/>
          </w:tcPr>
          <w:p>
            <w:r>
              <w:rPr>
                <w:rFonts w:ascii="Arial" w:hAnsi="Arial"/>
                <w:color w:val="CC0000"/>
                <w:sz w:val="20"/>
              </w:rPr>
              <w:t>[ACTION REQUIRED: Provide backup policy documentation or operational evidence demonstrating nightly full disk backups with 35-day retention and quarterly tape archiving.]</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REQ-054</w:t>
            </w:r>
          </w:p>
        </w:tc>
        <w:tc>
          <w:tcPr>
            <w:tcW w:type="dxa" w:w="4500"/>
          </w:tcPr>
          <w:p>
            <w:r>
              <w:rPr>
                <w:rFonts w:ascii="Arial" w:hAnsi="Arial"/>
                <w:color w:val="000000"/>
                <w:sz w:val="20"/>
              </w:rPr>
              <w:t>Our managed Azure environments for Tier-1 production workloads operate under a documented service level agreement guaranteeing 99.95% availability, measured monthly, as outlined in our Managed Services Incident Response Runbook [DOC-010]. This SLA applies to all Tier-1 workloads under 24/7 support. While our evidence demonstrates compliance with the required availability standard, the documentation does not specify cutover window durations for Tier-1 applications and further substantiation is required for the four-hour cutover window requirement.</w:t>
            </w:r>
          </w:p>
        </w:tc>
        <w:tc>
          <w:tcPr>
            <w:tcW w:type="dxa" w:w="3360"/>
          </w:tcPr>
          <w:p>
            <w:r>
              <w:rPr>
                <w:rFonts w:ascii="Arial" w:hAnsi="Arial"/>
                <w:color w:val="000000"/>
                <w:sz w:val="20"/>
              </w:rPr>
              <w:t>[DOC-010] Managed Services Incident Response Runbook (Extract)</w:t>
            </w:r>
          </w:p>
        </w:tc>
      </w:tr>
      <w:tr>
        <w:tc>
          <w:tcPr>
            <w:tcW w:type="dxa" w:w="1500"/>
          </w:tcPr>
          <w:p>
            <w:r>
              <w:rPr>
                <w:rFonts w:ascii="Arial" w:hAnsi="Arial"/>
                <w:color w:val="000000"/>
                <w:sz w:val="20"/>
              </w:rPr>
              <w:t>REQ-055</w:t>
            </w:r>
          </w:p>
        </w:tc>
        <w:tc>
          <w:tcPr>
            <w:tcW w:type="dxa" w:w="4500"/>
          </w:tcPr>
          <w:p>
            <w:r>
              <w:rPr>
                <w:rFonts w:ascii="Arial" w:hAnsi="Arial"/>
                <w:color w:val="000000"/>
                <w:sz w:val="20"/>
              </w:rPr>
              <w:t>Our migration factory model, as detailed in our successful GovCloud Services Panel 2025 technical approach, enables the migration and modernisation of Tier-2 workloads through structured discovery, dependency mapping, wave planning, and rehearsal processes [DOC-012]. We have demonstrated this methodology in the migration of HealthGov Australia's datacentre, which included two on-premises environments and a range of internal applications [DOC-001]. While our evidence supports our capability to migrate Tier-2 workloads and internal applications, specific substantiation for the migration or modernisation of all 61 internal corporate and case-management applications is not provided in the current documentation.</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r>
          </w:p>
        </w:tc>
      </w:tr>
      <w:tr>
        <w:tc>
          <w:tcPr>
            <w:tcW w:type="dxa" w:w="1500"/>
          </w:tcPr>
          <w:p>
            <w:r>
              <w:rPr>
                <w:rFonts w:ascii="Arial" w:hAnsi="Arial"/>
                <w:color w:val="000000"/>
                <w:sz w:val="20"/>
              </w:rPr>
              <w:t>REQ-056</w:t>
            </w:r>
          </w:p>
        </w:tc>
        <w:tc>
          <w:tcPr>
            <w:tcW w:type="dxa" w:w="4500"/>
          </w:tcPr>
          <w:p>
            <w:r>
              <w:rPr>
                <w:rFonts w:ascii="Arial" w:hAnsi="Arial"/>
                <w:color w:val="000000"/>
                <w:sz w:val="20"/>
              </w:rPr>
              <w:t>Our migration methodology, as detailed in the GovCloud Services Panel 2025 proposal, incorporates discovery, dependency mapping, wave planning, rehearsal, and cutover processes to address a broad range of workloads [DOC-012]. In previous engagements, such as the HealthGov Australia datacentre migration, we executed a full datacentre exit to Azure, which included the migration of two on-premises environments and 620 virtual machines [DOC-001]. Similarly, for the FinanceDept Agency, we migrated 510 virtual machines encompassing core financial systems to Azure IaaS/PaaS [DOC-003]. While these case studies demonstrate our experience with large-scale migration of diverse workloads, the evidence does not explicitly reference Tier-3 workloads such as development, test, or archive workloads; further substantiation is required for this specific element.</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[DOC-003] Case Study — FinanceDept Agency Core Systems Migration</w:t>
            </w:r>
          </w:p>
        </w:tc>
      </w:tr>
      <w:tr>
        <w:tc>
          <w:tcPr>
            <w:tcW w:type="dxa" w:w="1500"/>
            <w:shd w:val="clear" w:color="auto" w:fill="FFE0E0"/>
          </w:tcPr>
          <w:p>
            <w:r>
              <w:rPr>
                <w:rFonts w:ascii="Arial" w:hAnsi="Arial"/>
                <w:color w:val="CC0000"/>
                <w:sz w:val="20"/>
              </w:rPr>
              <w:t>REQ-057</w:t>
            </w:r>
          </w:p>
        </w:tc>
        <w:tc>
          <w:tcPr>
            <w:tcW w:type="dxa" w:w="4500"/>
            <w:shd w:val="clear" w:color="auto" w:fill="FFE0E0"/>
          </w:tcPr>
          <w:p>
            <w:r>
              <w:rPr>
                <w:rFonts w:ascii="Arial" w:hAnsi="Arial"/>
                <w:color w:val="CC0000"/>
                <w:sz w:val="20"/>
              </w:rPr>
              <w:t>[ACTION REQUIRED: Provide a case study or deliverable demonstrating assessment and recommendations for containerisation or re-platforming of at least 8 legacy applications.]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REQ-058</w:t>
            </w:r>
          </w:p>
        </w:tc>
        <w:tc>
          <w:tcPr>
            <w:tcW w:type="dxa" w:w="4500"/>
            <w:shd w:val="clear" w:color="auto" w:fill="FFE0E0"/>
          </w:tcPr>
          <w:p>
            <w:r>
              <w:rPr>
                <w:rFonts w:ascii="Arial" w:hAnsi="Arial"/>
                <w:color w:val="CC0000"/>
                <w:sz w:val="20"/>
              </w:rPr>
              <w:t>[ACTION REQUIRED: Provide a signed project plan, contract, or commitment letter explicitly confirming execution by August 2026.]</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REQ-059</w:t>
            </w:r>
          </w:p>
        </w:tc>
        <w:tc>
          <w:tcPr>
            <w:tcW w:type="dxa" w:w="4500"/>
            <w:shd w:val="clear" w:color="auto" w:fill="FFE0E0"/>
          </w:tcPr>
          <w:p>
            <w:r>
              <w:rPr>
                <w:rFonts w:ascii="Arial" w:hAnsi="Arial"/>
                <w:color w:val="CC0000"/>
                <w:sz w:val="20"/>
              </w:rPr>
              <w:t>[ACTION REQUIRED: Provide a project plan, schedule, or commitment letter demonstrating ability to execute discovery and landing zone build specifically between August and November 2026.]</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REQ-060</w:t>
            </w:r>
          </w:p>
        </w:tc>
        <w:tc>
          <w:tcPr>
            <w:tcW w:type="dxa" w:w="4500"/>
            <w:shd w:val="clear" w:color="auto" w:fill="FFE0E0"/>
          </w:tcPr>
          <w:p>
            <w:r>
              <w:rPr>
                <w:rFonts w:ascii="Arial" w:hAnsi="Arial"/>
                <w:color w:val="CC0000"/>
                <w:sz w:val="20"/>
              </w:rPr>
              <w:t>[ACTION REQUIRED: Provide project plans or case studies demonstrating migration waves scheduled specifically between December 2026 and March 2027.]</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REQ-061</w:t>
            </w:r>
          </w:p>
        </w:tc>
        <w:tc>
          <w:tcPr>
            <w:tcW w:type="dxa" w:w="4500"/>
            <w:shd w:val="clear" w:color="auto" w:fill="FFE0E0"/>
          </w:tcPr>
          <w:p>
            <w:r>
              <w:rPr>
                <w:rFonts w:ascii="Arial" w:hAnsi="Arial"/>
                <w:color w:val="CC0000"/>
                <w:sz w:val="20"/>
              </w:rPr>
              <w:t>[ACTION REQUIRED: Provide a project plan, schedule, or commitment letter explicitly confirming that modernisation assessments will commence from January 2027.]</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REQ-062</w:t>
            </w:r>
          </w:p>
        </w:tc>
        <w:tc>
          <w:tcPr>
            <w:tcW w:type="dxa" w:w="4500"/>
            <w:shd w:val="clear" w:color="auto" w:fill="FFE0E0"/>
          </w:tcPr>
          <w:p>
            <w:r>
              <w:rPr>
                <w:rFonts w:ascii="Arial" w:hAnsi="Arial"/>
                <w:color w:val="CC0000"/>
                <w:sz w:val="20"/>
              </w:rPr>
              <w:t>[ACTION REQUIRED: Provide contract evidence or project documentation confirming datacentre decommissioning and lease exit completed by 30 June 2027.]</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REQ-063</w:t>
            </w:r>
          </w:p>
        </w:tc>
        <w:tc>
          <w:tcPr>
            <w:tcW w:type="dxa" w:w="4500"/>
            <w:shd w:val="clear" w:color="auto" w:fill="FFE0E0"/>
          </w:tcPr>
          <w:p>
            <w:r>
              <w:rPr>
                <w:rFonts w:ascii="Arial" w:hAnsi="Arial"/>
                <w:color w:val="CC0000"/>
                <w:sz w:val="20"/>
              </w:rPr>
              <w:t>[ACTION REQUIRED: Provide an executed contract or schedule explicitly confirming managed services steady state commences April 2027 and continues for three years.]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REQ-064</w:t>
            </w:r>
          </w:p>
        </w:tc>
        <w:tc>
          <w:tcPr>
            <w:tcW w:type="dxa" w:w="4500"/>
            <w:shd w:val="clear" w:color="auto" w:fill="FFE0E0"/>
          </w:tcPr>
          <w:p>
            <w:r>
              <w:rPr>
                <w:rFonts w:ascii="Arial" w:hAnsi="Arial"/>
                <w:color w:val="CC0000"/>
                <w:sz w:val="20"/>
              </w:rPr>
              <w:t>[ACTION REQUIRED: Provide project plans or schedules explicitly demonstrating the ability to meet or propose alternative timelines aligned with the 30 June 2027 lease-exit date.]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REQ-065</w:t>
            </w:r>
          </w:p>
        </w:tc>
        <w:tc>
          <w:tcPr>
            <w:tcW w:type="dxa" w:w="4500"/>
            <w:shd w:val="clear" w:color="auto" w:fill="FFE0E0"/>
          </w:tcPr>
          <w:p>
            <w:r>
              <w:rPr>
                <w:rFonts w:ascii="Arial" w:hAnsi="Arial"/>
                <w:color w:val="CC0000"/>
                <w:sz w:val="20"/>
              </w:rPr>
              <w:t>[ACTION REQUIRED: Provide executed contract language or SOW excerpts explicitly stating the vendor assumes delivery risk and rollback costs for failed migration cutovers.]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REQ-066</w:t>
            </w:r>
          </w:p>
        </w:tc>
        <w:tc>
          <w:tcPr>
            <w:tcW w:type="dxa" w:w="4500"/>
            <w:shd w:val="clear" w:color="auto" w:fill="FFE0E0"/>
          </w:tcPr>
          <w:p>
            <w:r>
              <w:rPr>
                <w:rFonts w:ascii="Arial" w:hAnsi="Arial"/>
                <w:color w:val="CC0000"/>
                <w:sz w:val="20"/>
              </w:rPr>
              <w:t>[ACTION REQUIRED: Provide contract language or policy documentation explicitly stating that the Agency bears risk for delays caused by Agency-side approvals exceeding agreed turnaround times.]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REQ-067</w:t>
            </w:r>
          </w:p>
        </w:tc>
        <w:tc>
          <w:tcPr>
            <w:tcW w:type="dxa" w:w="4500"/>
            <w:shd w:val="clear" w:color="auto" w:fill="FFE0E0"/>
          </w:tcPr>
          <w:p>
            <w:r>
              <w:rPr>
                <w:rFonts w:ascii="Arial" w:hAnsi="Arial"/>
                <w:color w:val="CC0000"/>
                <w:sz w:val="20"/>
              </w:rPr>
              <w:t>[ACTION REQUIRED: Provide contract clauses or correspondence explicitly confirming acceptance of liquidated damages for missed lease-exit milestones.]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REQ-068</w:t>
            </w:r>
          </w:p>
        </w:tc>
        <w:tc>
          <w:tcPr>
            <w:tcW w:type="dxa" w:w="4500"/>
            <w:shd w:val="clear" w:color="auto" w:fill="FFE0E0"/>
          </w:tcPr>
          <w:p>
            <w:r>
              <w:rPr>
                <w:rFonts w:ascii="Arial" w:hAnsi="Arial"/>
                <w:color w:val="CC0000"/>
                <w:sz w:val="20"/>
              </w:rPr>
              <w:t>[ACTION REQUIRED: Provide contract excerpts or policy documents demonstrating willingness to negotiate liability caps within Commonwealth norms.]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REQ-069</w:t>
            </w:r>
          </w:p>
        </w:tc>
        <w:tc>
          <w:tcPr>
            <w:tcW w:type="dxa" w:w="4500"/>
            <w:shd w:val="clear" w:color="auto" w:fill="FFE0E0"/>
          </w:tcPr>
          <w:p>
            <w:r>
              <w:rPr>
                <w:rFonts w:ascii="Arial" w:hAnsi="Arial"/>
                <w:color w:val="CC0000"/>
                <w:sz w:val="20"/>
              </w:rPr>
              <w:t>[ACTION REQUIRED: Provide contract language or policy explicitly stating unlimited liability for breach of privacy or security obligations.]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REQ-070</w:t>
            </w:r>
          </w:p>
        </w:tc>
        <w:tc>
          <w:tcPr>
            <w:tcW w:type="dxa" w:w="4500"/>
            <w:shd w:val="clear" w:color="auto" w:fill="FFE0E0"/>
          </w:tcPr>
          <w:p>
            <w:r>
              <w:rPr>
                <w:rFonts w:ascii="Arial" w:hAnsi="Arial"/>
                <w:color w:val="CC0000"/>
                <w:sz w:val="20"/>
              </w:rPr>
              <w:t>[ACTION REQUIRED: Provide a signed statement or policy explicitly acknowledging acceptance of exclusion for non-compliance with mandatory requirements.]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REQ-071</w:t>
            </w:r>
          </w:p>
        </w:tc>
        <w:tc>
          <w:tcPr>
            <w:tcW w:type="dxa" w:w="4500"/>
            <w:shd w:val="clear" w:color="auto" w:fill="FFE0E0"/>
          </w:tcPr>
          <w:p>
            <w:r>
              <w:rPr>
                <w:rFonts w:ascii="Arial" w:hAnsi="Arial"/>
                <w:color w:val="CC0000"/>
                <w:sz w:val="20"/>
              </w:rPr>
              <w:t>[ACTION REQUIRED: Provide a documented remediation plan justifying partial compliance on mandatory requirements.]</w:t>
            </w:r>
          </w:p>
        </w:tc>
        <w:tc>
          <w:tcPr>
            <w:tcW w:type="dxa" w:w="3360"/>
            <w:shd w:val="clear" w:color="auto" w:fill="FFE0E0"/>
          </w:tcPr>
          <w:p>
            <w:r>
              <w:rPr>
                <w:rFonts w:ascii="Arial" w:hAnsi="Arial"/>
                <w:color w:val="CC0000"/>
                <w:sz w:val="20"/>
              </w:rPr>
              <w:t>No evidence on file — human action required.</w:t>
            </w:r>
          </w:p>
        </w:tc>
      </w:tr>
    </w:tbl>
    <w:p>
      <w:pPr>
        <w:pStyle w:val="Heading1"/>
        <w:spacing w:before="480"/>
      </w:pPr>
      <w:r>
        <w:t xml:space="preserve">3. Gap Summary</w:t>
      </w:r>
    </w:p>
    <w:p>
      <w:pPr>
        <w:spacing w:after="120" w:before="80"/>
      </w:pPr>
      <w:r>
        <w:rPr>
          <w:rFonts w:ascii="Arial" w:cs="Arial" w:eastAsia="Arial" w:hAnsi="Arial"/>
          <w:sz w:val="22"/>
          <w:szCs w:val="22"/>
        </w:rPr>
        <w:t>GAPS (42 items requiring human input before submission):</w:t>
        <w:br/>
        <w:t xml:space="preserve">  [ACTION REQUIRED] REQ-004: Provide a policy or process document demonstrating how unsupported claims are identified and excluded from proposals.</w:t>
        <w:br/>
        <w:t xml:space="preserve">  [ACTION REQUIRED] REQ-005: Provide documentation or confirmation that proposals will be or have been submitted via the AusTender portal by the specified deadline.</w:t>
        <w:br/>
        <w:t xml:space="preserve">  [ACTION REQUIRED] REQ-015: Provide migration runbooks, project reports, or client attestations demonstrating zero-downtime migrations using Azure Site Recovery (or equivalent), with evidence of rehearsal cutovers, tested rollback plans, and production cutovers completed within four-hour windows including data loss reporting.</w:t>
        <w:br/>
        <w:t xml:space="preserve">  [ACTION REQUIRED] REQ-021: Provide a policy or contract excerpt demonstrating that substitution of key personnel requires the Agency's prior written approval.</w:t>
        <w:br/>
        <w:t xml:space="preserve">  [ACTION REQUIRED] REQ-023: Provide meeting schedules, minutes, or reporting templates demonstrating operation of a monthly steering committee and provision of fortnightly progress reports.</w:t>
        <w:br/>
        <w:t xml:space="preserve">  [ACTION REQUIRED] REQ-025: Provide a documented breach notification procedure explicitly stating notification to the Agency within 24 hours of discovery.</w:t>
        <w:br/>
        <w:t xml:space="preserve">  [ACTION REQUIRED] REQ-027: Provide contract schedules or supplier registers demonstrating use of registered Indigenous businesses as subcontractors or suppliers meeting the 10% value requirement.</w:t>
        <w:br/>
        <w:t xml:space="preserve">  [ACTION REQUIRED] REQ-028: No internal evidence found for this requirement. Provide documentation covering: Respondents must identify the Indigenous businesses they propose to engage, the scope each will deliver, and any existin...</w:t>
        <w:br/>
        <w:t xml:space="preserve">  [ACTION REQUIRED] REQ-029: Provide a documented quantum-safe cryptography transition plan detailing migration to post-quantum algorithms and interim crypto-agility measures.</w:t>
        <w:br/>
        <w:t xml:space="preserve">  [ACTION REQUIRED] REQ-030: Provide documentation or reports demonstrating quarterly carbon footprint reporting and year-on-year reduction targets for Azure consumption.</w:t>
        <w:br/>
        <w:t xml:space="preserve">  [ACTION REQUIRED] REQ-031: No internal evidence found for this requirement. Provide documentation covering: An ongoing FinOps practice with quarterly optimisation reviews and a shared-savings mechanism for realised cost reductio...</w:t>
        <w:br/>
        <w:t xml:space="preserve">  [ACTION REQUIRED] REQ-032: Provide a compliance matrix or checklist explicitly mapping each mandatory requirement to supporting evidence.</w:t>
        <w:br/>
        <w:t xml:space="preserve">  [ACTION REQUIRED] REQ-034: Provide documentation explicitly addressing how price and commercial terms are proposed and evaluated in response to RFPs.</w:t>
        <w:br/>
        <w:t xml:space="preserve">  [ACTION REQUIRED] REQ-036: Provide a risk management framework or compliance program documentation demonstrating the company's approach to risk management and compliance.</w:t>
        <w:br/>
        <w:t xml:space="preserve">  [ACTION REQUIRED] REQ-037: Provide documentation or policy demonstrating the process for scoring proposals and the threshold for proceeding to negotiation.</w:t>
        <w:br/>
        <w:t xml:space="preserve">  [ACTION REQUIRED] REQ-039: Provide documentation or correspondence confirming intent or ability to lodge proposals via AusTender by the specified deadline.</w:t>
        <w:br/>
        <w:t xml:space="preserve">  [ACTION REQUIRED] REQ-040: No internal evidence found for this requirement. Provide documentation covering: Late submissions will not be accepted under any circumstances....</w:t>
        <w:br/>
        <w:t xml:space="preserve">  [ACTION REQUIRED] REQ-041: No internal evidence found for this requirement. Provide documentation covering: Proposals must be submitted as a single PDF of no more than 60 pages, structured to address each requirement reference (...</w:t>
        <w:br/>
        <w:t xml:space="preserve">  [ACTION REQUIRED] REQ-042: Provide correspondence or policy confirming questions are lodged via AusTender forum by the specified deadline and answers are published to all respondents.</w:t>
        <w:br/>
        <w:t xml:space="preserve">  [ACTION REQUIRED] REQ-043: Provide a copy of the RFP terms or correspondence explicitly stating the Agency's right not to accept the lowest-priced or any proposal.</w:t>
        <w:br/>
        <w:t xml:space="preserve">  [ACTION REQUIRED] REQ-044: Provide documentation or policy acknowledging the Agency's right to discontinue the process at any time.</w:t>
        <w:br/>
        <w:t xml:space="preserve">  [ACTION REQUIRED] REQ-045: No internal evidence found for this requirement. Provide documentation covering: Respondents bear their own costs of participation....</w:t>
        <w:br/>
        <w:t xml:space="preserve">  [ACTION REQUIRED] REQ-046: Provide a proposal or contractual document explicitly stating proposal validity for at least 120 days from submission.</w:t>
        <w:br/>
        <w:t xml:space="preserve">  [ACTION REQUIRED] REQ-047: Provide executed contract excerpts or legal correspondence demonstrating acceptance of Commonwealth contract terms, including liquidated damages, key personnel, and step-in rights.</w:t>
        <w:br/>
        <w:t xml:space="preserve">  [ACTION REQUIRED] REQ-051: Provide documentation or case studies demonstrating experience accommodating dual 10 Gbps links between datacentres without ExpressRoute.</w:t>
        <w:br/>
        <w:t xml:space="preserve">  [ACTION REQUIRED] REQ-052: Provide documentation or case studies demonstrating integration with Active Directory (2016 functional level) and Entra ID Connect synchronisation.</w:t>
        <w:br/>
        <w:t xml:space="preserve">  [ACTION REQUIRED] REQ-053: Provide backup policy documentation or operational evidence demonstrating nightly full disk backups with 35-day retention and quarterly tape archiving.</w:t>
        <w:br/>
        <w:t xml:space="preserve">  [ACTION REQUIRED] REQ-057: Provide a case study or deliverable demonstrating assessment and recommendations for containerisation or re-platforming of at least 8 legacy applications.</w:t>
        <w:br/>
        <w:t xml:space="preserve">  [ACTION REQUIRED] REQ-058: Provide a signed project plan, contract, or commitment letter explicitly confirming execution by August 2026.</w:t>
        <w:br/>
        <w:t xml:space="preserve">  [ACTION REQUIRED] REQ-059: Provide a project plan, schedule, or commitment letter demonstrating ability to execute discovery and landing zone build specifically between August and November 2026.</w:t>
        <w:br/>
        <w:t xml:space="preserve">  [ACTION REQUIRED] REQ-060: Provide project plans or case studies demonstrating migration waves scheduled specifically between December 2026 and March 2027.</w:t>
        <w:br/>
        <w:t xml:space="preserve">  [ACTION REQUIRED] REQ-061: Provide a project plan, schedule, or commitment letter explicitly confirming that modernisation assessments will commence from January 2027.</w:t>
        <w:br/>
        <w:t xml:space="preserve">  [ACTION REQUIRED] REQ-062: Provide contract evidence or project documentation confirming datacentre decommissioning and lease exit completed by 30 June 2027.</w:t>
        <w:br/>
        <w:t xml:space="preserve">  [ACTION REQUIRED] REQ-063: Provide an executed contract or schedule explicitly confirming managed services steady state commences April 2027 and continues for three years.</w:t>
        <w:br/>
        <w:t xml:space="preserve">  [ACTION REQUIRED] REQ-064: Provide project plans or schedules explicitly demonstrating the ability to meet or propose alternative timelines aligned with the 30 June 2027 lease-exit date.</w:t>
        <w:br/>
        <w:t xml:space="preserve">  [ACTION REQUIRED] REQ-065: Provide executed contract language or SOW excerpts explicitly stating the vendor assumes delivery risk and rollback costs for failed migration cutovers.</w:t>
        <w:br/>
        <w:t xml:space="preserve">  [ACTION REQUIRED] REQ-066: Provide contract language or policy documentation explicitly stating that the Agency bears risk for delays caused by Agency-side approvals exceeding agreed turnaround times.</w:t>
        <w:br/>
        <w:t xml:space="preserve">  [ACTION REQUIRED] REQ-067: Provide contract clauses or correspondence explicitly confirming acceptance of liquidated damages for missed lease-exit milestones.</w:t>
        <w:br/>
        <w:t xml:space="preserve">  [ACTION REQUIRED] REQ-068: Provide contract excerpts or policy documents demonstrating willingness to negotiate liability caps within Commonwealth norms.</w:t>
        <w:br/>
        <w:t xml:space="preserve">  [ACTION REQUIRED] REQ-069: Provide contract language or policy explicitly stating unlimited liability for breach of privacy or security obligations.</w:t>
        <w:br/>
        <w:t xml:space="preserve">  [ACTION REQUIRED] REQ-070: Provide a signed statement or policy explicitly acknowledging acceptance of exclusion for non-compliance with mandatory requirements.</w:t>
        <w:br/>
        <w:t xml:space="preserve">  [ACTION REQUIRED] REQ-071: Provide a documented remediation plan justifying partial compliance on mandatory requirements.</w:t>
        <w:br/>
        <w:br/>
        <w:t>PARTIAL COVERAGE (22 items with weak evidence):</w:t>
        <w:br/>
        <w:t xml:space="preserve">  REQ-001: Provide documentation or case studies demonstrating migration of workloads including Windows Server 2012 R2/2016, Microsoft SQL Server instances, and large-scale data volumes (410 TB) to Azure.</w:t>
        <w:br/>
        <w:t xml:space="preserve">  REQ-003: Provide a matrix or document that explicitly maps each mandatory requirement to specific, verifiable evidence supporting compliance.</w:t>
        <w:br/>
        <w:t xml:space="preserve">  REQ-006: Provide project documentation or client attestations explicitly demonstrating execution of discovery, dependency mapping, and wave planning for in-scope workloads.</w:t>
        <w:br/>
        <w:t xml:space="preserve">  REQ-009: Provide case studies or project documentation demonstrating application modernisation and containerisation of workloads.</w:t>
        <w:br/>
        <w:t xml:space="preserve">  REQ-010: Provide executed contracts or service descriptions explicitly confirming delivery of managed platform and security operations services for a three-year term.</w:t>
        <w:br/>
        <w:t xml:space="preserve">  REQ-011: Provide documentation or case studies explicitly demonstrating full decommissioning support for datacentres prior to lease expiry.</w:t>
        <w:br/>
        <w:t xml:space="preserve">  REQ-012: Provide evidence of at least three completed migrations of 500+ Windows Server 2012/2016 VMs each, specifying the Windows Server versions and including contactable client references for each.</w:t>
        <w:br/>
        <w:t xml:space="preserve">  REQ-013: Provide documented evidence of actual achieved availability and MTTR figures from current or recent managed service operations.</w:t>
        <w:br/>
        <w:t xml:space="preserve">  REQ-016: Provide case studies or documentation demonstrating production experience designing, deploying, and operating containerised workloads on Azure Kubernetes Service (AKS) at scale, and a sample modernisation roadmap for legacy applications.</w:t>
        <w:br/>
        <w:t xml:space="preserve">  REQ-017: Provide a fixed-price schedule document explicitly showing annual escalation capped at CPI plus 2% and inclusivity of all licences, migration tooling, professional services, and transition costs for Years 1, 2, and 3.</w:t>
        <w:br/>
        <w:t xml:space="preserve">  REQ-019: Provide a sample payment schedule explicitly showing Project Director certification prior to invoicing and net 30 payment terms.</w:t>
        <w:br/>
        <w:t xml:space="preserve">  REQ-020: Provide a CV excerpt or summary explicitly demonstrating at least seven years of cloud migration programme experience for the named Project Manager.</w:t>
        <w:br/>
        <w:t xml:space="preserve">  REQ-024: Provide documentation or attestation specifically demonstrating compliance with the Notifiable Data Breaches scheme.</w:t>
        <w:br/>
        <w:t xml:space="preserve">  REQ-026: Provide documentation or test reports demonstrating that breach response procedures have been tested in practice.</w:t>
        <w:br/>
        <w:t xml:space="preserve">  REQ-035: Provide documentation detailing the team's governance framework and collective experience, not just individual CVs or project summaries.</w:t>
        <w:br/>
        <w:t xml:space="preserve">  REQ-038: Provide documentation or policy demonstrating the company's process for supporting agency clarification requests and delivering presentations to shortlisted respondents.</w:t>
        <w:br/>
        <w:t xml:space="preserve">  REQ-048: Provide documentation specifying migration experience with Windows Server 2012 R2/2016, Windows Server 2019, and RHEL 8 instances at the required scale.</w:t>
        <w:br/>
        <w:t xml:space="preserve">  REQ-049: Provide a case study or reference explicitly demonstrating migration or modernisation of at least 36 SQL Server instances (2014-2019) totaling 48 TB of data.</w:t>
        <w:br/>
        <w:t xml:space="preserve">  REQ-050: Provide case studies or migration summaries specifying experience with migrating at least 410 TB of SAN and NAS storage.</w:t>
        <w:br/>
        <w:t xml:space="preserve">  REQ-054: Provide documentation or case studies demonstrating that cutover windows for Tier-1 workloads were limited to a maximum of four hours.</w:t>
        <w:br/>
        <w:t xml:space="preserve">  REQ-055: Provide evidence specifically demonstrating migration or modernisation of Tier-2 workloads, including internal corporate and case-management applications.</w:t>
        <w:br/>
        <w:t xml:space="preserve">  REQ-056: Provide case studies or technical documentation explicitly demonstrating migration or modernisation of Tier-3 workloads such as development, test, and archive environments.</w:t>
      </w:r>
    </w:p>
    <w:p>
      <w:pPr>
        <w:pStyle w:val="Heading1"/>
      </w:pPr>
      <w:r>
        <w:t xml:space="preserve">4. Estimated Fit Score</w:t>
      </w:r>
    </w:p>
    <w:p>
      <w:pPr>
        <w:spacing w:before="80"/>
      </w:pPr>
      <w:r>
        <w:rPr>
          <w:rFonts w:ascii="Arial" w:cs="Arial" w:eastAsia="Arial" w:hAnsi="Arial"/>
          <w:sz w:val="24"/>
          <w:szCs w:val="24"/>
        </w:rPr>
        <w:t>Requirement coverage score: 28%</w:t>
      </w:r>
      <w:r>
        <w:rPr>
          <w:rFonts w:ascii="Arial" w:cs="Arial" w:eastAsia="Arial" w:hAnsi="Arial"/>
          <w:b/>
          <w:bCs/>
          <w:color w:val="1F4E79"/>
          <w:sz w:val="24"/>
          <w:szCs w:val="24"/>
        </w:rPr>
      </w:r>
    </w:p>
    <w:p>
      <w:pPr>
        <w:spacing w:before="40"/>
      </w:pPr>
      <w:r>
        <w:rPr>
          <w:rFonts w:ascii="Arial" w:cs="Arial" w:eastAsia="Arial" w:hAnsi="Arial"/>
          <w:color w:val="595959"/>
          <w:sz w:val="18"/>
          <w:szCs w:val="18"/>
        </w:rPr>
        <w:t xml:space="preserve">Score reflects coverage of requirements by verified internal evidence. All gaps must be resolved before submission.</w:t>
      </w:r>
    </w:p>
    <w:p>
      <w:r>
        <w:br w:type="page"/>
      </w:r>
    </w:p>
    <w:p>
      <w:r>
        <w:rPr>
          <w:b/>
          <w:sz w:val="32"/>
        </w:rPr>
        <w:t>Appendix — Bid Decision Report</w:t>
      </w:r>
    </w:p>
    <w:p>
      <w:r>
        <w:rPr>
          <w:b/>
        </w:rPr>
        <w:t xml:space="preserve">Recommendation: REVIEW BID DECISION — priority-weighted requirement coverage score 28%. </w:t>
      </w:r>
      <w:r>
        <w:t>Material gaps on weighted requirements — escalate before committing. Coverage: 7 covered, 22 partial, 42 gap of 71 requirements. Citations verified: 63/63.</w:t>
      </w:r>
    </w:p>
    <w:p>
      <w:r>
        <w:rPr>
          <w:i/>
        </w:rPr>
        <w:t>This appendix is the pipeline's reasoning trace: for each requirement, the evidence retrieved from the knowledge base, the scoring decision with confidence, the citation verification outcome, and the action required from the bid team.</w:t>
      </w:r>
    </w:p>
    <w:p>
      <w:r>
        <w:rPr>
          <w:b/>
          <w:color w:val="B36B00"/>
        </w:rPr>
        <w:t>REQ-001 (high priority, technical) — PARTIAL</w:t>
      </w:r>
    </w:p>
    <w:p>
      <w:r>
        <w:rPr>
          <w:color w:val="444444"/>
          <w:sz w:val="18"/>
        </w:rPr>
        <w:t>Requirement: The vendor must migrate DDT's hosted workloads, including approximately 580 virtual machines (predominantly Windows Server 2012 R2 and 2016, with a small Red Hat Enterprise Linux estate), 36 Microsoft</w:t>
      </w:r>
    </w:p>
    <w:p>
      <w:r>
        <w:rPr>
          <w:color w:val="444444"/>
          <w:sz w:val="18"/>
        </w:rPr>
        <w:t>Evidence considered: DOC-001 (Case Study — HealthGov Australia Datacentre-to-Azure Migration); DOC-002 (Case Study — StateGov Authority Cloud Transition Program); DOC-003 (Case Study — FinanceDept Agency Core Systems Migration)</w:t>
      </w:r>
    </w:p>
    <w:p>
      <w:r>
        <w:rPr>
          <w:color w:val="444444"/>
          <w:sz w:val="18"/>
        </w:rPr>
        <w:t>Decision: PARTIAL (scorer confidence 0.65); citations verified: DOC-001, DOC-002, DOC-003</w:t>
      </w:r>
    </w:p>
    <w:p>
      <w:r>
        <w:rPr>
          <w:color w:val="CC0000"/>
          <w:sz w:val="18"/>
        </w:rPr>
        <w:t>ACTION REQUIRED: Provide documentation or case studies demonstrating migration of workloads including Windows Server 2012 R2/2016, Microsoft SQL Server instances, and large-scale data volumes (410 TB) to Azure.</w:t>
      </w:r>
    </w:p>
    <w:p>
      <w:r>
        <w:rPr>
          <w:b/>
          <w:color w:val="1E7A1E"/>
        </w:rPr>
        <w:t>REQ-002 (high priority, technical) — COVERED</w:t>
      </w:r>
    </w:p>
    <w:p>
      <w:r>
        <w:rPr>
          <w:color w:val="444444"/>
          <w:sz w:val="18"/>
        </w:rPr>
        <w:t>Requirement: The vendor must provide ongoing managed platform services for the migrated workloads in Microsoft Azure.</w:t>
      </w:r>
    </w:p>
    <w:p>
      <w:r>
        <w:rPr>
          <w:color w:val="444444"/>
          <w:sz w:val="18"/>
        </w:rPr>
        <w:t>Evidence considered: DOC-002 (Case Study — StateGov Authority Cloud Transition Program); DOC-007 (Executed SOW Extract — Fixed-Price Multi-Year Schedule (ClientCo)); DOC-010 (Managed Services Incident Response Runbook (Extract))</w:t>
      </w:r>
    </w:p>
    <w:p>
      <w:r>
        <w:rPr>
          <w:color w:val="444444"/>
          <w:sz w:val="18"/>
        </w:rPr>
        <w:t>Decision: COVERED (scorer confidence 0.85); citations verified: DOC-007, DOC-010, DOC-002</w:t>
      </w:r>
    </w:p>
    <w:p>
      <w:r>
        <w:rPr>
          <w:b/>
          <w:color w:val="B36B00"/>
        </w:rPr>
        <w:t>REQ-003 (high priority, other) — PARTIAL</w:t>
      </w:r>
    </w:p>
    <w:p>
      <w:r>
        <w:rPr>
          <w:color w:val="444444"/>
          <w:sz w:val="18"/>
        </w:rPr>
        <w:t>Requirement: The proposal must address every mandatory requirement individually, providing verifiable evidence for each claim made.</w:t>
      </w:r>
    </w:p>
    <w:p>
      <w:r>
        <w:rPr>
          <w:color w:val="444444"/>
          <w:sz w:val="18"/>
        </w:rPr>
        <w:t>Evidence considered: DOC-007 (Executed SOW Extract — Fixed-Price Multi-Year Schedule (ClientCo)); DOC-006 (Data Residency and Sovereignty Policy)</w:t>
      </w:r>
    </w:p>
    <w:p>
      <w:r>
        <w:rPr>
          <w:color w:val="444444"/>
          <w:sz w:val="18"/>
        </w:rPr>
        <w:t>Decision: PARTIAL (scorer confidence 0.50); citations verified: DOC-007, DOC-006</w:t>
      </w:r>
    </w:p>
    <w:p>
      <w:r>
        <w:rPr>
          <w:color w:val="CC0000"/>
          <w:sz w:val="18"/>
        </w:rPr>
        <w:t>ACTION REQUIRED: Provide a matrix or document that explicitly maps each mandatory requirement to specific, verifiable evidence supporting compliance.</w:t>
      </w:r>
    </w:p>
    <w:p>
      <w:r>
        <w:rPr>
          <w:b/>
          <w:color w:val="CC0000"/>
        </w:rPr>
        <w:t>REQ-004 (high priority, other) — GAP</w:t>
      </w:r>
    </w:p>
    <w:p>
      <w:r>
        <w:rPr>
          <w:color w:val="444444"/>
          <w:sz w:val="18"/>
        </w:rPr>
        <w:t>Requirement: Unsupported claims in the proposal will be disregarded by the evaluation panel.</w:t>
      </w:r>
    </w:p>
    <w:p>
      <w:r>
        <w:rPr>
          <w:color w:val="444444"/>
          <w:sz w:val="18"/>
        </w:rPr>
        <w:t>Evidence considered: DOC-008 (Commercial Terms Register — Milestone Payments and Invoicing History)</w:t>
      </w:r>
    </w:p>
    <w:p>
      <w:r>
        <w:rPr>
          <w:color w:val="444444"/>
          <w:sz w:val="18"/>
        </w:rPr>
        <w:t>Decision: GAP (scorer confidence 1.00)</w:t>
      </w:r>
    </w:p>
    <w:p>
      <w:r>
        <w:rPr>
          <w:color w:val="CC0000"/>
          <w:sz w:val="18"/>
        </w:rPr>
        <w:t>ACTION REQUIRED: Provide a policy or process document demonstrating how unsupported claims are identified and excluded from proposals.</w:t>
      </w:r>
    </w:p>
    <w:p>
      <w:r>
        <w:rPr>
          <w:b/>
          <w:color w:val="CC0000"/>
        </w:rPr>
        <w:t>REQ-005 (high priority, timeline) — GAP</w:t>
      </w:r>
    </w:p>
    <w:p>
      <w:r>
        <w:rPr>
          <w:color w:val="444444"/>
          <w:sz w:val="18"/>
        </w:rPr>
        <w:t>Requirement: Proposals must be submitted via the AusTender portal by 17:00 AEST, 30 June 2026.</w:t>
      </w:r>
    </w:p>
    <w:p>
      <w:r>
        <w:rPr>
          <w:color w:val="444444"/>
          <w:sz w:val="18"/>
        </w:rPr>
        <w:t>Evidence considered: DOC-014 (Key Personnel CV — James Liu, Lead Cloud Architect); DOC-009 (Key Personnel CV — Sarah Mitchell, Project Director); DOC-007 (Executed SOW Extract — Fixed-Price Multi-Year Schedule (ClientCo))</w:t>
      </w:r>
    </w:p>
    <w:p>
      <w:r>
        <w:rPr>
          <w:color w:val="444444"/>
          <w:sz w:val="18"/>
        </w:rPr>
        <w:t>Decision: GAP (scorer confidence 0.00)</w:t>
      </w:r>
    </w:p>
    <w:p>
      <w:r>
        <w:rPr>
          <w:color w:val="CC0000"/>
          <w:sz w:val="18"/>
        </w:rPr>
        <w:t>ACTION REQUIRED: Provide documentation or confirmation that proposals will be or have been submitted via the AusTender portal by the specified deadline.</w:t>
      </w:r>
    </w:p>
    <w:p>
      <w:r>
        <w:rPr>
          <w:b/>
          <w:color w:val="B36B00"/>
        </w:rPr>
        <w:t>REQ-006 (high priority, technical) — PARTIAL</w:t>
      </w:r>
    </w:p>
    <w:p>
      <w:r>
        <w:rPr>
          <w:color w:val="444444"/>
          <w:sz w:val="18"/>
        </w:rPr>
        <w:t>Requirement: The vendor must perform discovery, dependency mapping, and wave planning for all in-scope workloads.</w:t>
      </w:r>
    </w:p>
    <w:p>
      <w:r>
        <w:rPr>
          <w:color w:val="444444"/>
          <w:sz w:val="18"/>
        </w:rPr>
        <w:t>Evidence considered: DOC-001 (Case Study — HealthGov Australia Datacentre-to-Azure Migration); DOC-012 (Winning Proposal Excerpt — GovCloud Services Panel 2025 (Technical Approach)); DOC-003 (Case Study — FinanceDept Agency Core Systems Migration)</w:t>
      </w:r>
    </w:p>
    <w:p>
      <w:r>
        <w:rPr>
          <w:color w:val="444444"/>
          <w:sz w:val="18"/>
        </w:rPr>
        <w:t>Decision: PARTIAL (scorer confidence 0.60); citations verified: DOC-012, DOC-001, DOC-003</w:t>
      </w:r>
    </w:p>
    <w:p>
      <w:r>
        <w:rPr>
          <w:color w:val="CC0000"/>
          <w:sz w:val="18"/>
        </w:rPr>
        <w:t>ACTION REQUIRED: Provide project documentation or client attestations explicitly demonstrating execution of discovery, dependency mapping, and wave planning for in-scope workloads.</w:t>
      </w:r>
    </w:p>
    <w:p>
      <w:r>
        <w:rPr>
          <w:b/>
          <w:color w:val="1E7A1E"/>
        </w:rPr>
        <w:t>REQ-007 (high priority, technical) — COVERED</w:t>
      </w:r>
    </w:p>
    <w:p>
      <w:r>
        <w:rPr>
          <w:color w:val="444444"/>
          <w:sz w:val="18"/>
        </w:rPr>
        <w:t>Requirement: The vendor must design and build an Azure landing zone compliant with the Australian Government Information Security Manual (ISM) at the PROTECTED level.</w:t>
      </w:r>
    </w:p>
    <w:p>
      <w:r>
        <w:rPr>
          <w:color w:val="444444"/>
          <w:sz w:val="18"/>
        </w:rPr>
        <w:t>Evidence considered: DOC-005 (IRAP Assessment Summary — ISM PROTECTED Level); DOC-001 (Case Study — HealthGov Australia Datacentre-to-Azure Migration); DOC-014 (Key Personnel CV — James Liu, Lead Cloud Architect)</w:t>
      </w:r>
    </w:p>
    <w:p>
      <w:r>
        <w:rPr>
          <w:color w:val="444444"/>
          <w:sz w:val="18"/>
        </w:rPr>
        <w:t>Decision: COVERED (scorer confidence 0.85); citations verified: DOC-005, DOC-014</w:t>
      </w:r>
    </w:p>
    <w:p>
      <w:r>
        <w:rPr>
          <w:b/>
          <w:color w:val="1E7A1E"/>
        </w:rPr>
        <w:t>REQ-008 (high priority, technical) — COVERED</w:t>
      </w:r>
    </w:p>
    <w:p>
      <w:r>
        <w:rPr>
          <w:color w:val="444444"/>
          <w:sz w:val="18"/>
        </w:rPr>
        <w:t>Requirement: The vendor must migrate all in-scope workloads to Azure.</w:t>
      </w:r>
    </w:p>
    <w:p>
      <w:r>
        <w:rPr>
          <w:color w:val="444444"/>
          <w:sz w:val="18"/>
        </w:rPr>
        <w:t>Evidence considered: DOC-001 (Case Study — HealthGov Australia Datacentre-to-Azure Migration); DOC-002 (Case Study — StateGov Authority Cloud Transition Program); DOC-003 (Case Study — FinanceDept Agency Core Systems Migration)</w:t>
      </w:r>
    </w:p>
    <w:p>
      <w:r>
        <w:rPr>
          <w:color w:val="444444"/>
          <w:sz w:val="18"/>
        </w:rPr>
        <w:t>Decision: COVERED (scorer confidence 0.90); citations verified: DOC-001, DOC-002, DOC-003</w:t>
      </w:r>
    </w:p>
    <w:p>
      <w:r>
        <w:rPr>
          <w:b/>
          <w:color w:val="B36B00"/>
        </w:rPr>
        <w:t>REQ-009 (medium priority, technical) — PARTIAL</w:t>
      </w:r>
    </w:p>
    <w:p>
      <w:r>
        <w:rPr>
          <w:color w:val="444444"/>
          <w:sz w:val="18"/>
        </w:rPr>
        <w:t>Requirement: The vendor must modernise nominated application workloads, including containerisation where assessed as suitable.</w:t>
      </w:r>
    </w:p>
    <w:p>
      <w:r>
        <w:rPr>
          <w:color w:val="444444"/>
          <w:sz w:val="18"/>
        </w:rPr>
        <w:t>Evidence considered: DOC-012 (Winning Proposal Excerpt — GovCloud Services Panel 2025 (Technical Approach)); DOC-001 (Case Study — HealthGov Australia Datacentre-to-Azure Migration); DOC-003 (Case Study — FinanceDept Agency Core Systems Migration)</w:t>
      </w:r>
    </w:p>
    <w:p>
      <w:r>
        <w:rPr>
          <w:color w:val="444444"/>
          <w:sz w:val="18"/>
        </w:rPr>
        <w:t>Decision: PARTIAL (scorer confidence 0.50); citations verified: DOC-012, DOC-001, DOC-003</w:t>
      </w:r>
    </w:p>
    <w:p>
      <w:r>
        <w:rPr>
          <w:color w:val="CC0000"/>
          <w:sz w:val="18"/>
        </w:rPr>
        <w:t>ACTION REQUIRED: Provide case studies or project documentation demonstrating application modernisation and containerisation of workloads.</w:t>
      </w:r>
    </w:p>
    <w:p>
      <w:r>
        <w:rPr>
          <w:b/>
          <w:color w:val="B36B00"/>
        </w:rPr>
        <w:t>REQ-010 (high priority, technical) — PARTIAL</w:t>
      </w:r>
    </w:p>
    <w:p>
      <w:r>
        <w:rPr>
          <w:color w:val="444444"/>
          <w:sz w:val="18"/>
        </w:rPr>
        <w:t>Requirement: The vendor must provide managed platform and security operations services for an initial term of three years.</w:t>
      </w:r>
    </w:p>
    <w:p>
      <w:r>
        <w:rPr>
          <w:color w:val="444444"/>
          <w:sz w:val="18"/>
        </w:rPr>
        <w:t>Evidence considered: DOC-004 (ISO/IEC 27001:2022 Certification Summary); DOC-007 (Executed SOW Extract — Fixed-Price Multi-Year Schedule (ClientCo)); DOC-012 (Winning Proposal Excerpt — GovCloud Services Panel 2025 (Technical Approach))</w:t>
      </w:r>
    </w:p>
    <w:p>
      <w:r>
        <w:rPr>
          <w:color w:val="444444"/>
          <w:sz w:val="18"/>
        </w:rPr>
        <w:t>Decision: PARTIAL (scorer confidence 0.50); citations verified: DOC-007, DOC-004</w:t>
      </w:r>
    </w:p>
    <w:p>
      <w:r>
        <w:rPr>
          <w:color w:val="CC0000"/>
          <w:sz w:val="18"/>
        </w:rPr>
        <w:t>ACTION REQUIRED: Provide executed contracts or service descriptions explicitly confirming delivery of managed platform and security operations services for a three-year term.</w:t>
      </w:r>
    </w:p>
    <w:p>
      <w:r>
        <w:rPr>
          <w:b/>
          <w:color w:val="B36B00"/>
        </w:rPr>
        <w:t>REQ-011 (high priority, technical) — PARTIAL</w:t>
      </w:r>
    </w:p>
    <w:p>
      <w:r>
        <w:rPr>
          <w:color w:val="444444"/>
          <w:sz w:val="18"/>
        </w:rPr>
        <w:t>Requirement: The vendor must provide full decommissioning support for both existing datacentres prior to lease expiry.</w:t>
      </w:r>
    </w:p>
    <w:p>
      <w:r>
        <w:rPr>
          <w:color w:val="444444"/>
          <w:sz w:val="18"/>
        </w:rPr>
        <w:t>Evidence considered: DOC-001 (Case Study — HealthGov Australia Datacentre-to-Azure Migration); DOC-002 (Case Study — StateGov Authority Cloud Transition Program); DOC-013 (Client Reference Register — Government Engagements)</w:t>
      </w:r>
    </w:p>
    <w:p>
      <w:r>
        <w:rPr>
          <w:color w:val="444444"/>
          <w:sz w:val="18"/>
        </w:rPr>
        <w:t>Decision: PARTIAL (scorer confidence 0.50); citations verified: DOC-001, DOC-002</w:t>
      </w:r>
    </w:p>
    <w:p>
      <w:r>
        <w:rPr>
          <w:color w:val="CC0000"/>
          <w:sz w:val="18"/>
        </w:rPr>
        <w:t>ACTION REQUIRED: Provide documentation or case studies explicitly demonstrating full decommissioning support for datacentres prior to lease expiry.</w:t>
      </w:r>
    </w:p>
    <w:p>
      <w:r>
        <w:rPr>
          <w:b/>
          <w:color w:val="B36B00"/>
        </w:rPr>
        <w:t>REQ-012 (high priority, technical) — PARTIAL</w:t>
      </w:r>
    </w:p>
    <w:p>
      <w:r>
        <w:rPr>
          <w:color w:val="444444"/>
          <w:sz w:val="18"/>
        </w:rPr>
        <w:t>Requirement: The vendor must demonstrate proven experience migrating Windows Server 2012/2016 workloads to Azure IaaS and PaaS services, with a minimum of three completed migrations of comparable scale (500 or mor</w:t>
      </w:r>
    </w:p>
    <w:p>
      <w:r>
        <w:rPr>
          <w:color w:val="444444"/>
          <w:sz w:val="18"/>
        </w:rPr>
        <w:t>Evidence considered: DOC-013 (Client Reference Register — Government Engagements); DOC-003 (Case Study — FinanceDept Agency Core Systems Migration); DOC-001 (Case Study — HealthGov Australia Datacentre-to-Azure Migration)</w:t>
      </w:r>
    </w:p>
    <w:p>
      <w:r>
        <w:rPr>
          <w:color w:val="444444"/>
          <w:sz w:val="18"/>
        </w:rPr>
        <w:t>Decision: PARTIAL (scorer confidence 0.60); citations verified: DOC-003, DOC-001, DOC-013</w:t>
      </w:r>
    </w:p>
    <w:p>
      <w:r>
        <w:rPr>
          <w:color w:val="CC0000"/>
          <w:sz w:val="18"/>
        </w:rPr>
        <w:t>ACTION REQUIRED: Provide evidence of at least three completed migrations of 500+ Windows Server 2012/2016 VMs each, specifying the Windows Server versions and including contactable client references for each.</w:t>
      </w:r>
    </w:p>
    <w:p>
      <w:r>
        <w:rPr>
          <w:b/>
          <w:color w:val="B36B00"/>
        </w:rPr>
        <w:t>REQ-013 (high priority, technical) — PARTIAL</w:t>
      </w:r>
    </w:p>
    <w:p>
      <w:r>
        <w:rPr>
          <w:color w:val="444444"/>
          <w:sz w:val="18"/>
        </w:rPr>
        <w:t>Requirement: The proposed managed service must achieve a 99.95% availability SLA for Tier-1 production workloads, with continuous monitoring tooling, documented incident response procedures, and a mean time to rec</w:t>
      </w:r>
    </w:p>
    <w:p>
      <w:r>
        <w:rPr>
          <w:color w:val="444444"/>
          <w:sz w:val="18"/>
        </w:rPr>
        <w:t>Evidence considered: DOC-010 (Managed Services Incident Response Runbook (Extract)); DOC-002 (Case Study — StateGov Authority Cloud Transition Program); DOC-014 (Key Personnel CV — James Liu, Lead Cloud Architect)</w:t>
      </w:r>
    </w:p>
    <w:p>
      <w:r>
        <w:rPr>
          <w:color w:val="444444"/>
          <w:sz w:val="18"/>
        </w:rPr>
        <w:t>Decision: PARTIAL (scorer confidence 0.50); citations verified: DOC-010</w:t>
      </w:r>
    </w:p>
    <w:p>
      <w:r>
        <w:rPr>
          <w:color w:val="CC0000"/>
          <w:sz w:val="18"/>
        </w:rPr>
        <w:t>ACTION REQUIRED: Provide documented evidence of actual achieved availability and MTTR figures from current or recent managed service operations.</w:t>
      </w:r>
    </w:p>
    <w:p>
      <w:r>
        <w:rPr>
          <w:b/>
          <w:color w:val="1E7A1E"/>
        </w:rPr>
        <w:t>REQ-014 (high priority, legal) — COVERED</w:t>
      </w:r>
    </w:p>
    <w:p>
      <w:r>
        <w:rPr>
          <w:color w:val="444444"/>
          <w:sz w:val="18"/>
        </w:rPr>
        <w:t>Requirement: All Agency data must remain within Australian Azure regions (Australia East and Australia Southeast) at all times, including backup and disaster recovery copies. The vendor must hold current ISO/IEC 2</w:t>
      </w:r>
    </w:p>
    <w:p>
      <w:r>
        <w:rPr>
          <w:color w:val="444444"/>
          <w:sz w:val="18"/>
        </w:rPr>
        <w:t>Evidence considered: DOC-005 (IRAP Assessment Summary — ISM PROTECTED Level); DOC-006 (Data Residency and Sovereignty Policy); DOC-004 (ISO/IEC 27001:2022 Certification Summary)</w:t>
      </w:r>
    </w:p>
    <w:p>
      <w:r>
        <w:rPr>
          <w:color w:val="444444"/>
          <w:sz w:val="18"/>
        </w:rPr>
        <w:t>Decision: COVERED (scorer confidence 0.90); citations verified: DOC-006, DOC-004, DOC-005</w:t>
      </w:r>
    </w:p>
    <w:p>
      <w:r>
        <w:rPr>
          <w:b/>
          <w:color w:val="CC0000"/>
        </w:rPr>
        <w:t>REQ-015 (high priority, technical) — GAP</w:t>
      </w:r>
    </w:p>
    <w:p>
      <w:r>
        <w:rPr>
          <w:color w:val="444444"/>
          <w:sz w:val="18"/>
        </w:rPr>
        <w:t>Requirement: The vendor must provide a zero-downtime migration approach using Azure Site Recovery or an equivalent replication-based mechanism, including rehearsal cutovers and tested rollback plans. Production cu</w:t>
      </w:r>
    </w:p>
    <w:p>
      <w:r>
        <w:rPr>
          <w:color w:val="444444"/>
          <w:sz w:val="18"/>
        </w:rPr>
        <w:t>Evidence considered: DOC-003 (Case Study — FinanceDept Agency Core Systems Migration); DOC-001 (Case Study — HealthGov Australia Datacentre-to-Azure Migration); DOC-002 (Case Study — StateGov Authority Cloud Transition Program)</w:t>
      </w:r>
    </w:p>
    <w:p>
      <w:r>
        <w:rPr>
          <w:color w:val="444444"/>
          <w:sz w:val="18"/>
        </w:rPr>
        <w:t>Decision: GAP (scorer confidence 0.20)</w:t>
      </w:r>
    </w:p>
    <w:p>
      <w:r>
        <w:rPr>
          <w:color w:val="CC0000"/>
          <w:sz w:val="18"/>
        </w:rPr>
        <w:t>ACTION REQUIRED: Provide migration runbooks, project reports, or client attestations demonstrating zero-downtime migrations using Azure Site Recovery (or equivalent), with evidence of rehearsal cutovers, tested rollback plans, and production cutovers completed within four-hour windows including data loss reporting.</w:t>
      </w:r>
    </w:p>
    <w:p>
      <w:r>
        <w:rPr>
          <w:b/>
          <w:color w:val="B36B00"/>
        </w:rPr>
        <w:t>REQ-016 (medium priority, technical) — PARTIAL</w:t>
      </w:r>
    </w:p>
    <w:p>
      <w:r>
        <w:rPr>
          <w:color w:val="444444"/>
          <w:sz w:val="18"/>
        </w:rPr>
        <w:t>Requirement: The vendor must demonstrate an established application modernisation capability, including production experience designing, deploying, and operating containerised workloads on Azure Kubernetes Service</w:t>
      </w:r>
    </w:p>
    <w:p>
      <w:r>
        <w:rPr>
          <w:color w:val="444444"/>
          <w:sz w:val="18"/>
        </w:rPr>
        <w:t>Evidence considered: DOC-012 (Winning Proposal Excerpt — GovCloud Services Panel 2025 (Technical Approach)); DOC-001 (Case Study — HealthGov Australia Datacentre-to-Azure Migration); DOC-002 (Case Study — StateGov Authority Cloud Transition Program)</w:t>
      </w:r>
    </w:p>
    <w:p>
      <w:r>
        <w:rPr>
          <w:color w:val="444444"/>
          <w:sz w:val="18"/>
        </w:rPr>
        <w:t>Decision: PARTIAL (scorer confidence 0.50); citations verified: DOC-012, DOC-001, DOC-002</w:t>
      </w:r>
    </w:p>
    <w:p>
      <w:r>
        <w:rPr>
          <w:color w:val="CC0000"/>
          <w:sz w:val="18"/>
        </w:rPr>
        <w:t>ACTION REQUIRED: Provide case studies or documentation demonstrating production experience designing, deploying, and operating containerised workloads on Azure Kubernetes Service (AKS) at scale, and a sample modernisation roadmap for legacy applications.</w:t>
      </w:r>
    </w:p>
    <w:p>
      <w:r>
        <w:rPr>
          <w:b/>
          <w:color w:val="B36B00"/>
        </w:rPr>
        <w:t>REQ-017 (high priority, commercial) — PARTIAL</w:t>
      </w:r>
    </w:p>
    <w:p>
      <w:r>
        <w:rPr>
          <w:color w:val="444444"/>
          <w:sz w:val="18"/>
        </w:rPr>
        <w:t>Requirement: Pricing must be submitted as a fixed-price schedule for Years 1, 2, and 3 of the engagement, with annual escalation capped at CPI plus 2%, inclusive of all licences, migration tooling, professional se</w:t>
      </w:r>
    </w:p>
    <w:p>
      <w:r>
        <w:rPr>
          <w:color w:val="444444"/>
          <w:sz w:val="18"/>
        </w:rPr>
        <w:t>Evidence considered: DOC-007 (Executed SOW Extract — Fixed-Price Multi-Year Schedule (ClientCo)); DOC-003 (Case Study — FinanceDept Agency Core Systems Migration); DOC-001 (Case Study — HealthGov Australia Datacentre-to-Azure Migration)</w:t>
      </w:r>
    </w:p>
    <w:p>
      <w:r>
        <w:rPr>
          <w:color w:val="444444"/>
          <w:sz w:val="18"/>
        </w:rPr>
        <w:t>Decision: PARTIAL (scorer confidence 0.50); citations verified: DOC-007</w:t>
      </w:r>
    </w:p>
    <w:p>
      <w:r>
        <w:rPr>
          <w:color w:val="CC0000"/>
          <w:sz w:val="18"/>
        </w:rPr>
        <w:t>ACTION REQUIRED: Provide a fixed-price schedule document explicitly showing annual escalation capped at CPI plus 2% and inclusivity of all licences, migration tooling, professional services, and transition costs for Years 1, 2, and 3.</w:t>
      </w:r>
    </w:p>
    <w:p>
      <w:r>
        <w:rPr>
          <w:b/>
          <w:color w:val="1E7A1E"/>
        </w:rPr>
        <w:t>REQ-018 (medium priority, commercial) — COVERED</w:t>
      </w:r>
    </w:p>
    <w:p>
      <w:r>
        <w:rPr>
          <w:color w:val="444444"/>
          <w:sz w:val="18"/>
        </w:rPr>
        <w:t>Requirement: Respondents should evidence prior acceptance of equivalent fixed-price structures.</w:t>
      </w:r>
    </w:p>
    <w:p>
      <w:r>
        <w:rPr>
          <w:color w:val="444444"/>
          <w:sz w:val="18"/>
        </w:rPr>
        <w:t>Evidence considered: DOC-007 (Executed SOW Extract — Fixed-Price Multi-Year Schedule (ClientCo)); DOC-003 (Case Study — FinanceDept Agency Core Systems Migration)</w:t>
      </w:r>
    </w:p>
    <w:p>
      <w:r>
        <w:rPr>
          <w:color w:val="444444"/>
          <w:sz w:val="18"/>
        </w:rPr>
        <w:t>Decision: COVERED (scorer confidence 0.85); citations verified: DOC-007, DOC-003</w:t>
      </w:r>
    </w:p>
    <w:p>
      <w:r>
        <w:rPr>
          <w:b/>
          <w:color w:val="B36B00"/>
        </w:rPr>
        <w:t>REQ-019 (medium priority, commercial) — PARTIAL</w:t>
      </w:r>
    </w:p>
    <w:p>
      <w:r>
        <w:rPr>
          <w:color w:val="444444"/>
          <w:sz w:val="18"/>
        </w:rPr>
        <w:t>Requirement: A milestone-based payment schedule must be provided, with each milestone's completion certified by the DDT Project Director prior to invoicing, and payment terms of net 30 days from receipt of a corre</w:t>
      </w:r>
    </w:p>
    <w:p>
      <w:r>
        <w:rPr>
          <w:color w:val="444444"/>
          <w:sz w:val="18"/>
        </w:rPr>
        <w:t>Evidence considered: DOC-008 (Commercial Terms Register — Milestone Payments and Invoicing History)</w:t>
      </w:r>
    </w:p>
    <w:p>
      <w:r>
        <w:rPr>
          <w:color w:val="444444"/>
          <w:sz w:val="18"/>
        </w:rPr>
        <w:t>Decision: PARTIAL (scorer confidence 0.50); citations verified: DOC-008</w:t>
      </w:r>
    </w:p>
    <w:p>
      <w:r>
        <w:rPr>
          <w:color w:val="CC0000"/>
          <w:sz w:val="18"/>
        </w:rPr>
        <w:t>ACTION REQUIRED: Provide a sample payment schedule explicitly showing Project Director certification prior to invoicing and net 30 payment terms.</w:t>
      </w:r>
    </w:p>
    <w:p>
      <w:r>
        <w:rPr>
          <w:b/>
          <w:color w:val="B36B00"/>
        </w:rPr>
        <w:t>REQ-020 (high priority, team) — PARTIAL</w:t>
      </w:r>
    </w:p>
    <w:p>
      <w:r>
        <w:rPr>
          <w:color w:val="444444"/>
          <w:sz w:val="18"/>
        </w:rPr>
        <w:t>Requirement: The proposed delivery team must include a named Project Manager holding a current PMP or PRINCE2 Practitioner certification with a minimum of seven years of cloud migration programme experience, evide</w:t>
      </w:r>
    </w:p>
    <w:p>
      <w:r>
        <w:rPr>
          <w:color w:val="444444"/>
          <w:sz w:val="18"/>
        </w:rPr>
        <w:t>Evidence considered: DOC-009 (Key Personnel CV — Sarah Mitchell, Project Director); DOC-014 (Key Personnel CV — James Liu, Lead Cloud Architect); DOC-007 (Executed SOW Extract — Fixed-Price Multi-Year Schedule (ClientCo))</w:t>
      </w:r>
    </w:p>
    <w:p>
      <w:r>
        <w:rPr>
          <w:color w:val="444444"/>
          <w:sz w:val="18"/>
        </w:rPr>
        <w:t>Decision: PARTIAL (scorer confidence 0.60); citations verified: DOC-009</w:t>
      </w:r>
    </w:p>
    <w:p>
      <w:r>
        <w:rPr>
          <w:color w:val="CC0000"/>
          <w:sz w:val="18"/>
        </w:rPr>
        <w:t>ACTION REQUIRED: Provide a CV excerpt or summary explicitly demonstrating at least seven years of cloud migration programme experience for the named Project Manager.</w:t>
      </w:r>
    </w:p>
    <w:p>
      <w:r>
        <w:rPr>
          <w:b/>
          <w:color w:val="CC0000"/>
        </w:rPr>
        <w:t>REQ-021 (medium priority, team) — GAP</w:t>
      </w:r>
    </w:p>
    <w:p>
      <w:r>
        <w:rPr>
          <w:color w:val="444444"/>
          <w:sz w:val="18"/>
        </w:rPr>
        <w:t>Requirement: Substitution of key personnel requires the Agency's prior written approval.</w:t>
      </w:r>
    </w:p>
    <w:p>
      <w:r>
        <w:rPr>
          <w:color w:val="444444"/>
          <w:sz w:val="18"/>
        </w:rPr>
        <w:t>Evidence considered: DOC-009 (Key Personnel CV — Sarah Mitchell, Project Director)</w:t>
      </w:r>
    </w:p>
    <w:p>
      <w:r>
        <w:rPr>
          <w:color w:val="444444"/>
          <w:sz w:val="18"/>
        </w:rPr>
        <w:t>Decision: GAP (scorer confidence 0.10)</w:t>
      </w:r>
    </w:p>
    <w:p>
      <w:r>
        <w:rPr>
          <w:color w:val="CC0000"/>
          <w:sz w:val="18"/>
        </w:rPr>
        <w:t>ACTION REQUIRED: Provide a policy or contract excerpt demonstrating that substitution of key personnel requires the Agency's prior written approval.</w:t>
      </w:r>
    </w:p>
    <w:p>
      <w:r>
        <w:rPr>
          <w:b/>
          <w:color w:val="1E7A1E"/>
        </w:rPr>
        <w:t>REQ-022 (high priority, team) — COVERED</w:t>
      </w:r>
    </w:p>
    <w:p>
      <w:r>
        <w:rPr>
          <w:color w:val="444444"/>
          <w:sz w:val="18"/>
        </w:rPr>
        <w:t>Requirement: The vendor must also name a lead cloud architect holding current Microsoft Azure architecture certification.</w:t>
      </w:r>
    </w:p>
    <w:p>
      <w:r>
        <w:rPr>
          <w:color w:val="444444"/>
          <w:sz w:val="18"/>
        </w:rPr>
        <w:t>Evidence considered: DOC-014 (Key Personnel CV — James Liu, Lead Cloud Architect); DOC-009 (Key Personnel CV — Sarah Mitchell, Project Director); DOC-013 (Client Reference Register — Government Engagements)</w:t>
      </w:r>
    </w:p>
    <w:p>
      <w:r>
        <w:rPr>
          <w:color w:val="444444"/>
          <w:sz w:val="18"/>
        </w:rPr>
        <w:t>Decision: COVERED (scorer confidence 0.95); citations verified: DOC-014</w:t>
      </w:r>
    </w:p>
    <w:p>
      <w:r>
        <w:rPr>
          <w:b/>
          <w:color w:val="CC0000"/>
        </w:rPr>
        <w:t>REQ-023 (low priority, team) — GAP</w:t>
      </w:r>
    </w:p>
    <w:p>
      <w:r>
        <w:rPr>
          <w:color w:val="444444"/>
          <w:sz w:val="18"/>
        </w:rPr>
        <w:t>Requirement: The vendor must operate a monthly steering committee with Agency executives and provide fortnightly written progress reports covering schedule, risk, and financial status.</w:t>
      </w:r>
    </w:p>
    <w:p>
      <w:r>
        <w:rPr>
          <w:color w:val="444444"/>
          <w:sz w:val="18"/>
        </w:rPr>
        <w:t>Evidence considered: DOC-009 (Key Personnel CV — Sarah Mitchell, Project Director)</w:t>
      </w:r>
    </w:p>
    <w:p>
      <w:r>
        <w:rPr>
          <w:color w:val="444444"/>
          <w:sz w:val="18"/>
        </w:rPr>
        <w:t>Decision: GAP (scorer confidence 0.10)</w:t>
      </w:r>
    </w:p>
    <w:p>
      <w:r>
        <w:rPr>
          <w:color w:val="CC0000"/>
          <w:sz w:val="18"/>
        </w:rPr>
        <w:t>ACTION REQUIRED: Provide meeting schedules, minutes, or reporting templates demonstrating operation of a monthly steering committee and provision of fortnightly progress reports.</w:t>
      </w:r>
    </w:p>
    <w:p>
      <w:r>
        <w:rPr>
          <w:b/>
          <w:color w:val="B36B00"/>
        </w:rPr>
        <w:t>REQ-024 (high priority, legal) — PARTIAL</w:t>
      </w:r>
    </w:p>
    <w:p>
      <w:r>
        <w:rPr>
          <w:color w:val="444444"/>
          <w:sz w:val="18"/>
        </w:rPr>
        <w:t>Requirement: The vendor must comply with the Privacy Act 1988 (Cth), the Australian Privacy Principles, and the Notifiable Data Breaches scheme.</w:t>
      </w:r>
    </w:p>
    <w:p>
      <w:r>
        <w:rPr>
          <w:color w:val="444444"/>
          <w:sz w:val="18"/>
        </w:rPr>
        <w:t>Evidence considered: DOC-011 (Privacy Act 1988 Compliance Statement and Breach Notification Procedure); DOC-004 (ISO/IEC 27001:2022 Certification Summary); DOC-006 (Data Residency and Sovereignty Policy)</w:t>
      </w:r>
    </w:p>
    <w:p>
      <w:r>
        <w:rPr>
          <w:color w:val="444444"/>
          <w:sz w:val="18"/>
        </w:rPr>
        <w:t>Decision: PARTIAL (scorer confidence 0.65); citations verified: DOC-011, DOC-006</w:t>
      </w:r>
    </w:p>
    <w:p>
      <w:r>
        <w:rPr>
          <w:color w:val="CC0000"/>
          <w:sz w:val="18"/>
        </w:rPr>
        <w:t>ACTION REQUIRED: Provide documentation or attestation specifically demonstrating compliance with the Notifiable Data Breaches scheme.</w:t>
      </w:r>
    </w:p>
    <w:p>
      <w:r>
        <w:rPr>
          <w:b/>
          <w:color w:val="CC0000"/>
        </w:rPr>
        <w:t>REQ-025 (high priority, legal) — GAP</w:t>
      </w:r>
    </w:p>
    <w:p>
      <w:r>
        <w:rPr>
          <w:color w:val="444444"/>
          <w:sz w:val="18"/>
        </w:rPr>
        <w:t>Requirement: Any eligible or suspected data breach affecting Agency data must be notified to the Agency within 24 hours of discovery.</w:t>
      </w:r>
    </w:p>
    <w:p>
      <w:r>
        <w:rPr>
          <w:color w:val="444444"/>
          <w:sz w:val="18"/>
        </w:rPr>
        <w:t>Evidence considered: DOC-011 (Privacy Act 1988 Compliance Statement and Breach Notification Procedure); DOC-006 (Data Residency and Sovereignty Policy); DOC-010 (Managed Services Incident Response Runbook (Extract))</w:t>
      </w:r>
    </w:p>
    <w:p>
      <w:r>
        <w:rPr>
          <w:color w:val="444444"/>
          <w:sz w:val="18"/>
        </w:rPr>
        <w:t>Decision: GAP (scorer confidence 0.20)</w:t>
      </w:r>
    </w:p>
    <w:p>
      <w:r>
        <w:rPr>
          <w:color w:val="CC0000"/>
          <w:sz w:val="18"/>
        </w:rPr>
        <w:t>ACTION REQUIRED: Provide a documented breach notification procedure explicitly stating notification to the Agency within 24 hours of discovery.</w:t>
      </w:r>
    </w:p>
    <w:p>
      <w:r>
        <w:rPr>
          <w:b/>
          <w:color w:val="B36B00"/>
        </w:rPr>
        <w:t>REQ-026 (high priority, legal) — PARTIAL</w:t>
      </w:r>
    </w:p>
    <w:p>
      <w:r>
        <w:rPr>
          <w:color w:val="444444"/>
          <w:sz w:val="18"/>
        </w:rPr>
        <w:t>Requirement: Respondents must evidence their privacy management framework and tested breach response procedures.</w:t>
      </w:r>
    </w:p>
    <w:p>
      <w:r>
        <w:rPr>
          <w:color w:val="444444"/>
          <w:sz w:val="18"/>
        </w:rPr>
        <w:t>Evidence considered: DOC-011 (Privacy Act 1988 Compliance Statement and Breach Notification Procedure); DOC-006 (Data Residency and Sovereignty Policy); DOC-013 (Client Reference Register — Government Engagements)</w:t>
      </w:r>
    </w:p>
    <w:p>
      <w:r>
        <w:rPr>
          <w:color w:val="444444"/>
          <w:sz w:val="18"/>
        </w:rPr>
        <w:t>Decision: PARTIAL (scorer confidence 0.60); citations verified: DOC-011</w:t>
      </w:r>
    </w:p>
    <w:p>
      <w:r>
        <w:rPr>
          <w:color w:val="CC0000"/>
          <w:sz w:val="18"/>
        </w:rPr>
        <w:t>ACTION REQUIRED: Provide documentation or test reports demonstrating that breach response procedures have been tested in practice.</w:t>
      </w:r>
    </w:p>
    <w:p>
      <w:r>
        <w:rPr>
          <w:b/>
          <w:color w:val="CC0000"/>
        </w:rPr>
        <w:t>REQ-027 (medium priority, commercial) — GAP</w:t>
      </w:r>
    </w:p>
    <w:p>
      <w:r>
        <w:rPr>
          <w:color w:val="444444"/>
          <w:sz w:val="18"/>
        </w:rPr>
        <w:t>Requirement: Consistent with the Commonwealth Indigenous Procurement Policy, a minimum of 10% of the total contract value must be delivered through registered Indigenous businesses as subcontractors or suppliers.</w:t>
      </w:r>
    </w:p>
    <w:p>
      <w:r>
        <w:rPr>
          <w:color w:val="444444"/>
          <w:sz w:val="18"/>
        </w:rPr>
        <w:t>Evidence considered: DOC-008 (Commercial Terms Register — Milestone Payments and Invoicing History); DOC-003 (Case Study — FinanceDept Agency Core Systems Migration); DOC-001 (Case Study — HealthGov Australia Datacentre-to-Azure Migration)</w:t>
      </w:r>
    </w:p>
    <w:p>
      <w:r>
        <w:rPr>
          <w:color w:val="444444"/>
          <w:sz w:val="18"/>
        </w:rPr>
        <w:t>Decision: GAP (scorer confidence 0.10)</w:t>
      </w:r>
    </w:p>
    <w:p>
      <w:r>
        <w:rPr>
          <w:color w:val="CC0000"/>
          <w:sz w:val="18"/>
        </w:rPr>
        <w:t>ACTION REQUIRED: Provide contract schedules or supplier registers demonstrating use of registered Indigenous businesses as subcontractors or suppliers meeting the 10% value requirement.</w:t>
      </w:r>
    </w:p>
    <w:p>
      <w:r>
        <w:rPr>
          <w:b/>
          <w:color w:val="CC0000"/>
        </w:rPr>
        <w:t>REQ-028 (medium priority, commercial) — GAP</w:t>
      </w:r>
    </w:p>
    <w:p>
      <w:r>
        <w:rPr>
          <w:color w:val="444444"/>
          <w:sz w:val="18"/>
        </w:rPr>
        <w:t>Requirement: Respondents must identify the Indigenous businesses they propose to engage, the scope each will deliver, and any existing partnership history.</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Respondents must identify the Indigenous businesses they propose to engage, the scope each will deliver, and any existin...</w:t>
      </w:r>
    </w:p>
    <w:p>
      <w:r>
        <w:rPr>
          <w:b/>
          <w:color w:val="CC0000"/>
        </w:rPr>
        <w:t>REQ-029 (medium priority, technical) — GAP</w:t>
      </w:r>
    </w:p>
    <w:p>
      <w:r>
        <w:rPr>
          <w:color w:val="444444"/>
          <w:sz w:val="18"/>
        </w:rPr>
        <w:t xml:space="preserve">Requirement: The vendor must provide a quantum-safe cryptography transition plan describing how platform cryptography (data in transit, data at rest, and key management) will migrate to post-quantum algorithms by </w:t>
      </w:r>
    </w:p>
    <w:p>
      <w:r>
        <w:rPr>
          <w:color w:val="444444"/>
          <w:sz w:val="18"/>
        </w:rPr>
        <w:t>Evidence considered: DOC-013 (Client Reference Register — Government Engagements); DOC-002 (Case Study — StateGov Authority Cloud Transition Program)</w:t>
      </w:r>
    </w:p>
    <w:p>
      <w:r>
        <w:rPr>
          <w:color w:val="444444"/>
          <w:sz w:val="18"/>
        </w:rPr>
        <w:t>Decision: GAP (scorer confidence 0.10)</w:t>
      </w:r>
    </w:p>
    <w:p>
      <w:r>
        <w:rPr>
          <w:color w:val="CC0000"/>
          <w:sz w:val="18"/>
        </w:rPr>
        <w:t>ACTION REQUIRED: Provide a documented quantum-safe cryptography transition plan detailing migration to post-quantum algorithms and interim crypto-agility measures.</w:t>
      </w:r>
    </w:p>
    <w:p>
      <w:r>
        <w:rPr>
          <w:b/>
          <w:color w:val="CC0000"/>
        </w:rPr>
        <w:t>REQ-030 (low priority, other) — GAP</w:t>
      </w:r>
    </w:p>
    <w:p>
      <w:r>
        <w:rPr>
          <w:color w:val="444444"/>
          <w:sz w:val="18"/>
        </w:rPr>
        <w:t>Requirement: Quarterly reporting of the carbon footprint attributable to the Agency's Azure consumption, with year-on-year reduction targets.</w:t>
      </w:r>
    </w:p>
    <w:p>
      <w:r>
        <w:rPr>
          <w:color w:val="444444"/>
          <w:sz w:val="18"/>
        </w:rPr>
        <w:t>Evidence considered: DOC-001 (Case Study — HealthGov Australia Datacentre-to-Azure Migration); DOC-007 (Executed SOW Extract — Fixed-Price Multi-Year Schedule (ClientCo)); DOC-002 (Case Study — StateGov Authority Cloud Transition Program)</w:t>
      </w:r>
    </w:p>
    <w:p>
      <w:r>
        <w:rPr>
          <w:color w:val="444444"/>
          <w:sz w:val="18"/>
        </w:rPr>
        <w:t>Decision: GAP (scorer confidence 0.00)</w:t>
      </w:r>
    </w:p>
    <w:p>
      <w:r>
        <w:rPr>
          <w:color w:val="CC0000"/>
          <w:sz w:val="18"/>
        </w:rPr>
        <w:t>ACTION REQUIRED: Provide documentation or reports demonstrating quarterly carbon footprint reporting and year-on-year reduction targets for Azure consumption.</w:t>
      </w:r>
    </w:p>
    <w:p>
      <w:r>
        <w:rPr>
          <w:b/>
          <w:color w:val="CC0000"/>
        </w:rPr>
        <w:t>REQ-031 (low priority, commercial) — GAP</w:t>
      </w:r>
    </w:p>
    <w:p>
      <w:r>
        <w:rPr>
          <w:color w:val="444444"/>
          <w:sz w:val="18"/>
        </w:rPr>
        <w:t>Requirement: An ongoing FinOps practice with quarterly optimisation reviews and a shared-savings mechanism for realised cost reductions.</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An ongoing FinOps practice with quarterly optimisation reviews and a shared-savings mechanism for realised cost reductio...</w:t>
      </w:r>
    </w:p>
    <w:p>
      <w:r>
        <w:rPr>
          <w:b/>
          <w:color w:val="CC0000"/>
        </w:rPr>
        <w:t>REQ-032 (high priority, technical) — GAP</w:t>
      </w:r>
    </w:p>
    <w:p>
      <w:r>
        <w:rPr>
          <w:color w:val="444444"/>
          <w:sz w:val="18"/>
        </w:rPr>
        <w:t>Requirement: Proposals that fail to address any mandatory requirement will be excluded from further evaluation.</w:t>
      </w:r>
    </w:p>
    <w:p>
      <w:r>
        <w:rPr>
          <w:color w:val="444444"/>
          <w:sz w:val="18"/>
        </w:rPr>
        <w:t>Evidence considered: DOC-012 (Winning Proposal Excerpt — GovCloud Services Panel 2025 (Technical Approach)); DOC-007 (Executed SOW Extract — Fixed-Price Multi-Year Schedule (ClientCo)); DOC-006 (Data Residency and Sovereignty Policy)</w:t>
      </w:r>
    </w:p>
    <w:p>
      <w:r>
        <w:rPr>
          <w:color w:val="444444"/>
          <w:sz w:val="18"/>
        </w:rPr>
        <w:t>Decision: GAP (scorer confidence 0.10)</w:t>
      </w:r>
    </w:p>
    <w:p>
      <w:r>
        <w:rPr>
          <w:color w:val="CC0000"/>
          <w:sz w:val="18"/>
        </w:rPr>
        <w:t>ACTION REQUIRED: Provide a compliance matrix or checklist explicitly mapping each mandatory requirement to supporting evidence.</w:t>
      </w:r>
    </w:p>
    <w:p>
      <w:r>
        <w:rPr>
          <w:b/>
          <w:color w:val="1E7A1E"/>
        </w:rPr>
        <w:t>REQ-033 (high priority, technical) — COVERED</w:t>
      </w:r>
    </w:p>
    <w:p>
      <w:r>
        <w:rPr>
          <w:color w:val="444444"/>
          <w:sz w:val="18"/>
        </w:rPr>
        <w:t>Requirement: Technical capability and migration approach will be weighted at 40% in the evaluation of proposals.</w:t>
      </w:r>
    </w:p>
    <w:p>
      <w:r>
        <w:rPr>
          <w:color w:val="444444"/>
          <w:sz w:val="18"/>
        </w:rPr>
        <w:t>Evidence considered: DOC-012 (Winning Proposal Excerpt — GovCloud Services Panel 2025 (Technical Approach)); DOC-003 (Case Study — FinanceDept Agency Core Systems Migration); DOC-001 (Case Study — HealthGov Australia Datacentre-to-Azure Migration)</w:t>
      </w:r>
    </w:p>
    <w:p>
      <w:r>
        <w:rPr>
          <w:color w:val="444444"/>
          <w:sz w:val="18"/>
        </w:rPr>
        <w:t>Decision: COVERED (scorer confidence 0.85); citations verified: DOC-012, DOC-003, DOC-001</w:t>
      </w:r>
    </w:p>
    <w:p>
      <w:r>
        <w:rPr>
          <w:b/>
          <w:color w:val="CC0000"/>
        </w:rPr>
        <w:t>REQ-034 (high priority, commercial) — GAP</w:t>
      </w:r>
    </w:p>
    <w:p>
      <w:r>
        <w:rPr>
          <w:color w:val="444444"/>
          <w:sz w:val="18"/>
        </w:rPr>
        <w:t>Requirement: Price and commercial terms will be weighted at 30% in the evaluation of proposals.</w:t>
      </w:r>
    </w:p>
    <w:p>
      <w:r>
        <w:rPr>
          <w:color w:val="444444"/>
          <w:sz w:val="18"/>
        </w:rPr>
        <w:t>Evidence considered: DOC-007 (Executed SOW Extract — Fixed-Price Multi-Year Schedule (ClientCo)); DOC-001 (Case Study — HealthGov Australia Datacentre-to-Azure Migration); DOC-003 (Case Study — FinanceDept Agency Core Systems Migration)</w:t>
      </w:r>
    </w:p>
    <w:p>
      <w:r>
        <w:rPr>
          <w:color w:val="444444"/>
          <w:sz w:val="18"/>
        </w:rPr>
        <w:t>Decision: GAP (scorer confidence 0.20)</w:t>
      </w:r>
    </w:p>
    <w:p>
      <w:r>
        <w:rPr>
          <w:color w:val="CC0000"/>
          <w:sz w:val="18"/>
        </w:rPr>
        <w:t>ACTION REQUIRED: Provide documentation explicitly addressing how price and commercial terms are proposed and evaluated in response to RFPs.</w:t>
      </w:r>
    </w:p>
    <w:p>
      <w:r>
        <w:rPr>
          <w:b/>
          <w:color w:val="B36B00"/>
        </w:rPr>
        <w:t>REQ-035 (high priority, team) — PARTIAL</w:t>
      </w:r>
    </w:p>
    <w:p>
      <w:r>
        <w:rPr>
          <w:color w:val="444444"/>
          <w:sz w:val="18"/>
        </w:rPr>
        <w:t>Requirement: Team experience and governance will be weighted at 20% in the evaluation of proposals.</w:t>
      </w:r>
    </w:p>
    <w:p>
      <w:r>
        <w:rPr>
          <w:color w:val="444444"/>
          <w:sz w:val="18"/>
        </w:rPr>
        <w:t>Evidence considered: DOC-009 (Key Personnel CV — Sarah Mitchell, Project Director); DOC-003 (Case Study — FinanceDept Agency Core Systems Migration)</w:t>
      </w:r>
    </w:p>
    <w:p>
      <w:r>
        <w:rPr>
          <w:color w:val="444444"/>
          <w:sz w:val="18"/>
        </w:rPr>
        <w:t>Decision: PARTIAL (scorer confidence 0.60); citations verified: DOC-009, DOC-003</w:t>
      </w:r>
    </w:p>
    <w:p>
      <w:r>
        <w:rPr>
          <w:color w:val="CC0000"/>
          <w:sz w:val="18"/>
        </w:rPr>
        <w:t>ACTION REQUIRED: Provide documentation detailing the team's governance framework and collective experience, not just individual CVs or project summaries.</w:t>
      </w:r>
    </w:p>
    <w:p>
      <w:r>
        <w:rPr>
          <w:b/>
          <w:color w:val="CC0000"/>
        </w:rPr>
        <w:t>REQ-036 (high priority, legal) — GAP</w:t>
      </w:r>
    </w:p>
    <w:p>
      <w:r>
        <w:rPr>
          <w:color w:val="444444"/>
          <w:sz w:val="18"/>
        </w:rPr>
        <w:t>Requirement: Risk management and compliance will be weighted at 10% in the evaluation of proposals.</w:t>
      </w:r>
    </w:p>
    <w:p>
      <w:r>
        <w:rPr>
          <w:color w:val="444444"/>
          <w:sz w:val="18"/>
        </w:rPr>
        <w:t>Evidence considered: DOC-004 (ISO/IEC 27001:2022 Certification Summary); DOC-002 (Case Study — StateGov Authority Cloud Transition Program)</w:t>
      </w:r>
    </w:p>
    <w:p>
      <w:r>
        <w:rPr>
          <w:color w:val="444444"/>
          <w:sz w:val="18"/>
        </w:rPr>
        <w:t>Decision: GAP (scorer confidence 0.20)</w:t>
      </w:r>
    </w:p>
    <w:p>
      <w:r>
        <w:rPr>
          <w:color w:val="CC0000"/>
          <w:sz w:val="18"/>
        </w:rPr>
        <w:t>ACTION REQUIRED: Provide a risk management framework or compliance program documentation demonstrating the company's approach to risk management and compliance.</w:t>
      </w:r>
    </w:p>
    <w:p>
      <w:r>
        <w:rPr>
          <w:b/>
          <w:color w:val="CC0000"/>
        </w:rPr>
        <w:t>REQ-037 (high priority, other) — GAP</w:t>
      </w:r>
    </w:p>
    <w:p>
      <w:r>
        <w:rPr>
          <w:color w:val="444444"/>
          <w:sz w:val="18"/>
        </w:rPr>
        <w:t>Requirement: Proposals scoring below 60% overall will not proceed to the negotiation stage.</w:t>
      </w:r>
    </w:p>
    <w:p>
      <w:r>
        <w:rPr>
          <w:color w:val="444444"/>
          <w:sz w:val="18"/>
        </w:rPr>
        <w:t>Evidence considered: DOC-007 (Executed SOW Extract — Fixed-Price Multi-Year Schedule (ClientCo))</w:t>
      </w:r>
    </w:p>
    <w:p>
      <w:r>
        <w:rPr>
          <w:color w:val="444444"/>
          <w:sz w:val="18"/>
        </w:rPr>
        <w:t>Decision: GAP (scorer confidence 1.00)</w:t>
      </w:r>
    </w:p>
    <w:p>
      <w:r>
        <w:rPr>
          <w:color w:val="CC0000"/>
          <w:sz w:val="18"/>
        </w:rPr>
        <w:t>ACTION REQUIRED: Provide documentation or policy demonstrating the process for scoring proposals and the threshold for proceeding to negotiation.</w:t>
      </w:r>
    </w:p>
    <w:p>
      <w:r>
        <w:rPr>
          <w:b/>
          <w:color w:val="B36B00"/>
        </w:rPr>
        <w:t>REQ-038 (medium priority, references) — PARTIAL</w:t>
      </w:r>
    </w:p>
    <w:p>
      <w:r>
        <w:rPr>
          <w:color w:val="444444"/>
          <w:sz w:val="18"/>
        </w:rPr>
        <w:t>Requirement: The Agency may seek clarification, conduct reference checks, and require presentations from shortlisted respondents.</w:t>
      </w:r>
    </w:p>
    <w:p>
      <w:r>
        <w:rPr>
          <w:color w:val="444444"/>
          <w:sz w:val="18"/>
        </w:rPr>
        <w:t>Evidence considered: DOC-013 (Client Reference Register — Government Engagements); DOC-003 (Case Study — FinanceDept Agency Core Systems Migration)</w:t>
      </w:r>
    </w:p>
    <w:p>
      <w:r>
        <w:rPr>
          <w:color w:val="444444"/>
          <w:sz w:val="18"/>
        </w:rPr>
        <w:t>Decision: PARTIAL (scorer confidence 0.50); citations verified: DOC-013, DOC-003</w:t>
      </w:r>
    </w:p>
    <w:p>
      <w:r>
        <w:rPr>
          <w:color w:val="CC0000"/>
          <w:sz w:val="18"/>
        </w:rPr>
        <w:t>ACTION REQUIRED: Provide documentation or policy demonstrating the company's process for supporting agency clarification requests and delivering presentations to shortlisted respondents.</w:t>
      </w:r>
    </w:p>
    <w:p>
      <w:r>
        <w:rPr>
          <w:b/>
          <w:color w:val="CC0000"/>
        </w:rPr>
        <w:t>REQ-039 (high priority, timeline) — GAP</w:t>
      </w:r>
    </w:p>
    <w:p>
      <w:r>
        <w:rPr>
          <w:color w:val="444444"/>
          <w:sz w:val="18"/>
        </w:rPr>
        <w:t>Requirement: Proposals must be lodged via the AusTender portal no later than 17:00 AEST on 30 June 2026.</w:t>
      </w:r>
    </w:p>
    <w:p>
      <w:r>
        <w:rPr>
          <w:color w:val="444444"/>
          <w:sz w:val="18"/>
        </w:rPr>
        <w:t>Evidence considered: DOC-014 (Key Personnel CV — James Liu, Lead Cloud Architect); DOC-007 (Executed SOW Extract — Fixed-Price Multi-Year Schedule (ClientCo)); DOC-009 (Key Personnel CV — Sarah Mitchell, Project Director)</w:t>
      </w:r>
    </w:p>
    <w:p>
      <w:r>
        <w:rPr>
          <w:color w:val="444444"/>
          <w:sz w:val="18"/>
        </w:rPr>
        <w:t>Decision: GAP (scorer confidence 1.00)</w:t>
      </w:r>
    </w:p>
    <w:p>
      <w:r>
        <w:rPr>
          <w:color w:val="CC0000"/>
          <w:sz w:val="18"/>
        </w:rPr>
        <w:t>ACTION REQUIRED: Provide documentation or correspondence confirming intent or ability to lodge proposals via AusTender by the specified deadline.</w:t>
      </w:r>
    </w:p>
    <w:p>
      <w:r>
        <w:rPr>
          <w:b/>
          <w:color w:val="CC0000"/>
        </w:rPr>
        <w:t>REQ-040 (high priority, timeline) — GAP</w:t>
      </w:r>
    </w:p>
    <w:p>
      <w:r>
        <w:rPr>
          <w:color w:val="444444"/>
          <w:sz w:val="18"/>
        </w:rPr>
        <w:t>Requirement: Late submissions will not be accepted under any circumstances.</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Late submissions will not be accepted under any circumstances....</w:t>
      </w:r>
    </w:p>
    <w:p>
      <w:r>
        <w:rPr>
          <w:b/>
          <w:color w:val="CC0000"/>
        </w:rPr>
        <w:t>REQ-041 (medium priority, other) — GAP</w:t>
      </w:r>
    </w:p>
    <w:p>
      <w:r>
        <w:rPr>
          <w:color w:val="444444"/>
          <w:sz w:val="18"/>
        </w:rPr>
        <w:t>Requirement: Proposals must be submitted as a single PDF of no more than 60 pages, structured to address each requirement reference (MR-1 through MR-12, DR-1 and DR-2) in order.</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Proposals must be submitted as a single PDF of no more than 60 pages, structured to address each requirement reference (...</w:t>
      </w:r>
    </w:p>
    <w:p>
      <w:r>
        <w:rPr>
          <w:b/>
          <w:color w:val="CC0000"/>
        </w:rPr>
        <w:t>REQ-042 (low priority, other) — GAP</w:t>
      </w:r>
    </w:p>
    <w:p>
      <w:r>
        <w:rPr>
          <w:color w:val="444444"/>
          <w:sz w:val="18"/>
        </w:rPr>
        <w:t>Requirement: Questions must be lodged through the AusTender forum no later than 20 June 2026; answers will be published to all registered respondents.</w:t>
      </w:r>
    </w:p>
    <w:p>
      <w:r>
        <w:rPr>
          <w:color w:val="444444"/>
          <w:sz w:val="18"/>
        </w:rPr>
        <w:t>Evidence considered: DOC-005 (IRAP Assessment Summary — ISM PROTECTED Level); DOC-013 (Client Reference Register — Government Engagements)</w:t>
      </w:r>
    </w:p>
    <w:p>
      <w:r>
        <w:rPr>
          <w:color w:val="444444"/>
          <w:sz w:val="18"/>
        </w:rPr>
        <w:t>Decision: GAP (scorer confidence 0.00)</w:t>
      </w:r>
    </w:p>
    <w:p>
      <w:r>
        <w:rPr>
          <w:color w:val="CC0000"/>
          <w:sz w:val="18"/>
        </w:rPr>
        <w:t>ACTION REQUIRED: Provide correspondence or policy confirming questions are lodged via AusTender forum by the specified deadline and answers are published to all respondents.</w:t>
      </w:r>
    </w:p>
    <w:p>
      <w:r>
        <w:rPr>
          <w:b/>
          <w:color w:val="CC0000"/>
        </w:rPr>
        <w:t>REQ-043 (low priority, commercial) — GAP</w:t>
      </w:r>
    </w:p>
    <w:p>
      <w:r>
        <w:rPr>
          <w:color w:val="444444"/>
          <w:sz w:val="18"/>
        </w:rPr>
        <w:t>Requirement: The Agency is not bound to accept the lowest-priced or any proposal.</w:t>
      </w:r>
    </w:p>
    <w:p>
      <w:r>
        <w:rPr>
          <w:color w:val="444444"/>
          <w:sz w:val="18"/>
        </w:rPr>
        <w:t>Evidence considered: DOC-003 (Case Study — FinanceDept Agency Core Systems Migration); DOC-007 (Executed SOW Extract — Fixed-Price Multi-Year Schedule (ClientCo)); DOC-001 (Case Study — HealthGov Australia Datacentre-to-Azure Migration)</w:t>
      </w:r>
    </w:p>
    <w:p>
      <w:r>
        <w:rPr>
          <w:color w:val="444444"/>
          <w:sz w:val="18"/>
        </w:rPr>
        <w:t>Decision: GAP (scorer confidence 0.00)</w:t>
      </w:r>
    </w:p>
    <w:p>
      <w:r>
        <w:rPr>
          <w:color w:val="CC0000"/>
          <w:sz w:val="18"/>
        </w:rPr>
        <w:t>ACTION REQUIRED: Provide a copy of the RFP terms or correspondence explicitly stating the Agency's right not to accept the lowest-priced or any proposal.</w:t>
      </w:r>
    </w:p>
    <w:p>
      <w:r>
        <w:rPr>
          <w:b/>
          <w:color w:val="CC0000"/>
        </w:rPr>
        <w:t>REQ-044 (low priority, other) — GAP</w:t>
      </w:r>
    </w:p>
    <w:p>
      <w:r>
        <w:rPr>
          <w:color w:val="444444"/>
          <w:sz w:val="18"/>
        </w:rPr>
        <w:t>Requirement: The Agency may discontinue this process at any time.</w:t>
      </w:r>
    </w:p>
    <w:p>
      <w:r>
        <w:rPr>
          <w:color w:val="444444"/>
          <w:sz w:val="18"/>
        </w:rPr>
        <w:t>Evidence considered: DOC-001 (Case Study — HealthGov Australia Datacentre-to-Azure Migration); DOC-003 (Case Study — FinanceDept Agency Core Systems Migration); DOC-002 (Case Study — StateGov Authority Cloud Transition Program)</w:t>
      </w:r>
    </w:p>
    <w:p>
      <w:r>
        <w:rPr>
          <w:color w:val="444444"/>
          <w:sz w:val="18"/>
        </w:rPr>
        <w:t>Decision: GAP (scorer confidence 1.00)</w:t>
      </w:r>
    </w:p>
    <w:p>
      <w:r>
        <w:rPr>
          <w:color w:val="CC0000"/>
          <w:sz w:val="18"/>
        </w:rPr>
        <w:t>ACTION REQUIRED: Provide documentation or policy acknowledging the Agency's right to discontinue the process at any time.</w:t>
      </w:r>
    </w:p>
    <w:p>
      <w:r>
        <w:rPr>
          <w:b/>
          <w:color w:val="CC0000"/>
        </w:rPr>
        <w:t>REQ-045 (low priority, commercial) — GAP</w:t>
      </w:r>
    </w:p>
    <w:p>
      <w:r>
        <w:rPr>
          <w:color w:val="444444"/>
          <w:sz w:val="18"/>
        </w:rPr>
        <w:t>Requirement: Respondents bear their own costs of participation.</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Respondents bear their own costs of participation....</w:t>
      </w:r>
    </w:p>
    <w:p>
      <w:r>
        <w:rPr>
          <w:b/>
          <w:color w:val="CC0000"/>
        </w:rPr>
        <w:t>REQ-046 (medium priority, commercial) — GAP</w:t>
      </w:r>
    </w:p>
    <w:p>
      <w:r>
        <w:rPr>
          <w:color w:val="444444"/>
          <w:sz w:val="18"/>
        </w:rPr>
        <w:t>Requirement: Proposals must remain valid for 120 days from the submission deadline.</w:t>
      </w:r>
    </w:p>
    <w:p>
      <w:r>
        <w:rPr>
          <w:color w:val="444444"/>
          <w:sz w:val="18"/>
        </w:rPr>
        <w:t>Evidence considered: DOC-001 (Case Study — HealthGov Australia Datacentre-to-Azure Migration); DOC-012 (Winning Proposal Excerpt — GovCloud Services Panel 2025 (Technical Approach)); DOC-004 (ISO/IEC 27001:2022 Certification Summary)</w:t>
      </w:r>
    </w:p>
    <w:p>
      <w:r>
        <w:rPr>
          <w:color w:val="444444"/>
          <w:sz w:val="18"/>
        </w:rPr>
        <w:t>Decision: GAP (scorer confidence 0.00)</w:t>
      </w:r>
    </w:p>
    <w:p>
      <w:r>
        <w:rPr>
          <w:color w:val="CC0000"/>
          <w:sz w:val="18"/>
        </w:rPr>
        <w:t>ACTION REQUIRED: Provide a proposal or contractual document explicitly stating proposal validity for at least 120 days from submission.</w:t>
      </w:r>
    </w:p>
    <w:p>
      <w:r>
        <w:rPr>
          <w:b/>
          <w:color w:val="CC0000"/>
        </w:rPr>
        <w:t>REQ-047 (high priority, legal) — GAP</w:t>
      </w:r>
    </w:p>
    <w:p>
      <w:r>
        <w:rPr>
          <w:color w:val="444444"/>
          <w:sz w:val="18"/>
        </w:rPr>
        <w:t>Requirement: The successful respondent will be required to enter into the Commonwealth contract attached as Annex C, including provisions for liquidated damages, key personnel, and step-in rights.</w:t>
      </w:r>
    </w:p>
    <w:p>
      <w:r>
        <w:rPr>
          <w:color w:val="444444"/>
          <w:sz w:val="18"/>
        </w:rPr>
        <w:t>Evidence considered: DOC-008 (Commercial Terms Register — Milestone Payments and Invoicing History); DOC-003 (Case Study — FinanceDept Agency Core Systems Migration); DOC-013 (Client Reference Register — Government Engagements)</w:t>
      </w:r>
    </w:p>
    <w:p>
      <w:r>
        <w:rPr>
          <w:color w:val="444444"/>
          <w:sz w:val="18"/>
        </w:rPr>
        <w:t>Decision: GAP (scorer confidence 0.20)</w:t>
      </w:r>
    </w:p>
    <w:p>
      <w:r>
        <w:rPr>
          <w:color w:val="CC0000"/>
          <w:sz w:val="18"/>
        </w:rPr>
        <w:t>ACTION REQUIRED: Provide executed contract excerpts or legal correspondence demonstrating acceptance of Commonwealth contract terms, including liquidated damages, key personnel, and step-in rights.</w:t>
      </w:r>
    </w:p>
    <w:p>
      <w:r>
        <w:rPr>
          <w:b/>
          <w:color w:val="B36B00"/>
        </w:rPr>
        <w:t>REQ-048 (medium priority, technical) — PARTIAL</w:t>
      </w:r>
    </w:p>
    <w:p>
      <w:r>
        <w:rPr>
          <w:color w:val="444444"/>
          <w:sz w:val="18"/>
        </w:rPr>
        <w:t>Requirement: The vendor must assess and potentially migrate approximately 580 virtual machines, including 430 Windows Server 2012 R2/2016, 95 Windows Server 2019, and 55 RHEL 8 instances.</w:t>
      </w:r>
    </w:p>
    <w:p>
      <w:r>
        <w:rPr>
          <w:color w:val="444444"/>
          <w:sz w:val="18"/>
        </w:rPr>
        <w:t>Evidence considered: DOC-002 (Case Study — StateGov Authority Cloud Transition Program); DOC-001 (Case Study — HealthGov Australia Datacentre-to-Azure Migration); DOC-003 (Case Study — FinanceDept Agency Core Systems Migration)</w:t>
      </w:r>
    </w:p>
    <w:p>
      <w:r>
        <w:rPr>
          <w:color w:val="444444"/>
          <w:sz w:val="18"/>
        </w:rPr>
        <w:t>Decision: PARTIAL (scorer confidence 0.65); citations verified: DOC-002, DOC-001, DOC-003</w:t>
      </w:r>
    </w:p>
    <w:p>
      <w:r>
        <w:rPr>
          <w:color w:val="CC0000"/>
          <w:sz w:val="18"/>
        </w:rPr>
        <w:t>ACTION REQUIRED: Provide documentation specifying migration experience with Windows Server 2012 R2/2016, Windows Server 2019, and RHEL 8 instances at the required scale.</w:t>
      </w:r>
    </w:p>
    <w:p>
      <w:r>
        <w:rPr>
          <w:b/>
          <w:color w:val="B36B00"/>
        </w:rPr>
        <w:t>REQ-049 (medium priority, technical) — PARTIAL</w:t>
      </w:r>
    </w:p>
    <w:p>
      <w:r>
        <w:rPr>
          <w:color w:val="444444"/>
          <w:sz w:val="18"/>
        </w:rPr>
        <w:t>Requirement: The vendor must manage the migration or modernisation of 36 SQL Server instances (2014-2019) totaling 48 TB of data.</w:t>
      </w:r>
    </w:p>
    <w:p>
      <w:r>
        <w:rPr>
          <w:color w:val="444444"/>
          <w:sz w:val="18"/>
        </w:rPr>
        <w:t>Evidence considered: DOC-012 (Winning Proposal Excerpt — GovCloud Services Panel 2025 (Technical Approach)); DOC-001 (Case Study — HealthGov Australia Datacentre-to-Azure Migration); DOC-003 (Case Study — FinanceDept Agency Core Systems Migration)</w:t>
      </w:r>
    </w:p>
    <w:p>
      <w:r>
        <w:rPr>
          <w:color w:val="444444"/>
          <w:sz w:val="18"/>
        </w:rPr>
        <w:t>Decision: PARTIAL (scorer confidence 0.50); citations verified: DOC-012, DOC-001, DOC-003</w:t>
      </w:r>
    </w:p>
    <w:p>
      <w:r>
        <w:rPr>
          <w:color w:val="CC0000"/>
          <w:sz w:val="18"/>
        </w:rPr>
        <w:t>ACTION REQUIRED: Provide a case study or reference explicitly demonstrating migration or modernisation of at least 36 SQL Server instances (2014-2019) totaling 48 TB of data.</w:t>
      </w:r>
    </w:p>
    <w:p>
      <w:r>
        <w:rPr>
          <w:b/>
          <w:color w:val="B36B00"/>
        </w:rPr>
        <w:t>REQ-050 (medium priority, technical) — PARTIAL</w:t>
      </w:r>
    </w:p>
    <w:p>
      <w:r>
        <w:rPr>
          <w:color w:val="444444"/>
          <w:sz w:val="18"/>
        </w:rPr>
        <w:t>Requirement: The vendor must handle the migration of approximately 410 TB of storage across SAN and NAS tiers.</w:t>
      </w:r>
    </w:p>
    <w:p>
      <w:r>
        <w:rPr>
          <w:color w:val="444444"/>
          <w:sz w:val="18"/>
        </w:rPr>
        <w:t>Evidence considered: DOC-002 (Case Study — StateGov Authority Cloud Transition Program); DOC-001 (Case Study — HealthGov Australia Datacentre-to-Azure Migration); DOC-004 (ISO/IEC 27001:2022 Certification Summary)</w:t>
      </w:r>
    </w:p>
    <w:p>
      <w:r>
        <w:rPr>
          <w:color w:val="444444"/>
          <w:sz w:val="18"/>
        </w:rPr>
        <w:t>Decision: PARTIAL (scorer confidence 0.50); citations verified: DOC-001, DOC-002</w:t>
      </w:r>
    </w:p>
    <w:p>
      <w:r>
        <w:rPr>
          <w:color w:val="CC0000"/>
          <w:sz w:val="18"/>
        </w:rPr>
        <w:t>ACTION REQUIRED: Provide case studies or migration summaries specifying experience with migrating at least 410 TB of SAN and NAS storage.</w:t>
      </w:r>
    </w:p>
    <w:p>
      <w:r>
        <w:rPr>
          <w:b/>
          <w:color w:val="CC0000"/>
        </w:rPr>
        <w:t>REQ-051 (medium priority, technical) — GAP</w:t>
      </w:r>
    </w:p>
    <w:p>
      <w:r>
        <w:rPr>
          <w:color w:val="444444"/>
          <w:sz w:val="18"/>
        </w:rPr>
        <w:t>Requirement: The vendor must accommodate a network environment with dual 10 Gbps links between datacentres, noting that ExpressRoute is not yet provisioned.</w:t>
      </w:r>
    </w:p>
    <w:p>
      <w:r>
        <w:rPr>
          <w:color w:val="444444"/>
          <w:sz w:val="18"/>
        </w:rPr>
        <w:t>Evidence considered: DOC-013 (Client Reference Register — Government Engagements)</w:t>
      </w:r>
    </w:p>
    <w:p>
      <w:r>
        <w:rPr>
          <w:color w:val="444444"/>
          <w:sz w:val="18"/>
        </w:rPr>
        <w:t>Decision: GAP (scorer confidence 0.10)</w:t>
      </w:r>
    </w:p>
    <w:p>
      <w:r>
        <w:rPr>
          <w:color w:val="CC0000"/>
          <w:sz w:val="18"/>
        </w:rPr>
        <w:t>ACTION REQUIRED: Provide documentation or case studies demonstrating experience accommodating dual 10 Gbps links between datacentres without ExpressRoute.</w:t>
      </w:r>
    </w:p>
    <w:p>
      <w:r>
        <w:rPr>
          <w:b/>
          <w:color w:val="CC0000"/>
        </w:rPr>
        <w:t>REQ-052 (medium priority, technical) — GAP</w:t>
      </w:r>
    </w:p>
    <w:p>
      <w:r>
        <w:rPr>
          <w:color w:val="444444"/>
          <w:sz w:val="18"/>
        </w:rPr>
        <w:t>Requirement: The vendor must integrate with an identity environment using Active Directory (2016 functional level) and Entra ID Connect synchronisation.</w:t>
      </w:r>
    </w:p>
    <w:p>
      <w:r>
        <w:rPr>
          <w:color w:val="444444"/>
          <w:sz w:val="18"/>
        </w:rPr>
        <w:t>Evidence considered: DOC-002 (Case Study — StateGov Authority Cloud Transition Program)</w:t>
      </w:r>
    </w:p>
    <w:p>
      <w:r>
        <w:rPr>
          <w:color w:val="444444"/>
          <w:sz w:val="18"/>
        </w:rPr>
        <w:t>Decision: GAP (scorer confidence 0.10)</w:t>
      </w:r>
    </w:p>
    <w:p>
      <w:r>
        <w:rPr>
          <w:color w:val="CC0000"/>
          <w:sz w:val="18"/>
        </w:rPr>
        <w:t>ACTION REQUIRED: Provide documentation or case studies demonstrating integration with Active Directory (2016 functional level) and Entra ID Connect synchronisation.</w:t>
      </w:r>
    </w:p>
    <w:p>
      <w:r>
        <w:rPr>
          <w:b/>
          <w:color w:val="CC0000"/>
        </w:rPr>
        <w:t>REQ-053 (medium priority, technical) — GAP</w:t>
      </w:r>
    </w:p>
    <w:p>
      <w:r>
        <w:rPr>
          <w:color w:val="444444"/>
          <w:sz w:val="18"/>
        </w:rPr>
        <w:t>Requirement: The vendor must ensure backup processes are maintained, including nightly full backups to disk with 35-day retention and quarterly archive to tape.</w:t>
      </w:r>
    </w:p>
    <w:p>
      <w:r>
        <w:rPr>
          <w:color w:val="444444"/>
          <w:sz w:val="18"/>
        </w:rPr>
        <w:t>Evidence considered: DOC-002 (Case Study — StateGov Authority Cloud Transition Program); DOC-006 (Data Residency and Sovereignty Policy); DOC-003 (Case Study — FinanceDept Agency Core Systems Migration)</w:t>
      </w:r>
    </w:p>
    <w:p>
      <w:r>
        <w:rPr>
          <w:color w:val="444444"/>
          <w:sz w:val="18"/>
        </w:rPr>
        <w:t>Decision: GAP (scorer confidence 0.10)</w:t>
      </w:r>
    </w:p>
    <w:p>
      <w:r>
        <w:rPr>
          <w:color w:val="CC0000"/>
          <w:sz w:val="18"/>
        </w:rPr>
        <w:t>ACTION REQUIRED: Provide backup policy documentation or operational evidence demonstrating nightly full disk backups with 35-day retention and quarterly tape archiving.</w:t>
      </w:r>
    </w:p>
    <w:p>
      <w:r>
        <w:rPr>
          <w:b/>
          <w:color w:val="B36B00"/>
        </w:rPr>
        <w:t>REQ-054 (high priority, technical) — PARTIAL</w:t>
      </w:r>
    </w:p>
    <w:p>
      <w:r>
        <w:rPr>
          <w:color w:val="444444"/>
          <w:sz w:val="18"/>
        </w:rPr>
        <w:t>Requirement: For Tier-1 workloads (24 applications), the vendor must ensure 99.95% availability and limit cutover windows to a maximum of four hours.</w:t>
      </w:r>
    </w:p>
    <w:p>
      <w:r>
        <w:rPr>
          <w:color w:val="444444"/>
          <w:sz w:val="18"/>
        </w:rPr>
        <w:t>Evidence considered: DOC-010 (Managed Services Incident Response Runbook (Extract)); DOC-003 (Case Study — FinanceDept Agency Core Systems Migration); DOC-001 (Case Study — HealthGov Australia Datacentre-to-Azure Migration)</w:t>
      </w:r>
    </w:p>
    <w:p>
      <w:r>
        <w:rPr>
          <w:color w:val="444444"/>
          <w:sz w:val="18"/>
        </w:rPr>
        <w:t>Decision: PARTIAL (scorer confidence 0.60); citations verified: DOC-010</w:t>
      </w:r>
    </w:p>
    <w:p>
      <w:r>
        <w:rPr>
          <w:color w:val="CC0000"/>
          <w:sz w:val="18"/>
        </w:rPr>
        <w:t>ACTION REQUIRED: Provide documentation or case studies demonstrating that cutover windows for Tier-1 workloads were limited to a maximum of four hours.</w:t>
      </w:r>
    </w:p>
    <w:p>
      <w:r>
        <w:rPr>
          <w:b/>
          <w:color w:val="B36B00"/>
        </w:rPr>
        <w:t>REQ-055 (medium priority, technical) — PARTIAL</w:t>
      </w:r>
    </w:p>
    <w:p>
      <w:r>
        <w:rPr>
          <w:color w:val="444444"/>
          <w:sz w:val="18"/>
        </w:rPr>
        <w:t>Requirement: The vendor must support the migration or modernisation of Tier-2 workloads, which include 61 internal corporate and case-management applications.</w:t>
      </w:r>
    </w:p>
    <w:p>
      <w:r>
        <w:rPr>
          <w:color w:val="444444"/>
          <w:sz w:val="18"/>
        </w:rPr>
        <w:t>Evidence considered: DOC-012 (Winning Proposal Excerpt — GovCloud Services Panel 2025 (Technical Approach)); DOC-001 (Case Study — HealthGov Australia Datacentre-to-Azure Migration); DOC-013 (Client Reference Register — Government Engagements)</w:t>
      </w:r>
    </w:p>
    <w:p>
      <w:r>
        <w:rPr>
          <w:color w:val="444444"/>
          <w:sz w:val="18"/>
        </w:rPr>
        <w:t>Decision: PARTIAL (scorer confidence 0.60); citations verified: DOC-012, DOC-001</w:t>
      </w:r>
    </w:p>
    <w:p>
      <w:r>
        <w:rPr>
          <w:color w:val="CC0000"/>
          <w:sz w:val="18"/>
        </w:rPr>
        <w:t>ACTION REQUIRED: Provide evidence specifically demonstrating migration or modernisation of Tier-2 workloads, including internal corporate and case-management applications.</w:t>
      </w:r>
    </w:p>
    <w:p>
      <w:r>
        <w:rPr>
          <w:b/>
          <w:color w:val="B36B00"/>
        </w:rPr>
        <w:t>REQ-056 (medium priority, technical) — PARTIAL</w:t>
      </w:r>
    </w:p>
    <w:p>
      <w:r>
        <w:rPr>
          <w:color w:val="444444"/>
          <w:sz w:val="18"/>
        </w:rPr>
        <w:t>Requirement: The vendor must address Tier-3 workloads, including development, test, and archive workloads, as part of the migration or modernisation effort.</w:t>
      </w:r>
    </w:p>
    <w:p>
      <w:r>
        <w:rPr>
          <w:color w:val="444444"/>
          <w:sz w:val="18"/>
        </w:rPr>
        <w:t>Evidence considered: DOC-012 (Winning Proposal Excerpt — GovCloud Services Panel 2025 (Technical Approach)); DOC-001 (Case Study — HealthGov Australia Datacentre-to-Azure Migration); DOC-003 (Case Study — FinanceDept Agency Core Systems Migration)</w:t>
      </w:r>
    </w:p>
    <w:p>
      <w:r>
        <w:rPr>
          <w:color w:val="444444"/>
          <w:sz w:val="18"/>
        </w:rPr>
        <w:t>Decision: PARTIAL (scorer confidence 0.50); citations verified: DOC-012, DOC-001, DOC-003</w:t>
      </w:r>
    </w:p>
    <w:p>
      <w:r>
        <w:rPr>
          <w:color w:val="CC0000"/>
          <w:sz w:val="18"/>
        </w:rPr>
        <w:t>ACTION REQUIRED: Provide case studies or technical documentation explicitly demonstrating migration or modernisation of Tier-3 workloads such as development, test, and archive environments.</w:t>
      </w:r>
    </w:p>
    <w:p>
      <w:r>
        <w:rPr>
          <w:b/>
          <w:color w:val="CC0000"/>
        </w:rPr>
        <w:t>REQ-057 (medium priority, technical) — GAP</w:t>
      </w:r>
    </w:p>
    <w:p>
      <w:r>
        <w:rPr>
          <w:color w:val="444444"/>
          <w:sz w:val="18"/>
        </w:rPr>
        <w:t>Requirement: The vendor must assess and provide recommendations for containerisation or re-platforming of 8 nominated legacy applications during the engagement.</w:t>
      </w:r>
    </w:p>
    <w:p>
      <w:r>
        <w:rPr>
          <w:color w:val="444444"/>
          <w:sz w:val="18"/>
        </w:rPr>
        <w:t>Evidence considered: DOC-012 (Winning Proposal Excerpt — GovCloud Services Panel 2025 (Technical Approach)); DOC-001 (Case Study — HealthGov Australia Datacentre-to-Azure Migration); DOC-007 (Executed SOW Extract — Fixed-Price Multi-Year Schedule (ClientCo))</w:t>
      </w:r>
    </w:p>
    <w:p>
      <w:r>
        <w:rPr>
          <w:color w:val="444444"/>
          <w:sz w:val="18"/>
        </w:rPr>
        <w:t>Decision: GAP (scorer confidence 0.20)</w:t>
      </w:r>
    </w:p>
    <w:p>
      <w:r>
        <w:rPr>
          <w:color w:val="CC0000"/>
          <w:sz w:val="18"/>
        </w:rPr>
        <w:t>ACTION REQUIRED: Provide a case study or deliverable demonstrating assessment and recommendations for containerisation or re-platforming of at least 8 legacy applications.</w:t>
      </w:r>
    </w:p>
    <w:p>
      <w:r>
        <w:rPr>
          <w:b/>
          <w:color w:val="CC0000"/>
        </w:rPr>
        <w:t>REQ-058 (high priority, timeline) — GAP</w:t>
      </w:r>
    </w:p>
    <w:p>
      <w:r>
        <w:rPr>
          <w:color w:val="444444"/>
          <w:sz w:val="18"/>
        </w:rPr>
        <w:t>Requirement: The contract must be executed by August 2026.</w:t>
      </w:r>
    </w:p>
    <w:p>
      <w:r>
        <w:rPr>
          <w:color w:val="444444"/>
          <w:sz w:val="18"/>
        </w:rPr>
        <w:t>Evidence considered: DOC-009 (Key Personnel CV — Sarah Mitchell, Project Director); DOC-003 (Case Study — FinanceDept Agency Core Systems Migration); DOC-001 (Case Study — HealthGov Australia Datacentre-to-Azure Migration)</w:t>
      </w:r>
    </w:p>
    <w:p>
      <w:r>
        <w:rPr>
          <w:color w:val="444444"/>
          <w:sz w:val="18"/>
        </w:rPr>
        <w:t>Decision: GAP (scorer confidence 0.00)</w:t>
      </w:r>
    </w:p>
    <w:p>
      <w:r>
        <w:rPr>
          <w:color w:val="CC0000"/>
          <w:sz w:val="18"/>
        </w:rPr>
        <w:t>ACTION REQUIRED: Provide a signed project plan, contract, or commitment letter explicitly confirming execution by August 2026.</w:t>
      </w:r>
    </w:p>
    <w:p>
      <w:r>
        <w:rPr>
          <w:b/>
          <w:color w:val="CC0000"/>
        </w:rPr>
        <w:t>REQ-059 (medium priority, timeline) — GAP</w:t>
      </w:r>
    </w:p>
    <w:p>
      <w:r>
        <w:rPr>
          <w:color w:val="444444"/>
          <w:sz w:val="18"/>
        </w:rPr>
        <w:t>Requirement: Discovery and landing zone build must occur between August and November 2026.</w:t>
      </w:r>
    </w:p>
    <w:p>
      <w:r>
        <w:rPr>
          <w:color w:val="444444"/>
          <w:sz w:val="18"/>
        </w:rPr>
        <w:t>Evidence considered: DOC-001 (Case Study — HealthGov Australia Datacentre-to-Azure Migration); DOC-012 (Winning Proposal Excerpt — GovCloud Services Panel 2025 (Technical Approach)); DOC-014 (Key Personnel CV — James Liu, Lead Cloud Architect)</w:t>
      </w:r>
    </w:p>
    <w:p>
      <w:r>
        <w:rPr>
          <w:color w:val="444444"/>
          <w:sz w:val="18"/>
        </w:rPr>
        <w:t>Decision: GAP (scorer confidence 0.20)</w:t>
      </w:r>
    </w:p>
    <w:p>
      <w:r>
        <w:rPr>
          <w:color w:val="CC0000"/>
          <w:sz w:val="18"/>
        </w:rPr>
        <w:t>ACTION REQUIRED: Provide a project plan, schedule, or commitment letter demonstrating ability to execute discovery and landing zone build specifically between August and November 2026.</w:t>
      </w:r>
    </w:p>
    <w:p>
      <w:r>
        <w:rPr>
          <w:b/>
          <w:color w:val="CC0000"/>
        </w:rPr>
        <w:t>REQ-060 (medium priority, timeline) — GAP</w:t>
      </w:r>
    </w:p>
    <w:p>
      <w:r>
        <w:rPr>
          <w:color w:val="444444"/>
          <w:sz w:val="18"/>
        </w:rPr>
        <w:t>Requirement: Migration waves must take place from December 2026 to March 2027.</w:t>
      </w:r>
    </w:p>
    <w:p>
      <w:r>
        <w:rPr>
          <w:color w:val="444444"/>
          <w:sz w:val="18"/>
        </w:rPr>
        <w:t>Evidence considered: DOC-001 (Case Study — HealthGov Australia Datacentre-to-Azure Migration); DOC-008 (Commercial Terms Register — Milestone Payments and Invoicing History); DOC-002 (Case Study — StateGov Authority Cloud Transition Program)</w:t>
      </w:r>
    </w:p>
    <w:p>
      <w:r>
        <w:rPr>
          <w:color w:val="444444"/>
          <w:sz w:val="18"/>
        </w:rPr>
        <w:t>Decision: GAP (scorer confidence 0.10)</w:t>
      </w:r>
    </w:p>
    <w:p>
      <w:r>
        <w:rPr>
          <w:color w:val="CC0000"/>
          <w:sz w:val="18"/>
        </w:rPr>
        <w:t>ACTION REQUIRED: Provide project plans or case studies demonstrating migration waves scheduled specifically between December 2026 and March 2027.</w:t>
      </w:r>
    </w:p>
    <w:p>
      <w:r>
        <w:rPr>
          <w:b/>
          <w:color w:val="CC0000"/>
        </w:rPr>
        <w:t>REQ-061 (medium priority, timeline) — GAP</w:t>
      </w:r>
    </w:p>
    <w:p>
      <w:r>
        <w:rPr>
          <w:color w:val="444444"/>
          <w:sz w:val="18"/>
        </w:rPr>
        <w:t>Requirement: Modernisation assessments must commence from January 2027.</w:t>
      </w:r>
    </w:p>
    <w:p>
      <w:r>
        <w:rPr>
          <w:color w:val="444444"/>
          <w:sz w:val="18"/>
        </w:rPr>
        <w:t>Evidence considered: DOC-012 (Winning Proposal Excerpt — GovCloud Services Panel 2025 (Technical Approach)); DOC-013 (Client Reference Register — Government Engagements); DOC-004 (ISO/IEC 27001:2022 Certification Summary)</w:t>
      </w:r>
    </w:p>
    <w:p>
      <w:r>
        <w:rPr>
          <w:color w:val="444444"/>
          <w:sz w:val="18"/>
        </w:rPr>
        <w:t>Decision: GAP (scorer confidence 0.10)</w:t>
      </w:r>
    </w:p>
    <w:p>
      <w:r>
        <w:rPr>
          <w:color w:val="CC0000"/>
          <w:sz w:val="18"/>
        </w:rPr>
        <w:t>ACTION REQUIRED: Provide a project plan, schedule, or commitment letter explicitly confirming that modernisation assessments will commence from January 2027.</w:t>
      </w:r>
    </w:p>
    <w:p>
      <w:r>
        <w:rPr>
          <w:b/>
          <w:color w:val="CC0000"/>
        </w:rPr>
        <w:t>REQ-062 (high priority, timeline) — GAP</w:t>
      </w:r>
    </w:p>
    <w:p>
      <w:r>
        <w:rPr>
          <w:color w:val="444444"/>
          <w:sz w:val="18"/>
        </w:rPr>
        <w:t>Requirement: Datacentre decommissioning and lease exit must be completed by 30 June 2027.</w:t>
      </w:r>
    </w:p>
    <w:p>
      <w:r>
        <w:rPr>
          <w:color w:val="444444"/>
          <w:sz w:val="18"/>
        </w:rPr>
        <w:t>Evidence considered: DOC-001 (Case Study — HealthGov Australia Datacentre-to-Azure Migration); DOC-002 (Case Study — StateGov Authority Cloud Transition Program); DOC-008 (Commercial Terms Register — Milestone Payments and Invoicing History)</w:t>
      </w:r>
    </w:p>
    <w:p>
      <w:r>
        <w:rPr>
          <w:color w:val="444444"/>
          <w:sz w:val="18"/>
        </w:rPr>
        <w:t>Decision: GAP (scorer confidence 0.20)</w:t>
      </w:r>
    </w:p>
    <w:p>
      <w:r>
        <w:rPr>
          <w:color w:val="CC0000"/>
          <w:sz w:val="18"/>
        </w:rPr>
        <w:t>ACTION REQUIRED: Provide contract evidence or project documentation confirming datacentre decommissioning and lease exit completed by 30 June 2027.</w:t>
      </w:r>
    </w:p>
    <w:p>
      <w:r>
        <w:rPr>
          <w:b/>
          <w:color w:val="CC0000"/>
        </w:rPr>
        <w:t>REQ-063 (medium priority, timeline) — GAP</w:t>
      </w:r>
    </w:p>
    <w:p>
      <w:r>
        <w:rPr>
          <w:color w:val="444444"/>
          <w:sz w:val="18"/>
        </w:rPr>
        <w:t>Requirement: Managed services steady state must begin from April 2027 for the remainder of the three-year term.</w:t>
      </w:r>
    </w:p>
    <w:p>
      <w:r>
        <w:rPr>
          <w:color w:val="444444"/>
          <w:sz w:val="18"/>
        </w:rPr>
        <w:t>Evidence considered: DOC-007 (Executed SOW Extract — Fixed-Price Multi-Year Schedule (ClientCo)); DOC-004 (ISO/IEC 27001:2022 Certification Summary); DOC-005 (IRAP Assessment Summary — ISM PROTECTED Level)</w:t>
      </w:r>
    </w:p>
    <w:p>
      <w:r>
        <w:rPr>
          <w:color w:val="444444"/>
          <w:sz w:val="18"/>
        </w:rPr>
        <w:t>Decision: GAP (scorer confidence 0.10)</w:t>
      </w:r>
    </w:p>
    <w:p>
      <w:r>
        <w:rPr>
          <w:color w:val="CC0000"/>
          <w:sz w:val="18"/>
        </w:rPr>
        <w:t>ACTION REQUIRED: Provide an executed contract or schedule explicitly confirming managed services steady state commences April 2027 and continues for three years.</w:t>
      </w:r>
    </w:p>
    <w:p>
      <w:r>
        <w:rPr>
          <w:b/>
          <w:color w:val="CC0000"/>
        </w:rPr>
        <w:t>REQ-064 (medium priority, timeline) — GAP</w:t>
      </w:r>
    </w:p>
    <w:p>
      <w:r>
        <w:rPr>
          <w:color w:val="444444"/>
          <w:sz w:val="18"/>
        </w:rPr>
        <w:t>Requirement: Respondents may propose an alternative timeline provided the lease-exit date of 30 June 2027 is met.</w:t>
      </w:r>
    </w:p>
    <w:p>
      <w:r>
        <w:rPr>
          <w:color w:val="444444"/>
          <w:sz w:val="18"/>
        </w:rPr>
        <w:t>Evidence considered: DOC-002 (Case Study — StateGov Authority Cloud Transition Program)</w:t>
      </w:r>
    </w:p>
    <w:p>
      <w:r>
        <w:rPr>
          <w:color w:val="444444"/>
          <w:sz w:val="18"/>
        </w:rPr>
        <w:t>Decision: GAP (scorer confidence 0.20)</w:t>
      </w:r>
    </w:p>
    <w:p>
      <w:r>
        <w:rPr>
          <w:color w:val="CC0000"/>
          <w:sz w:val="18"/>
        </w:rPr>
        <w:t>ACTION REQUIRED: Provide project plans or schedules explicitly demonstrating the ability to meet or propose alternative timelines aligned with the 30 June 2027 lease-exit date.</w:t>
      </w:r>
    </w:p>
    <w:p>
      <w:r>
        <w:rPr>
          <w:b/>
          <w:color w:val="CC0000"/>
        </w:rPr>
        <w:t>REQ-065 (high priority, legal) — GAP</w:t>
      </w:r>
    </w:p>
    <w:p>
      <w:r>
        <w:rPr>
          <w:color w:val="444444"/>
          <w:sz w:val="18"/>
        </w:rPr>
        <w:t>Requirement: The vendor bears delivery risk for migration execution, including rollback costs arising from failed cutovers.</w:t>
      </w:r>
    </w:p>
    <w:p>
      <w:r>
        <w:rPr>
          <w:color w:val="444444"/>
          <w:sz w:val="18"/>
        </w:rPr>
        <w:t>Evidence considered: DOC-003 (Case Study — FinanceDept Agency Core Systems Migration); DOC-007 (Executed SOW Extract — Fixed-Price Multi-Year Schedule (ClientCo)); DOC-001 (Case Study — HealthGov Australia Datacentre-to-Azure Migration)</w:t>
      </w:r>
    </w:p>
    <w:p>
      <w:r>
        <w:rPr>
          <w:color w:val="444444"/>
          <w:sz w:val="18"/>
        </w:rPr>
        <w:t>Decision: GAP (scorer confidence 0.20)</w:t>
      </w:r>
    </w:p>
    <w:p>
      <w:r>
        <w:rPr>
          <w:color w:val="CC0000"/>
          <w:sz w:val="18"/>
        </w:rPr>
        <w:t>ACTION REQUIRED: Provide executed contract language or SOW excerpts explicitly stating the vendor assumes delivery risk and rollback costs for failed migration cutovers.</w:t>
      </w:r>
    </w:p>
    <w:p>
      <w:r>
        <w:rPr>
          <w:b/>
          <w:color w:val="CC0000"/>
        </w:rPr>
        <w:t>REQ-066 (medium priority, legal) — GAP</w:t>
      </w:r>
    </w:p>
    <w:p>
      <w:r>
        <w:rPr>
          <w:color w:val="444444"/>
          <w:sz w:val="18"/>
        </w:rPr>
        <w:t>Requirement: The Agency bears risk for delays caused by Agency-side approvals exceeding agreed turnaround times.</w:t>
      </w:r>
    </w:p>
    <w:p>
      <w:r>
        <w:rPr>
          <w:color w:val="444444"/>
          <w:sz w:val="18"/>
        </w:rPr>
        <w:t>Evidence considered: DOC-003 (Case Study — FinanceDept Agency Core Systems Migration); DOC-001 (Case Study — HealthGov Australia Datacentre-to-Azure Migration); DOC-002 (Case Study — StateGov Authority Cloud Transition Program)</w:t>
      </w:r>
    </w:p>
    <w:p>
      <w:r>
        <w:rPr>
          <w:color w:val="444444"/>
          <w:sz w:val="18"/>
        </w:rPr>
        <w:t>Decision: GAP (scorer confidence 0.10)</w:t>
      </w:r>
    </w:p>
    <w:p>
      <w:r>
        <w:rPr>
          <w:color w:val="CC0000"/>
          <w:sz w:val="18"/>
        </w:rPr>
        <w:t>ACTION REQUIRED: Provide contract language or policy documentation explicitly stating that the Agency bears risk for delays caused by Agency-side approvals exceeding agreed turnaround times.</w:t>
      </w:r>
    </w:p>
    <w:p>
      <w:r>
        <w:rPr>
          <w:b/>
          <w:color w:val="CC0000"/>
        </w:rPr>
        <w:t>REQ-067 (high priority, legal) — GAP</w:t>
      </w:r>
    </w:p>
    <w:p>
      <w:r>
        <w:rPr>
          <w:color w:val="444444"/>
          <w:sz w:val="18"/>
        </w:rPr>
        <w:t>Requirement: Liquidated damages apply to missed lease-exit milestones attributable to the vendor.</w:t>
      </w:r>
    </w:p>
    <w:p>
      <w:r>
        <w:rPr>
          <w:color w:val="444444"/>
          <w:sz w:val="18"/>
        </w:rPr>
        <w:t>Evidence considered: DOC-008 (Commercial Terms Register — Milestone Payments and Invoicing History)</w:t>
      </w:r>
    </w:p>
    <w:p>
      <w:r>
        <w:rPr>
          <w:color w:val="444444"/>
          <w:sz w:val="18"/>
        </w:rPr>
        <w:t>Decision: GAP (scorer confidence 0.20)</w:t>
      </w:r>
    </w:p>
    <w:p>
      <w:r>
        <w:rPr>
          <w:color w:val="CC0000"/>
          <w:sz w:val="18"/>
        </w:rPr>
        <w:t>ACTION REQUIRED: Provide contract clauses or correspondence explicitly confirming acceptance of liquidated damages for missed lease-exit milestones.</w:t>
      </w:r>
    </w:p>
    <w:p>
      <w:r>
        <w:rPr>
          <w:b/>
          <w:color w:val="CC0000"/>
        </w:rPr>
        <w:t>REQ-068 (medium priority, legal) — GAP</w:t>
      </w:r>
    </w:p>
    <w:p>
      <w:r>
        <w:rPr>
          <w:color w:val="444444"/>
          <w:sz w:val="18"/>
        </w:rPr>
        <w:t>Requirement: Caps on liability will be negotiated with the preferred respondent within Commonwealth contracting norms.</w:t>
      </w:r>
    </w:p>
    <w:p>
      <w:r>
        <w:rPr>
          <w:color w:val="444444"/>
          <w:sz w:val="18"/>
        </w:rPr>
        <w:t>Evidence considered: DOC-011 (Privacy Act 1988 Compliance Statement and Breach Notification Procedure); DOC-003 (Case Study — FinanceDept Agency Core Systems Migration); DOC-008 (Commercial Terms Register — Milestone Payments and Invoicing History)</w:t>
      </w:r>
    </w:p>
    <w:p>
      <w:r>
        <w:rPr>
          <w:color w:val="444444"/>
          <w:sz w:val="18"/>
        </w:rPr>
        <w:t>Decision: GAP (scorer confidence 0.10)</w:t>
      </w:r>
    </w:p>
    <w:p>
      <w:r>
        <w:rPr>
          <w:color w:val="CC0000"/>
          <w:sz w:val="18"/>
        </w:rPr>
        <w:t>ACTION REQUIRED: Provide contract excerpts or policy documents demonstrating willingness to negotiate liability caps within Commonwealth norms.</w:t>
      </w:r>
    </w:p>
    <w:p>
      <w:r>
        <w:rPr>
          <w:b/>
          <w:color w:val="CC0000"/>
        </w:rPr>
        <w:t>REQ-069 (high priority, legal) — GAP</w:t>
      </w:r>
    </w:p>
    <w:p>
      <w:r>
        <w:rPr>
          <w:color w:val="444444"/>
          <w:sz w:val="18"/>
        </w:rPr>
        <w:t>Requirement: Unlimited liability applies for breach of privacy or security obligations.</w:t>
      </w:r>
    </w:p>
    <w:p>
      <w:r>
        <w:rPr>
          <w:color w:val="444444"/>
          <w:sz w:val="18"/>
        </w:rPr>
        <w:t>Evidence considered: DOC-011 (Privacy Act 1988 Compliance Statement and Breach Notification Procedure); DOC-006 (Data Residency and Sovereignty Policy); DOC-004 (ISO/IEC 27001:2022 Certification Summary)</w:t>
      </w:r>
    </w:p>
    <w:p>
      <w:r>
        <w:rPr>
          <w:color w:val="444444"/>
          <w:sz w:val="18"/>
        </w:rPr>
        <w:t>Decision: GAP (scorer confidence 0.20)</w:t>
      </w:r>
    </w:p>
    <w:p>
      <w:r>
        <w:rPr>
          <w:color w:val="CC0000"/>
          <w:sz w:val="18"/>
        </w:rPr>
        <w:t>ACTION REQUIRED: Provide contract language or policy explicitly stating unlimited liability for breach of privacy or security obligations.</w:t>
      </w:r>
    </w:p>
    <w:p>
      <w:r>
        <w:rPr>
          <w:b/>
          <w:color w:val="CC0000"/>
        </w:rPr>
        <w:t>REQ-070 (high priority, other) — GAP</w:t>
      </w:r>
    </w:p>
    <w:p>
      <w:r>
        <w:rPr>
          <w:color w:val="444444"/>
          <w:sz w:val="18"/>
        </w:rPr>
        <w:t>Requirement: Mandatory requirements assessed as non-compliant result in exclusion from the process.</w:t>
      </w:r>
    </w:p>
    <w:p>
      <w:r>
        <w:rPr>
          <w:color w:val="444444"/>
          <w:sz w:val="18"/>
        </w:rPr>
        <w:t>Evidence considered: DOC-006 (Data Residency and Sovereignty Policy); DOC-004 (ISO/IEC 27001:2022 Certification Summary); DOC-005 (IRAP Assessment Summary — ISM PROTECTED Level)</w:t>
      </w:r>
    </w:p>
    <w:p>
      <w:r>
        <w:rPr>
          <w:color w:val="444444"/>
          <w:sz w:val="18"/>
        </w:rPr>
        <w:t>Decision: GAP (scorer confidence 1.00)</w:t>
      </w:r>
    </w:p>
    <w:p>
      <w:r>
        <w:rPr>
          <w:color w:val="CC0000"/>
          <w:sz w:val="18"/>
        </w:rPr>
        <w:t>ACTION REQUIRED: Provide a signed statement or policy explicitly acknowledging acceptance of exclusion for non-compliance with mandatory requirements.</w:t>
      </w:r>
    </w:p>
    <w:p>
      <w:r>
        <w:rPr>
          <w:b/>
          <w:color w:val="CC0000"/>
        </w:rPr>
        <w:t>REQ-071 (high priority, other) — GAP</w:t>
      </w:r>
    </w:p>
    <w:p>
      <w:r>
        <w:rPr>
          <w:color w:val="444444"/>
          <w:sz w:val="18"/>
        </w:rPr>
        <w:t>Requirement: Partial compliance on mandatory requirements must be justified with a credible remediation plan.</w:t>
      </w:r>
    </w:p>
    <w:p>
      <w:r>
        <w:rPr>
          <w:color w:val="444444"/>
          <w:sz w:val="18"/>
        </w:rPr>
        <w:t>Evidence considered: DOC-006 (Data Residency and Sovereignty Policy); DOC-011 (Privacy Act 1988 Compliance Statement and Breach Notification Procedure); DOC-004 (ISO/IEC 27001:2022 Certification Summary)</w:t>
      </w:r>
    </w:p>
    <w:p>
      <w:r>
        <w:rPr>
          <w:color w:val="444444"/>
          <w:sz w:val="18"/>
        </w:rPr>
        <w:t>Decision: GAP (scorer confidence 0.10)</w:t>
      </w:r>
    </w:p>
    <w:p>
      <w:r>
        <w:rPr>
          <w:color w:val="CC0000"/>
          <w:sz w:val="18"/>
        </w:rPr>
        <w:t>ACTION REQUIRED: Provide a documented remediation plan justifying partial compliance on mandatory requirements.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bCs/>
        <w:color w:val="CC0000"/>
        <w:sz w:val="16"/>
        <w:szCs w:val="16"/>
      </w:rPr>
      <w:t xml:space="preserve">CONFIDENTIAL — DRAFT — Requires human review before submission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2E75B6"/>
        <w:sz w:val="18"/>
        <w:szCs w:val="18"/>
      </w:rPr>
      <w:t xml:space="preserve">RFP Intelligence Agent — Proposal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2026-05-29T00:46:35.428Z</dcterms:created>
  <dcterms:modified xsi:type="dcterms:W3CDTF">2026-05-29T00:46:35.430Z</dcterms:modified>
</cp:coreProperties>
</file>

<file path=docProps/custom.xml><?xml version="1.0" encoding="utf-8"?>
<Properties xmlns="http://schemas.openxmlformats.org/officeDocument/2006/custom-properties" xmlns:vt="http://schemas.openxmlformats.org/officeDocument/2006/docPropsVTypes"/>
</file>