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Rotavirus</w:t>
      </w:r>
    </w:p>
    <w:p>
      <w:pPr>
        <w:pStyle w:val="Author"/>
      </w:pPr>
      <w:r>
        <w:t xml:space="preserve">LIVF</w:t>
      </w:r>
    </w:p>
    <w:p>
      <w:pPr>
        <w:pStyle w:val="Date"/>
      </w:pPr>
      <w:r>
        <w:t xml:space="preserve">2017-10-12</w:t>
      </w:r>
    </w:p>
    <w:p>
      <w:pPr>
        <w:pStyle w:val="FirstParagraph"/>
      </w:pPr>
      <w:r>
        <w:t xml:space="preserve">To obtain our numerators, we used data on cases &lt; 2 years (103 weeks) old, registered between 2008 and 2013 in Norway.</w:t>
      </w:r>
    </w:p>
    <w:p>
      <w:pPr>
        <w:pStyle w:val="BodyText"/>
      </w:pPr>
      <w:r>
        <w:t xml:space="preserve">To obtain our denominators (i.e. population), we took the yearly estimated population for each year from 2006-2013 from SSB, and then assumed a constant birthrate throughout the year.</w:t>
      </w:r>
    </w:p>
    <w:p>
      <w:pPr>
        <w:pStyle w:val="BodyText"/>
      </w:pPr>
      <w:r>
        <w:t xml:space="preserve">We then fit a Poisson regression to our weekly data, using a restricted cubic spline with 6 degrees of freedom to model the non-linear age association.</w:t>
      </w:r>
    </w:p>
    <w:p>
      <w:pPr>
        <w:pStyle w:val="BodyText"/>
      </w:pPr>
      <w:r>
        <w:t xml:space="preserve">We then predicted the number of IS cases for a 1-year birth cohort of children aged 0-51 weeks old, born in 2016. We then applied the following relative risks:</w:t>
      </w:r>
    </w:p>
    <w:p>
      <w:pPr>
        <w:pStyle w:val="BodyText"/>
      </w:pPr>
      <w:r>
        <w:t xml:space="preserve">(First vaccination round)</w:t>
      </w:r>
      <w:r>
        <w:t xml:space="preserve"> </w:t>
      </w:r>
      <w:r>
        <w:t xml:space="preserve">RR1_1_1 &lt;- 6.03</w:t>
      </w:r>
      <w:r>
        <w:t xml:space="preserve"> </w:t>
      </w:r>
      <w:r>
        <w:t xml:space="preserve">RR1_2_3 &lt;- 1.13</w:t>
      </w:r>
    </w:p>
    <w:p>
      <w:pPr>
        <w:pStyle w:val="BodyText"/>
      </w:pPr>
      <w:r>
        <w:t xml:space="preserve">With vaccination occurring at 6-16 weeks (inclusive) and considering the real distribution of age at vaccination for dose 1 in 2016.</w:t>
      </w:r>
    </w:p>
    <w:tbl>
      <w:tblPr>
        <w:tblStyle w:val="TableNormal"/>
        <w:tblW w:type="pct" w:w="1666.6666666666665"/>
        <w:tblLook w:firstRow="1"/>
      </w:tblPr>
      <w:tblGrid>
        <w:gridCol w:w="1320"/>
        <w:gridCol w:w="1320"/>
      </w:tblGrid>
      <w:tr>
        <w:trPr>
          <w:cnfStyle w:firstRow="1"/>
        </w:trPr>
        <w:tc>
          <w:tcPr>
            <w:tcBorders>
              <w:bottom w:val="single"/>
            </w:tcBorders>
            <w:vAlign w:val="bottom"/>
          </w:tcPr>
          <w:p>
            <w:pPr>
              <w:pStyle w:val="Compact"/>
              <w:jc w:val="center"/>
            </w:pPr>
            <w:r>
              <w:t xml:space="preserve">Weeks</w:t>
            </w:r>
          </w:p>
        </w:tc>
        <w:tc>
          <w:tcPr>
            <w:tcBorders>
              <w:bottom w:val="single"/>
            </w:tcBorders>
            <w:vAlign w:val="bottom"/>
          </w:tcPr>
          <w:p>
            <w:pPr>
              <w:pStyle w:val="Compact"/>
              <w:jc w:val="center"/>
            </w:pPr>
            <w:r>
              <w:t xml:space="preserve">Perc.vacc</w:t>
            </w:r>
          </w:p>
        </w:tc>
      </w:tr>
      <w:tr>
        <w:tc>
          <w:p>
            <w:pPr>
              <w:pStyle w:val="Compact"/>
              <w:jc w:val="center"/>
            </w:pPr>
            <w:r>
              <w:t xml:space="preserve">6</w:t>
            </w:r>
          </w:p>
        </w:tc>
        <w:tc>
          <w:p>
            <w:pPr>
              <w:pStyle w:val="Compact"/>
              <w:jc w:val="center"/>
            </w:pPr>
            <w:r>
              <w:t xml:space="preserve">38.91</w:t>
            </w:r>
          </w:p>
        </w:tc>
      </w:tr>
      <w:tr>
        <w:tc>
          <w:p>
            <w:pPr>
              <w:pStyle w:val="Compact"/>
              <w:jc w:val="center"/>
            </w:pPr>
            <w:r>
              <w:t xml:space="preserve">7</w:t>
            </w:r>
          </w:p>
        </w:tc>
        <w:tc>
          <w:p>
            <w:pPr>
              <w:pStyle w:val="Compact"/>
              <w:jc w:val="center"/>
            </w:pPr>
            <w:r>
              <w:t xml:space="preserve">41.12</w:t>
            </w:r>
          </w:p>
        </w:tc>
      </w:tr>
      <w:tr>
        <w:tc>
          <w:p>
            <w:pPr>
              <w:pStyle w:val="Compact"/>
              <w:jc w:val="center"/>
            </w:pPr>
            <w:r>
              <w:t xml:space="preserve">8</w:t>
            </w:r>
          </w:p>
        </w:tc>
        <w:tc>
          <w:p>
            <w:pPr>
              <w:pStyle w:val="Compact"/>
              <w:jc w:val="center"/>
            </w:pPr>
            <w:r>
              <w:t xml:space="preserve">12.03</w:t>
            </w:r>
          </w:p>
        </w:tc>
      </w:tr>
      <w:tr>
        <w:tc>
          <w:p>
            <w:pPr>
              <w:pStyle w:val="Compact"/>
              <w:jc w:val="center"/>
            </w:pPr>
            <w:r>
              <w:t xml:space="preserve">9</w:t>
            </w:r>
          </w:p>
        </w:tc>
        <w:tc>
          <w:p>
            <w:pPr>
              <w:pStyle w:val="Compact"/>
              <w:jc w:val="center"/>
            </w:pPr>
            <w:r>
              <w:t xml:space="preserve">3.45</w:t>
            </w:r>
          </w:p>
        </w:tc>
      </w:tr>
      <w:tr>
        <w:tc>
          <w:p>
            <w:pPr>
              <w:pStyle w:val="Compact"/>
              <w:jc w:val="center"/>
            </w:pPr>
            <w:r>
              <w:t xml:space="preserve">10</w:t>
            </w:r>
          </w:p>
        </w:tc>
        <w:tc>
          <w:p>
            <w:pPr>
              <w:pStyle w:val="Compact"/>
              <w:jc w:val="center"/>
            </w:pPr>
            <w:r>
              <w:t xml:space="preserve">1.06</w:t>
            </w:r>
          </w:p>
        </w:tc>
      </w:tr>
      <w:tr>
        <w:tc>
          <w:p>
            <w:pPr>
              <w:pStyle w:val="Compact"/>
              <w:jc w:val="center"/>
            </w:pPr>
            <w:r>
              <w:t xml:space="preserve">11</w:t>
            </w:r>
          </w:p>
        </w:tc>
        <w:tc>
          <w:p>
            <w:pPr>
              <w:pStyle w:val="Compact"/>
              <w:jc w:val="center"/>
            </w:pPr>
            <w:r>
              <w:t xml:space="preserve">0.49</w:t>
            </w:r>
          </w:p>
        </w:tc>
      </w:tr>
      <w:tr>
        <w:tc>
          <w:p>
            <w:pPr>
              <w:pStyle w:val="Compact"/>
              <w:jc w:val="center"/>
            </w:pPr>
            <w:r>
              <w:t xml:space="preserve">12</w:t>
            </w:r>
          </w:p>
        </w:tc>
        <w:tc>
          <w:p>
            <w:pPr>
              <w:pStyle w:val="Compact"/>
              <w:jc w:val="center"/>
            </w:pPr>
            <w:r>
              <w:t xml:space="preserve">0.32</w:t>
            </w:r>
          </w:p>
        </w:tc>
      </w:tr>
      <w:tr>
        <w:tc>
          <w:p>
            <w:pPr>
              <w:pStyle w:val="Compact"/>
              <w:jc w:val="center"/>
            </w:pPr>
            <w:r>
              <w:t xml:space="preserve">13</w:t>
            </w:r>
          </w:p>
        </w:tc>
        <w:tc>
          <w:p>
            <w:pPr>
              <w:pStyle w:val="Compact"/>
              <w:jc w:val="center"/>
            </w:pPr>
            <w:r>
              <w:t xml:space="preserve">0.84</w:t>
            </w:r>
          </w:p>
        </w:tc>
      </w:tr>
      <w:tr>
        <w:tc>
          <w:p>
            <w:pPr>
              <w:pStyle w:val="Compact"/>
              <w:jc w:val="center"/>
            </w:pPr>
            <w:r>
              <w:t xml:space="preserve">14</w:t>
            </w:r>
          </w:p>
        </w:tc>
        <w:tc>
          <w:p>
            <w:pPr>
              <w:pStyle w:val="Compact"/>
              <w:jc w:val="center"/>
            </w:pPr>
            <w:r>
              <w:t xml:space="preserve">0.5</w:t>
            </w:r>
          </w:p>
        </w:tc>
      </w:tr>
      <w:tr>
        <w:tc>
          <w:p>
            <w:pPr>
              <w:pStyle w:val="Compact"/>
              <w:jc w:val="center"/>
            </w:pPr>
            <w:r>
              <w:t xml:space="preserve">15</w:t>
            </w:r>
          </w:p>
        </w:tc>
        <w:tc>
          <w:p>
            <w:pPr>
              <w:pStyle w:val="Compact"/>
              <w:jc w:val="center"/>
            </w:pPr>
            <w:r>
              <w:t xml:space="preserve">0.18</w:t>
            </w:r>
          </w:p>
        </w:tc>
      </w:tr>
      <w:tr>
        <w:tc>
          <w:p>
            <w:pPr>
              <w:pStyle w:val="Compact"/>
              <w:jc w:val="center"/>
            </w:pPr>
            <w:r>
              <w:t xml:space="preserve">16</w:t>
            </w:r>
          </w:p>
        </w:tc>
        <w:tc>
          <w:p>
            <w:pPr>
              <w:pStyle w:val="Compact"/>
              <w:jc w:val="center"/>
            </w:pPr>
            <w:r>
              <w:t xml:space="preserve">0.08</w:t>
            </w:r>
          </w:p>
        </w:tc>
      </w:tr>
      <w:tr>
        <w:tc>
          <w:p>
            <w:pPr>
              <w:pStyle w:val="Compact"/>
              <w:jc w:val="center"/>
            </w:pPr>
            <w:r>
              <w:t xml:space="preserve">Total: 11</w:t>
            </w:r>
          </w:p>
        </w:tc>
        <w:tc>
          <w:p>
            <w:pPr>
              <w:pStyle w:val="Compact"/>
              <w:jc w:val="center"/>
            </w:pPr>
            <w:r>
              <w:t xml:space="preserve">98.98</w:t>
            </w:r>
          </w:p>
        </w:tc>
      </w:tr>
    </w:tbl>
    <w:p>
      <w:pPr>
        <w:pStyle w:val="BodyText"/>
      </w:pPr>
      <w:r>
        <w:t xml:space="preserve">Our estimates below are for the estimated IS cases for a 1-year birth cohort of children aged 0-51 weeks old. The confidence intervals were generated by simulating 1000 datasets from the estimated error associated with our regression models and risk ratios, making IS estimates for each of the 1000 datasets, and then taking the 2.5th, 50th, and 97.5th percentiles.</w:t>
      </w:r>
    </w:p>
    <w:p>
      <w:pPr>
        <w:pStyle w:val="BodyText"/>
      </w:pPr>
      <w:r>
        <w:t xml:space="preserve">numBaselinePredIS = NUMBER OF BASELINE CASES WITHOUT ANY VACCINATIONS</w:t>
      </w:r>
      <w:r>
        <w:t xml:space="preserve"> </w:t>
      </w:r>
      <w:r>
        <w:t xml:space="preserve">ISvaccine1 = NUMBER OF EXCESS CASES ATTRIBUTABLE TO FIRST VACCINATION ROUND</w:t>
      </w:r>
    </w:p>
    <w:p>
      <w:pPr>
        <w:pStyle w:val="BodyText"/>
      </w:pPr>
      <w:r>
        <w:t xml:space="preserve">NOTE: These are estimates made about the mean number of cases of IS that we will expect from the birth cohort born in 2016. The confidence intervals represent how much certainty we have about the mean number of cases.</w:t>
      </w:r>
    </w:p>
    <w:tbl>
      <w:tblPr>
        <w:tblStyle w:val="TableNormal"/>
        <w:tblW w:type="pct" w:w="4444.444444444444"/>
        <w:tblLook w:firstRow="1"/>
      </w:tblPr>
      <w:tblGrid>
        <w:gridCol w:w="2200"/>
        <w:gridCol w:w="1760"/>
        <w:gridCol w:w="1540"/>
        <w:gridCol w:w="1540"/>
      </w:tblGrid>
      <w:tr>
        <w:trPr>
          <w:cnfStyle w:firstRow="1"/>
        </w:trPr>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pointEstimate</w:t>
            </w:r>
          </w:p>
        </w:tc>
        <w:tc>
          <w:tcPr>
            <w:tcBorders>
              <w:bottom w:val="single"/>
            </w:tcBorders>
            <w:vAlign w:val="bottom"/>
          </w:tcPr>
          <w:p>
            <w:pPr>
              <w:pStyle w:val="Compact"/>
              <w:jc w:val="center"/>
            </w:pPr>
            <w:r>
              <w:t xml:space="preserve">LowerConf95</w:t>
            </w:r>
          </w:p>
        </w:tc>
        <w:tc>
          <w:tcPr>
            <w:tcBorders>
              <w:bottom w:val="single"/>
            </w:tcBorders>
            <w:vAlign w:val="bottom"/>
          </w:tcPr>
          <w:p>
            <w:pPr>
              <w:pStyle w:val="Compact"/>
              <w:jc w:val="center"/>
            </w:pPr>
            <w:r>
              <w:t xml:space="preserve">UpperConf95</w:t>
            </w:r>
          </w:p>
        </w:tc>
      </w:tr>
      <w:tr>
        <w:tc>
          <w:p>
            <w:pPr>
              <w:pStyle w:val="Compact"/>
              <w:jc w:val="center"/>
            </w:pPr>
            <w:r>
              <w:t xml:space="preserve">year</w:t>
            </w:r>
          </w:p>
        </w:tc>
        <w:tc>
          <w:p>
            <w:pPr>
              <w:pStyle w:val="Compact"/>
              <w:jc w:val="center"/>
            </w:pPr>
            <w:r>
              <w:t xml:space="preserve">2016</w:t>
            </w:r>
          </w:p>
        </w:tc>
        <w:tc>
          <w:p>
            <w:pPr>
              <w:pStyle w:val="Compact"/>
              <w:jc w:val="center"/>
            </w:pPr>
            <w:r>
              <w:t xml:space="preserve">2016</w:t>
            </w:r>
          </w:p>
        </w:tc>
        <w:tc>
          <w:p>
            <w:pPr>
              <w:pStyle w:val="Compact"/>
              <w:jc w:val="center"/>
            </w:pPr>
            <w:r>
              <w:t xml:space="preserve">2016</w:t>
            </w:r>
          </w:p>
        </w:tc>
      </w:tr>
      <w:tr>
        <w:tc>
          <w:p>
            <w:pPr>
              <w:pStyle w:val="Compact"/>
              <w:jc w:val="center"/>
            </w:pPr>
            <w:r>
              <w:t xml:space="preserve">numBaselinePredIS</w:t>
            </w:r>
          </w:p>
        </w:tc>
        <w:tc>
          <w:p>
            <w:pPr>
              <w:pStyle w:val="Compact"/>
              <w:jc w:val="center"/>
            </w:pPr>
            <w:r>
              <w:t xml:space="preserve">21.27</w:t>
            </w:r>
          </w:p>
        </w:tc>
        <w:tc>
          <w:p>
            <w:pPr>
              <w:pStyle w:val="Compact"/>
              <w:jc w:val="center"/>
            </w:pPr>
            <w:r>
              <w:t xml:space="preserve">20.37</w:t>
            </w:r>
          </w:p>
        </w:tc>
        <w:tc>
          <w:p>
            <w:pPr>
              <w:pStyle w:val="Compact"/>
              <w:jc w:val="center"/>
            </w:pPr>
            <w:r>
              <w:t xml:space="preserve">22.26</w:t>
            </w:r>
          </w:p>
        </w:tc>
      </w:tr>
      <w:tr>
        <w:tc>
          <w:p>
            <w:pPr>
              <w:pStyle w:val="Compact"/>
              <w:jc w:val="center"/>
            </w:pPr>
            <w:r>
              <w:t xml:space="preserve">ISvaccine1</w:t>
            </w:r>
          </w:p>
        </w:tc>
        <w:tc>
          <w:p>
            <w:pPr>
              <w:pStyle w:val="Compact"/>
              <w:jc w:val="center"/>
            </w:pPr>
            <w:r>
              <w:t xml:space="preserve">0.9681</w:t>
            </w:r>
          </w:p>
        </w:tc>
        <w:tc>
          <w:p>
            <w:pPr>
              <w:pStyle w:val="Compact"/>
              <w:jc w:val="center"/>
            </w:pPr>
            <w:r>
              <w:t xml:space="preserve">0.4673</w:t>
            </w:r>
          </w:p>
        </w:tc>
        <w:tc>
          <w:p>
            <w:pPr>
              <w:pStyle w:val="Compact"/>
              <w:jc w:val="center"/>
            </w:pPr>
            <w:r>
              <w:t xml:space="preserve">1.761</w:t>
            </w:r>
          </w:p>
        </w:tc>
      </w:tr>
      <w:tr>
        <w:tc>
          <w:p>
            <w:pPr>
              <w:pStyle w:val="Compact"/>
              <w:jc w:val="center"/>
            </w:pPr>
            <w:r>
              <w:t xml:space="preserve">ISvaccine2</w:t>
            </w:r>
          </w:p>
        </w:tc>
        <w:tc>
          <w:p>
            <w:pPr>
              <w:pStyle w:val="Compact"/>
              <w:jc w:val="center"/>
            </w:pPr>
            <w:r>
              <w:t xml:space="preserve">0.6491</w:t>
            </w:r>
          </w:p>
        </w:tc>
        <w:tc>
          <w:p>
            <w:pPr>
              <w:pStyle w:val="Compact"/>
              <w:jc w:val="center"/>
            </w:pPr>
            <w:r>
              <w:t xml:space="preserve">0.224</w:t>
            </w:r>
          </w:p>
        </w:tc>
        <w:tc>
          <w:p>
            <w:pPr>
              <w:pStyle w:val="Compact"/>
              <w:jc w:val="center"/>
            </w:pPr>
            <w:r>
              <w:t xml:space="preserve">1.227</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bbf3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Rotavirus</dc:title>
  <dc:creator>LIVF</dc:creator>
  <dcterms:created xsi:type="dcterms:W3CDTF">2017-10-12T08:47:28Z</dcterms:created>
  <dcterms:modified xsi:type="dcterms:W3CDTF">2017-10-12T08:47:28Z</dcterms:modified>
</cp:coreProperties>
</file>