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2.png" ContentType="image/png"/>
  <Override PartName="/word/media/rId33.png" ContentType="image/png"/>
  <Override PartName="/word/media/rId40.png" ContentType="image/png"/>
  <Override PartName="/word/media/rId3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r>
        <w:rPr>
          <w:b/>
        </w:rPr>
        <w:t xml:space="preserve">Background:</w:t>
      </w:r>
      <w:r>
        <w:t xml:space="preserve"> </w:t>
      </w:r>
      <w:r>
        <w:t xml:space="preserve">The ongoing outbreak of Ebola Virus Disease in West Africa is the largest in history and already requires immediate and sustained input from the international community in order to curb transmission. Several models have been developed to forecast the progression of the outbreak and estimate the number of patients that need to be isolated in order to stem transmission. We developed a model based on previous findings to estimate the national and international personnel and equipment that will be required if the outbreak continues to spread in order to provide firmer targets for the international response.</w:t>
      </w:r>
    </w:p>
    <w:p>
      <w:r>
        <w:rPr>
          <w:b/>
        </w:rPr>
        <w:t xml:space="preserve">Methods:</w:t>
      </w:r>
      <w:r>
        <w:t xml:space="preserve"> </w:t>
      </w:r>
      <w:r>
        <w:t xml:space="preserve">We developed a compartmental SEIR model to forecast the progression of the West Africa EVD epidemic using a flexible mathematical model that allowed the reproductive number to change every 58 days. We used existing case data from Guinea, Liberia and Sierra Leone to fit an exponentially decreasing time-dependent curve between the two points and then extrapolated forward. Number of personnel required to provide treatment for the predicted number of cases was estimated using UNMEER and UN OCHA requests for resources.</w:t>
      </w:r>
    </w:p>
    <w:p>
      <w:r>
        <w:rPr>
          <w:b/>
        </w:rPr>
        <w:t xml:space="preserve">Results:</w:t>
      </w:r>
      <w:r>
        <w:t xml:space="preserve"> </w:t>
      </w:r>
      <w:r>
        <w:t xml:space="preserve">As of today (2014-11-12), we estimate that there are 2610 (95% CI=2112 to 3107) EVD active cases in treatment, with an additional 13294 (95% CI=10172 to 16416) EVD cases unreported and untreated. To reach the CDC targets today, we need 3976 (95% CI=3186 to 4766) cases in ETUs and 7156 (95% CI=5734 to 8579) at home or in a community setting such that there is a reduced risk for disease transmission. In 28 days (2014-12-10), we will need 6532 (95% CI=4116 to 8948) EVD cases in ETUs and 11757 (95% CI=7409 to 16106) EVD cases at reduced risk of transmission. If transmission is not interrupted up to 23605 personnel in total, including 1002 international personnel, will be required in 56 days (2015-01-07) according to our model.</w:t>
      </w:r>
    </w:p>
    <w:p>
      <w:r>
        <w:rPr>
          <w:b/>
        </w:rPr>
        <w:t xml:space="preserve">Conclusions:</w:t>
      </w:r>
      <w:r>
        <w:t xml:space="preserve"> </w:t>
      </w:r>
      <w:r>
        <w:t xml:space="preserve">The current outbreak will require massive input from the international community in order to curb the outbreak by traditional containment mechanisms by breaking the chains of transmission in the affected countries. If sufficient treatment facilities, healthcare workers and support personnel are not rapidly deployed, the increasing number of cases will be overwhelming. In addition to traditional isolation and treatment mechanisms, other viable control options, such as the development of an effective vaccine, should be supported.</w:t>
      </w:r>
    </w:p>
    <w:p>
      <w:pPr>
        <w:pStyle w:val="Heading1"/>
      </w:pPr>
      <w:bookmarkStart w:id="22" w:name="funding-statement"/>
      <w:bookmarkEnd w:id="22"/>
      <w:r>
        <w:t xml:space="preserve">Funding statement</w:t>
      </w:r>
    </w:p>
    <w:p>
      <w:r>
        <w:t xml:space="preserve">This research received no specific grant from any funding agency, commercial or not-for-profit sectors. The authors have declared that no competing interests exist.</w:t>
      </w:r>
    </w:p>
    <w:p>
      <w:pPr>
        <w:pStyle w:val="Heading1"/>
      </w:pPr>
      <w:bookmarkStart w:id="23" w:name="background"/>
      <w:bookmarkEnd w:id="23"/>
      <w:r>
        <w:t xml:space="preserve">Background</w:t>
      </w:r>
    </w:p>
    <w:p>
      <w:r>
        <w:t xml:space="preserve">Since December 2013, an outbreak of Ebola virus disease (EVD) of unprecedented size and geographic extent has been ongoing in West Africa. As of 28 October 2014 , over 10 000 cases and 5 000 deaths have been reported to the World Health Organization by the three most affected countries, Guinea, Liberia and Sierra Leone. In August 2014, the number of cases in Liberia exceeded the bed capacity in the country (ref ), a finding which has also been observed in Sierra Leone and Guinea (ref). The impact of the outbreak has been felt beyond the health sector - air traffic has been restricted, and the tourism and trade industries have been decimated (ref). The economic impact for the affected countries will most likely be felt for years to come (ref).</w:t>
      </w:r>
    </w:p>
    <w:p>
      <w:r>
        <w:t xml:space="preserve">The international response to this crisis has been widely criticized as slow and insufficient (ref). As early as DATE, Medecins Sans Frontieres (MSF), an organization which has been involved in providing treatment from the early stages of the outbreak, have been requesting large-scale and sustained support from the international community. Despite these requests, the response has been slow to materialize. On 8 August 2014, the World Health Organization declared the outbreak to be a Public Health Emergency of International Concern [1]. On 18 September the UN Security Council determined that the outbreak was a "threat to international peace and security" and announced the United Nations Mission for Ebola Emergency Response (UNMEER) [2]. This is the first time in history that the UN has created a mission for a public health. Despite these attempts to galvanize the international community, the outbreak continues to grow in magnitude and the potential for spread to neighbouring countries is of serious concern.</w:t>
      </w:r>
    </w:p>
    <w:p>
      <w:r>
        <w:t xml:space="preserve">Several models have been developed to forecast the progression of the outbreak, with and without intervention options. A model produced by the WHO's Ebola Response Team, published September 2014, aimed to document trends in the epidemic and project expected case numbers for the coming weeks. Based on data reported to the WHO from Guinea, Liberia, and Sierra Leone until 14 September 2014, this model concluded that there was a possibility that for the medium term EVD may become endemic among the human population of West Africa [3]. A model produced by the CDC model in aimed to galvanize support for multinational intervention by demonstrating the large long-term costs of delay and giving estimates of the size of the control/treatment interventions needed [4]. The CDC model concluded that to end the outbreak 70% of the patients must be placed in an Ebola Treatment Unit (ETU) or isolated in a community setting in which risk of disease transmission is reduced and safe burials are provided [4]. This model reinforced that the cost of delay is devastating - the number of cases doubles every 20 days, making the 70% target even harder to achieve. This conclusion was reached by analyzing the trends in Liberia and Sierra Leone from data reported to the WHO until 29 August 2014.</w:t>
      </w:r>
    </w:p>
    <w:p>
      <w:r>
        <w:t xml:space="preserve">While multiple efforts have been made to model and forecast the epidemic, none have explicitly quantified the number of treatment places necessary to achieve the 70% target set by the CDC. We use a flexible mathematical model to estimate the number of treatment places, personnel and equipment needed to obtain the 70% target set by the CDC over the next two months (from 2014-11-12 to 2014-12-10) in order to provide firmer targets for the international response.</w:t>
      </w:r>
    </w:p>
    <w:p>
      <w:pPr>
        <w:pStyle w:val="Heading1"/>
      </w:pPr>
      <w:bookmarkStart w:id="24" w:name="methods"/>
      <w:bookmarkEnd w:id="24"/>
      <w:r>
        <w:t xml:space="preserve">Methods</w:t>
      </w:r>
    </w:p>
    <w:p>
      <w:pPr>
        <w:pStyle w:val="Heading2"/>
      </w:pPr>
      <w:bookmarkStart w:id="25" w:name="outbreak-data"/>
      <w:bookmarkEnd w:id="25"/>
      <w:r>
        <w:t xml:space="preserve">Outbreak Data</w:t>
      </w:r>
    </w:p>
    <w:p>
      <w:r>
        <w:t xml:space="preserve">As has been common with previous EVD models, we used the public data released by the World Health Organization (ref). For the purposes of our models, we considered all confirmed, suspected, or probable cases to be EVD cases. We used case data from Guinea (2014-03-22 to 2014-11-02), Liberia (2014-03-27 to 2014-11-02), and Sierra Leone (2014-05-27 to 2014-11-02).</w:t>
      </w:r>
    </w:p>
    <w:p>
      <w:pPr>
        <w:pStyle w:val="Heading2"/>
      </w:pPr>
      <w:bookmarkStart w:id="26" w:name="model"/>
      <w:bookmarkEnd w:id="26"/>
      <w:r>
        <w:t xml:space="preserve">Model</w:t>
      </w:r>
    </w:p>
    <w:p>
      <w:r>
        <w:t xml:space="preserve">We developed a compartmental model to describe the outbreaks in the three affected countries. Briefly, the population is divided into six compartments, with average rates and average time periods taken from the recently published WHO Ebola Response Team model (ref).</w:t>
      </w:r>
    </w:p>
    <w:p>
      <w:r>
        <w:t xml:space="preserve">Susceptible individuals (S) may become Exposed (E) after contact with infectious material. After an average of 11.4 days (</w:t>
      </w:r>
      <m:oMath>
        <m:sSub>
          <m:e>
            <m:r>
              <m:rPr>
                <m:sty m:val="p"/>
              </m:rPr>
              <m:t>τ</m:t>
            </m:r>
          </m:e>
          <m:sub>
            <m:r>
              <m:rPr>
                <m:sty m:val="p"/>
              </m:rPr>
              <m:t>a</m:t>
            </m:r>
          </m:sub>
        </m:sSub>
      </m:oMath>
      <w:r>
        <w:t xml:space="preserve">), Exposed persons (E) then transition into non-reported Infected persons (I). Infected persons (I) may become Treated (T) after an average of 5 days (</w:t>
      </w:r>
      <m:oMath>
        <m:sSub>
          <m:e>
            <m:r>
              <m:rPr>
                <m:sty m:val="p"/>
              </m:rPr>
              <m:t>τ</m:t>
            </m:r>
          </m:e>
          <m:sub>
            <m:r>
              <m:rPr>
                <m:sty m:val="p"/>
              </m:rPr>
              <m:t>I</m:t>
            </m:r>
            <m:r>
              <m:rPr>
                <m:sty m:val="p"/>
              </m:rPr>
              <m:t>→</m:t>
            </m:r>
            <m:r>
              <m:rPr>
                <m:sty m:val="p"/>
              </m:rPr>
              <m:t>T</m:t>
            </m:r>
          </m:sub>
        </m:sSub>
      </m:oMath>
      <w:r>
        <w:t xml:space="preserve">) (in which case they are registered as an EVD case and become non-infectious), or they may Recover (R) after an average of 5+11.8 days (</w:t>
      </w:r>
      <m:oMath>
        <m:sSub>
          <m:e>
            <m:r>
              <m:rPr>
                <m:sty m:val="p"/>
              </m:rPr>
              <m:t>τ</m:t>
            </m:r>
          </m:e>
          <m:sub>
            <m:r>
              <m:rPr>
                <m:sty m:val="p"/>
              </m:rPr>
              <m:t>I</m:t>
            </m:r>
            <m:r>
              <m:rPr>
                <m:sty m:val="p"/>
              </m:rPr>
              <m:t>→</m:t>
            </m:r>
            <m:r>
              <m:rPr>
                <m:sty m:val="p"/>
              </m:rPr>
              <m:t>R</m:t>
            </m:r>
          </m:sub>
        </m:sSub>
      </m:oMath>
      <w:r>
        <w:t xml:space="preserve">), or Die (D) after an average of 5+4.2 days (</w:t>
      </w:r>
      <m:oMath>
        <m:sSub>
          <m:e>
            <m:r>
              <m:rPr>
                <m:sty m:val="p"/>
              </m:rPr>
              <m:t>τ</m:t>
            </m:r>
          </m:e>
          <m:sub>
            <m:r>
              <m:rPr>
                <m:sty m:val="p"/>
              </m:rPr>
              <m:t>I</m:t>
            </m:r>
            <m:r>
              <m:rPr>
                <m:sty m:val="p"/>
              </m:rPr>
              <m:t>→</m:t>
            </m:r>
            <m:r>
              <m:rPr>
                <m:sty m:val="p"/>
              </m:rPr>
              <m:t>D</m:t>
            </m:r>
          </m:sub>
        </m:sSub>
      </m:oMath>
      <w:r>
        <w:t xml:space="preserve">). Treated (T) persons may either Recover (TR) after an average of 11.8 days (</w:t>
      </w:r>
      <m:oMath>
        <m:sSub>
          <m:e>
            <m:r>
              <m:rPr>
                <m:sty m:val="p"/>
              </m:rPr>
              <m:t>τ</m:t>
            </m:r>
          </m:e>
          <m:sub>
            <m:r>
              <m:rPr>
                <m:sty m:val="p"/>
              </m:rPr>
              <m:t>T</m:t>
            </m:r>
            <m:r>
              <m:rPr>
                <m:sty m:val="p"/>
              </m:rPr>
              <m:t>→</m:t>
            </m:r>
            <m:r>
              <m:rPr>
                <m:sty m:val="p"/>
              </m:rPr>
              <m:t>T</m:t>
            </m:r>
            <m:r>
              <m:rPr>
                <m:sty m:val="p"/>
              </m:rPr>
              <m:t>R</m:t>
            </m:r>
          </m:sub>
        </m:sSub>
      </m:oMath>
      <w:r>
        <w:t xml:space="preserve">) or Die (TD) after an average of 4.2 days (</w:t>
      </w:r>
      <m:oMath>
        <m:sSub>
          <m:e>
            <m:r>
              <m:rPr>
                <m:sty m:val="p"/>
              </m:rPr>
              <m:t>τ</m:t>
            </m:r>
          </m:e>
          <m:sub>
            <m:r>
              <m:rPr>
                <m:sty m:val="p"/>
              </m:rPr>
              <m:t>T</m:t>
            </m:r>
            <m:r>
              <m:rPr>
                <m:sty m:val="p"/>
              </m:rPr>
              <m:t>→</m:t>
            </m:r>
            <m:r>
              <m:rPr>
                <m:sty m:val="p"/>
              </m:rPr>
              <m:t>T</m:t>
            </m:r>
            <m:r>
              <m:rPr>
                <m:sty m:val="p"/>
              </m:rPr>
              <m:t>D</m:t>
            </m:r>
          </m:sub>
        </m:sSub>
      </m:oMath>
      <w:r>
        <w:t xml:space="preserve">). The case fatality rate was taken to be 70%.</w:t>
      </w:r>
    </w:p>
    <w:p>
      <w:r>
        <w:t xml:space="preserve">Figure 1. SEIR model</w:t>
      </w:r>
    </w:p>
    <w:p>
      <w:r>
        <w:drawing>
          <wp:inline>
            <wp:extent cx="5440680" cy="3273629"/>
            <wp:effectExtent b="0" l="0" r="0" t="0"/>
            <wp:docPr descr="" id="1" name="Picture"/>
            <a:graphic>
              <a:graphicData uri="http://schemas.openxmlformats.org/drawingml/2006/picture">
                <pic:pic>
                  <pic:nvPicPr>
                    <pic:cNvPr descr="Figure1.png" id="0" name="Picture"/>
                    <pic:cNvPicPr>
                      <a:picLocks noChangeArrowheads="1" noChangeAspect="1"/>
                    </pic:cNvPicPr>
                  </pic:nvPicPr>
                  <pic:blipFill>
                    <a:blip r:embed="rId27"/>
                    <a:stretch>
                      <a:fillRect/>
                    </a:stretch>
                  </pic:blipFill>
                  <pic:spPr bwMode="auto">
                    <a:xfrm>
                      <a:off x="0" y="0"/>
                      <a:ext cx="5440680" cy="3273629"/>
                    </a:xfrm>
                    <a:prstGeom prst="rect">
                      <a:avLst/>
                    </a:prstGeom>
                    <a:noFill/>
                    <a:ln w="9525">
                      <a:noFill/>
                      <a:headEnd/>
                      <a:tailEnd/>
                    </a:ln>
                  </pic:spPr>
                </pic:pic>
              </a:graphicData>
            </a:graphic>
          </wp:inline>
        </w:drawing>
      </w:r>
    </w:p>
    <w:p>
      <w:r>
        <w:t xml:space="preserve">Probability of Infected persons (I) becoming Treated (T) (</w:t>
      </w:r>
      <m:oMath>
        <m:sSub>
          <m:e>
            <m:r>
              <m:rPr>
                <m:sty m:val="p"/>
              </m:rPr>
              <m:t>P</m:t>
            </m:r>
          </m:e>
          <m:sub>
            <m:r>
              <m:rPr>
                <m:sty m:val="p"/>
              </m:rPr>
              <m:t>T</m:t>
            </m:r>
          </m:sub>
        </m:sSub>
      </m:oMath>
      <w:r>
        <w:t xml:space="preserve">) was time dependent: on 2014-03-22, the reporting quotient was set to 1/1.5=67%. Taken from the recently published CDC model, the reporting quotient was set to 1/2.5=40% on 2014-08-25. These percentages were then transformed into logit form, squared, and a linear regression was fit to estimate an exponentially decreasing reporting quotient over time.</w:t>
      </w:r>
    </w:p>
    <w:p>
      <w:r>
        <w:t xml:space="preserve">A separate model was fit for each of the three countries.</w:t>
      </w:r>
    </w:p>
    <w:p>
      <w:r>
        <w:t xml:space="preserve">In mathematical terms, the transition equations describing the model are given as:</w:t>
      </w:r>
    </w:p>
    <w:p>
      <m:oMathPara>
        <m:oMathParaPr>
          <m:jc m:val="center"/>
        </m:oMathParaPr>
        <m:oMath>
          <m:f>
            <m:fPr>
              <m:type m:val="bar"/>
            </m:fPr>
            <m:num>
              <m:r>
                <m:rPr>
                  <m:sty m:val="p"/>
                </m:rPr>
                <m:t>d</m:t>
              </m:r>
              <m:r>
                <m:rPr>
                  <m:sty m:val="p"/>
                </m:rPr>
                <m:t>S</m:t>
              </m:r>
            </m:num>
            <m:den>
              <m:r>
                <m:rPr>
                  <m:sty m:val="p"/>
                </m:rPr>
                <m:t>d</m:t>
              </m:r>
              <m:r>
                <m:rPr>
                  <m:sty m:val="p"/>
                </m:rPr>
                <m:t>t</m:t>
              </m:r>
            </m:den>
          </m:f>
          <m:r>
            <m:rPr>
              <m:sty m:val="p"/>
            </m:rPr>
            <m:t>=</m:t>
          </m:r>
          <m:r>
            <m:rPr>
              <m:sty m:val="p"/>
            </m:rPr>
            <m:t>−</m:t>
          </m:r>
          <m:f>
            <m:fPr>
              <m:type m:val="bar"/>
            </m:fPr>
            <m:num>
              <m:r>
                <m:rPr>
                  <m:sty m:val="p"/>
                </m:rPr>
                <m:t>β</m:t>
              </m:r>
              <m:r>
                <m:rPr>
                  <m:sty m:val="p"/>
                </m:rPr>
                <m:t>I</m:t>
              </m:r>
              <m:r>
                <m:rPr>
                  <m:sty m:val="p"/>
                </m:rPr>
                <m:t>S</m:t>
              </m:r>
            </m:num>
            <m:den>
              <m:r>
                <m:rPr>
                  <m:sty m:val="p"/>
                </m:rPr>
                <m:t>N</m:t>
              </m:r>
            </m:den>
          </m:f>
        </m:oMath>
      </m:oMathPara>
    </w:p>
    <w:p>
      <m:oMathPara>
        <m:oMathParaPr>
          <m:jc m:val="center"/>
        </m:oMathParaPr>
        <m:oMath>
          <m:f>
            <m:fPr>
              <m:type m:val="bar"/>
            </m:fPr>
            <m:num>
              <m:r>
                <m:rPr>
                  <m:sty m:val="p"/>
                </m:rPr>
                <m:t>d</m:t>
              </m:r>
              <m:r>
                <m:rPr>
                  <m:sty m:val="p"/>
                </m:rPr>
                <m:t>E</m:t>
              </m:r>
            </m:num>
            <m:den>
              <m:r>
                <m:rPr>
                  <m:sty m:val="p"/>
                </m:rPr>
                <m:t>d</m:t>
              </m:r>
              <m:r>
                <m:rPr>
                  <m:sty m:val="p"/>
                </m:rPr>
                <m:t>t</m:t>
              </m:r>
            </m:den>
          </m:f>
          <m:r>
            <m:rPr>
              <m:sty m:val="p"/>
            </m:rPr>
            <m:t>=</m:t>
          </m:r>
          <m:f>
            <m:fPr>
              <m:type m:val="bar"/>
            </m:fPr>
            <m:num>
              <m:r>
                <m:rPr>
                  <m:sty m:val="p"/>
                </m:rPr>
                <m:t>β</m:t>
              </m:r>
              <m:r>
                <m:rPr>
                  <m:sty m:val="p"/>
                </m:rPr>
                <m:t>I</m:t>
              </m:r>
              <m:r>
                <m:rPr>
                  <m:sty m:val="p"/>
                </m:rPr>
                <m:t>S</m:t>
              </m:r>
            </m:num>
            <m:den>
              <m:r>
                <m:rPr>
                  <m:sty m:val="p"/>
                </m:rPr>
                <m:t>N</m:t>
              </m:r>
            </m:den>
          </m:f>
          <m:r>
            <m:rPr>
              <m:sty m:val="p"/>
            </m:rPr>
            <m:t>−</m:t>
          </m:r>
          <m:r>
            <m:rPr>
              <m:sty m:val="p"/>
            </m:rPr>
            <m:t>a</m:t>
          </m:r>
          <m:r>
            <m:rPr>
              <m:sty m:val="p"/>
            </m:rPr>
            <m:t>E</m:t>
          </m:r>
        </m:oMath>
      </m:oMathPara>
    </w:p>
    <w:p>
      <m:oMathPara>
        <m:oMathParaPr>
          <m:jc m:val="center"/>
        </m:oMathParaPr>
        <m:oMath>
          <m:f>
            <m:fPr>
              <m:type m:val="bar"/>
            </m:fPr>
            <m:num>
              <m:r>
                <m:rPr>
                  <m:sty m:val="p"/>
                </m:rPr>
                <m:t>d</m:t>
              </m:r>
              <m:r>
                <m:rPr>
                  <m:sty m:val="p"/>
                </m:rPr>
                <m:t>I</m:t>
              </m:r>
            </m:num>
            <m:den>
              <m:r>
                <m:rPr>
                  <m:sty m:val="p"/>
                </m:rPr>
                <m:t>d</m:t>
              </m:r>
              <m:r>
                <m:rPr>
                  <m:sty m:val="p"/>
                </m:rPr>
                <m:t>t</m:t>
              </m:r>
            </m:den>
          </m:f>
          <m:r>
            <m:rPr>
              <m:sty m:val="p"/>
            </m:rPr>
            <m:t>=</m:t>
          </m:r>
          <m:r>
            <m:rPr>
              <m:sty m:val="p"/>
            </m:rPr>
            <m:t>a</m:t>
          </m:r>
          <m:r>
            <m:rPr>
              <m:sty m:val="p"/>
            </m:rPr>
            <m:t>E</m:t>
          </m:r>
          <m:r>
            <m:rPr>
              <m:sty m:val="p"/>
            </m:rPr>
            <m:t>−</m:t>
          </m:r>
          <m:r>
            <m:rPr>
              <m:sty m:val="p"/>
            </m:rPr>
            <m:t>(</m:t>
          </m:r>
          <m:sSub>
            <m:e>
              <m:r>
                <m:rPr>
                  <m:sty m:val="p"/>
                </m:rPr>
                <m:t>γ</m:t>
              </m:r>
            </m:e>
            <m:sub>
              <m:r>
                <m:rPr>
                  <m:sty m:val="p"/>
                </m:rPr>
                <m:t>I</m:t>
              </m:r>
              <m:r>
                <m:rPr>
                  <m:sty m:val="p"/>
                </m:rPr>
                <m:t>→</m:t>
              </m:r>
            </m:sub>
          </m:sSub>
          <m:r>
            <m:rPr>
              <m:sty m:val="p"/>
            </m:rPr>
            <m:t>I</m:t>
          </m:r>
          <m:r>
            <m:rPr>
              <m:sty m:val="p"/>
            </m:rPr>
            <m:t>)</m:t>
          </m:r>
        </m:oMath>
      </m:oMathPara>
    </w:p>
    <w:p>
      <m:oMathPara>
        <m:oMathParaPr>
          <m:jc m:val="center"/>
        </m:oMathParaPr>
        <m:oMath>
          <m:f>
            <m:fPr>
              <m:type m:val="bar"/>
            </m:fPr>
            <m:num>
              <m:r>
                <m:rPr>
                  <m:sty m:val="p"/>
                </m:rPr>
                <m:t>d</m:t>
              </m:r>
              <m:r>
                <m:rPr>
                  <m:sty m:val="p"/>
                </m:rPr>
                <m:t>R</m:t>
              </m:r>
            </m:num>
            <m:den>
              <m:r>
                <m:rPr>
                  <m:sty m:val="p"/>
                </m:rPr>
                <m:t>d</m:t>
              </m:r>
              <m:r>
                <m:rPr>
                  <m:sty m:val="p"/>
                </m:rPr>
                <m:t>t</m:t>
              </m:r>
            </m:den>
          </m:f>
          <m:r>
            <m:rPr>
              <m:sty m:val="p"/>
            </m:rPr>
            <m:t>=</m:t>
          </m:r>
          <m:sSub>
            <m:e>
              <m:r>
                <m:rPr>
                  <m:sty m:val="p"/>
                </m:rPr>
                <m:t>γ</m:t>
              </m:r>
            </m:e>
            <m:sub>
              <m:r>
                <m:rPr>
                  <m:sty m:val="p"/>
                </m:rPr>
                <m:t>I</m:t>
              </m:r>
              <m:r>
                <m:rPr>
                  <m:sty m:val="p"/>
                </m:rPr>
                <m:t>→</m:t>
              </m:r>
              <m:r>
                <m:rPr>
                  <m:sty m:val="p"/>
                </m:rPr>
                <m:t>R</m:t>
              </m:r>
            </m:sub>
          </m:sSub>
          <m:r>
            <m:rPr>
              <m:sty m:val="p"/>
            </m:rPr>
            <m:t>I</m:t>
          </m:r>
        </m:oMath>
      </m:oMathPara>
    </w:p>
    <w:p>
      <m:oMathPara>
        <m:oMathParaPr>
          <m:jc m:val="center"/>
        </m:oMathParaPr>
        <m:oMath>
          <m:f>
            <m:fPr>
              <m:type m:val="bar"/>
            </m:fPr>
            <m:num>
              <m:r>
                <m:rPr>
                  <m:sty m:val="p"/>
                </m:rPr>
                <m:t>d</m:t>
              </m:r>
              <m:r>
                <m:rPr>
                  <m:sty m:val="p"/>
                </m:rPr>
                <m:t>D</m:t>
              </m:r>
            </m:num>
            <m:den>
              <m:r>
                <m:rPr>
                  <m:sty m:val="p"/>
                </m:rPr>
                <m:t>d</m:t>
              </m:r>
              <m:r>
                <m:rPr>
                  <m:sty m:val="p"/>
                </m:rPr>
                <m:t>t</m:t>
              </m:r>
            </m:den>
          </m:f>
          <m:r>
            <m:rPr>
              <m:sty m:val="p"/>
            </m:rPr>
            <m:t>=</m:t>
          </m:r>
          <m:sSub>
            <m:e>
              <m:r>
                <m:rPr>
                  <m:sty m:val="p"/>
                </m:rPr>
                <m:t>γ</m:t>
              </m:r>
            </m:e>
            <m:sub>
              <m:r>
                <m:rPr>
                  <m:sty m:val="p"/>
                </m:rPr>
                <m:t>I</m:t>
              </m:r>
              <m:r>
                <m:rPr>
                  <m:sty m:val="p"/>
                </m:rPr>
                <m:t>→</m:t>
              </m:r>
              <m:r>
                <m:rPr>
                  <m:sty m:val="p"/>
                </m:rPr>
                <m:t>D</m:t>
              </m:r>
            </m:sub>
          </m:sSub>
          <m:r>
            <m:rPr>
              <m:sty m:val="p"/>
            </m:rPr>
            <m:t>I</m:t>
          </m:r>
        </m:oMath>
      </m:oMathPara>
    </w:p>
    <w:p>
      <m:oMathPara>
        <m:oMathParaPr>
          <m:jc m:val="center"/>
        </m:oMathParaPr>
        <m:oMath>
          <m:f>
            <m:fPr>
              <m:type m:val="bar"/>
            </m:fPr>
            <m:num>
              <m:r>
                <m:rPr>
                  <m:sty m:val="p"/>
                </m:rPr>
                <m:t>d</m:t>
              </m:r>
              <m:r>
                <m:rPr>
                  <m:sty m:val="p"/>
                </m:rPr>
                <m:t>T</m:t>
              </m:r>
            </m:num>
            <m:den>
              <m:r>
                <m:rPr>
                  <m:sty m:val="p"/>
                </m:rPr>
                <m:t>d</m:t>
              </m:r>
              <m:r>
                <m:rPr>
                  <m:sty m:val="p"/>
                </m:rPr>
                <m:t>t</m:t>
              </m:r>
            </m:den>
          </m:f>
          <m:r>
            <m:rPr>
              <m:sty m:val="p"/>
            </m:rPr>
            <m:t>=</m:t>
          </m:r>
          <m:sSub>
            <m:e>
              <m:r>
                <m:rPr>
                  <m:sty m:val="p"/>
                </m:rPr>
                <m:t>γ</m:t>
              </m:r>
            </m:e>
            <m:sub>
              <m:r>
                <m:rPr>
                  <m:sty m:val="p"/>
                </m:rPr>
                <m:t>I</m:t>
              </m:r>
              <m:r>
                <m:rPr>
                  <m:sty m:val="p"/>
                </m:rPr>
                <m:t>→</m:t>
              </m:r>
              <m:r>
                <m:rPr>
                  <m:sty m:val="p"/>
                </m:rPr>
                <m:t>T</m:t>
              </m:r>
            </m:sub>
          </m:sSub>
          <m:r>
            <m:rPr>
              <m:sty m:val="p"/>
            </m:rPr>
            <m:t>I</m:t>
          </m:r>
          <m:r>
            <m:rPr>
              <m:sty m:val="p"/>
            </m:rPr>
            <m:t>−</m:t>
          </m:r>
          <m:r>
            <m:rPr>
              <m:sty m:val="p"/>
            </m:rPr>
            <m:t>(</m:t>
          </m:r>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r>
                <m:rPr>
                  <m:sty m:val="p"/>
                </m:rPr>
                <m:t>T</m:t>
              </m:r>
              <m:r>
                <m:rPr>
                  <m:sty m:val="p"/>
                </m:rPr>
                <m:t>D</m:t>
              </m:r>
            </m:sub>
          </m:sSub>
          <m:r>
            <m:rPr>
              <m:sty m:val="p"/>
            </m:rPr>
            <m:t>)</m:t>
          </m:r>
          <m:r>
            <m:rPr>
              <m:sty m:val="p"/>
            </m:rPr>
            <m:t>T</m:t>
          </m:r>
        </m:oMath>
      </m:oMathPara>
    </w:p>
    <w:p>
      <m:oMathPara>
        <m:oMathParaPr>
          <m:jc m:val="center"/>
        </m:oMathParaPr>
        <m:oMath>
          <m:f>
            <m:fPr>
              <m:type m:val="bar"/>
            </m:fPr>
            <m:num>
              <m:r>
                <m:rPr>
                  <m:sty m:val="p"/>
                </m:rPr>
                <m:t>d</m:t>
              </m:r>
              <m:r>
                <m:rPr>
                  <m:sty m:val="p"/>
                </m:rPr>
                <m:t>T</m:t>
              </m:r>
              <m:r>
                <m:rPr>
                  <m:sty m:val="p"/>
                </m:rPr>
                <m:t>R</m:t>
              </m:r>
            </m:num>
            <m:den>
              <m:r>
                <m:rPr>
                  <m:sty m:val="p"/>
                </m:rPr>
                <m:t>d</m:t>
              </m:r>
              <m:r>
                <m:rPr>
                  <m:sty m:val="p"/>
                </m:rPr>
                <m:t>t</m:t>
              </m:r>
            </m:den>
          </m:f>
          <m:r>
            <m:rPr>
              <m:sty m:val="p"/>
            </m:rPr>
            <m:t>=</m:t>
          </m:r>
          <m:sSub>
            <m:e>
              <m:r>
                <m:rPr>
                  <m:sty m:val="p"/>
                </m:rPr>
                <m:t>γ</m:t>
              </m:r>
            </m:e>
            <m:sub>
              <m:r>
                <m:rPr>
                  <m:sty m:val="p"/>
                </m:rPr>
                <m:t>T</m:t>
              </m:r>
              <m:r>
                <m:rPr>
                  <m:sty m:val="p"/>
                </m:rPr>
                <m:t>→</m:t>
              </m:r>
              <m:r>
                <m:rPr>
                  <m:sty m:val="p"/>
                </m:rPr>
                <m:t>T</m:t>
              </m:r>
              <m:r>
                <m:rPr>
                  <m:sty m:val="p"/>
                </m:rPr>
                <m:t>R</m:t>
              </m:r>
            </m:sub>
          </m:sSub>
          <m:r>
            <m:rPr>
              <m:sty m:val="p"/>
            </m:rPr>
            <m:t>T</m:t>
          </m:r>
        </m:oMath>
      </m:oMathPara>
    </w:p>
    <w:p>
      <m:oMathPara>
        <m:oMathParaPr>
          <m:jc m:val="center"/>
        </m:oMathParaPr>
        <m:oMath>
          <m:f>
            <m:fPr>
              <m:type m:val="bar"/>
            </m:fPr>
            <m:num>
              <m:r>
                <m:rPr>
                  <m:sty m:val="p"/>
                </m:rPr>
                <m:t>d</m:t>
              </m:r>
              <m:r>
                <m:rPr>
                  <m:sty m:val="p"/>
                </m:rPr>
                <m:t>T</m:t>
              </m:r>
              <m:r>
                <m:rPr>
                  <m:sty m:val="p"/>
                </m:rPr>
                <m:t>D</m:t>
              </m:r>
            </m:num>
            <m:den>
              <m:r>
                <m:rPr>
                  <m:sty m:val="p"/>
                </m:rPr>
                <m:t>d</m:t>
              </m:r>
              <m:r>
                <m:rPr>
                  <m:sty m:val="p"/>
                </m:rPr>
                <m:t>t</m:t>
              </m:r>
            </m:den>
          </m:f>
          <m:r>
            <m:rPr>
              <m:sty m:val="p"/>
            </m:rPr>
            <m:t>=</m:t>
          </m:r>
          <m:sSub>
            <m:e>
              <m:r>
                <m:rPr>
                  <m:sty m:val="p"/>
                </m:rPr>
                <m:t>γ</m:t>
              </m:r>
            </m:e>
            <m:sub>
              <m:r>
                <m:rPr>
                  <m:sty m:val="p"/>
                </m:rPr>
                <m:t>T</m:t>
              </m:r>
              <m:r>
                <m:rPr>
                  <m:sty m:val="p"/>
                </m:rPr>
                <m:t>→</m:t>
              </m:r>
              <m:r>
                <m:rPr>
                  <m:sty m:val="p"/>
                </m:rPr>
                <m:t>T</m:t>
              </m:r>
              <m:r>
                <m:rPr>
                  <m:sty m:val="p"/>
                </m:rPr>
                <m:t>D</m:t>
              </m:r>
            </m:sub>
          </m:sSub>
          <m:r>
            <m:rPr>
              <m:sty m:val="p"/>
            </m:rPr>
            <m:t>T</m:t>
          </m:r>
        </m:oMath>
      </m:oMathPara>
    </w:p>
    <w:p>
      <w:r>
        <w:t xml:space="preserve">Where</w:t>
      </w:r>
    </w:p>
    <w:p>
      <m:oMathPara>
        <m:oMathParaPr>
          <m:jc m:val="center"/>
        </m:oMathParaPr>
        <m:oMath>
          <m:r>
            <m:rPr>
              <m:sty m:val="p"/>
            </m:rPr>
            <m:t>a</m:t>
          </m:r>
          <m:r>
            <m:rPr>
              <m:sty m:val="p"/>
            </m:rPr>
            <m:t>=</m:t>
          </m:r>
          <m:f>
            <m:fPr>
              <m:type m:val="bar"/>
            </m:fPr>
            <m:num>
              <m:r>
                <m:rPr>
                  <m:sty m:val="p"/>
                </m:rPr>
                <m:t>1</m:t>
              </m:r>
            </m:num>
            <m:den>
              <m:sSub>
                <m:e>
                  <m:r>
                    <m:rPr>
                      <m:sty m:val="p"/>
                    </m:rPr>
                    <m:t>τ</m:t>
                  </m:r>
                </m:e>
                <m:sub>
                  <m:r>
                    <m:rPr>
                      <m:sty m:val="p"/>
                    </m:rPr>
                    <m:t>a</m:t>
                  </m:r>
                </m:sub>
              </m:sSub>
            </m:den>
          </m:f>
        </m:oMath>
      </m:oMathPara>
    </w:p>
    <w:p>
      <m:oMathPara>
        <m:oMathParaPr>
          <m:jc m:val="center"/>
        </m:oMathParaPr>
        <m:oMath>
          <m:sSub>
            <m:e>
              <m:r>
                <m:rPr>
                  <m:sty m:val="p"/>
                </m:rPr>
                <m:t>τ</m:t>
              </m:r>
            </m:e>
            <m:sub>
              <m:r>
                <m:rPr>
                  <m:sty m:val="p"/>
                </m:rPr>
                <m:t>I</m:t>
              </m:r>
              <m:r>
                <m:rPr>
                  <m:sty m:val="p"/>
                </m:rPr>
                <m:t>→</m:t>
              </m:r>
            </m:sub>
          </m:sSub>
          <m:r>
            <m:rPr>
              <m:sty m:val="p"/>
            </m:rPr>
            <m:t>=</m:t>
          </m:r>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r>
            <m:rPr>
              <m:sty m:val="p"/>
            </m:rPr>
            <m:t>+</m:t>
          </m:r>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r>
            <m:rPr>
              <m:sty m:val="p"/>
            </m:rPr>
            <m:t>+</m:t>
          </m:r>
          <m:sSub>
            <m:e>
              <m:r>
                <m:rPr>
                  <m:sty m:val="p"/>
                </m:rPr>
                <m:t>P</m:t>
              </m:r>
            </m:e>
            <m:sub>
              <m:r>
                <m:rPr>
                  <m:sty m:val="p"/>
                </m:rPr>
                <m:t>T</m:t>
              </m:r>
            </m:sub>
          </m:sSub>
          <m:sSub>
            <m:e>
              <m:r>
                <m:rPr>
                  <m:sty m:val="p"/>
                </m:rPr>
                <m:t>τ</m:t>
              </m:r>
            </m:e>
            <m:sub>
              <m:r>
                <m:rPr>
                  <m:sty m:val="p"/>
                </m:rPr>
                <m:t>I</m:t>
              </m:r>
              <m:r>
                <m:rPr>
                  <m:sty m:val="p"/>
                </m:rPr>
                <m:t>→</m:t>
              </m:r>
              <m:r>
                <m:rPr>
                  <m:sty m:val="p"/>
                </m:rPr>
                <m:t>T</m:t>
              </m:r>
            </m:sub>
          </m:sSub>
        </m:oMath>
      </m:oMathPara>
    </w:p>
    <w:p>
      <m:oMathPara>
        <m:oMathParaPr>
          <m:jc m:val="center"/>
        </m:oMathParaPr>
        <m:oMath>
          <m:sSub>
            <m:e>
              <m:r>
                <m:rPr>
                  <m:sty m:val="p"/>
                </m:rPr>
                <m:t>γ</m:t>
              </m:r>
            </m:e>
            <m:sub>
              <m:r>
                <m:rPr>
                  <m:sty m:val="p"/>
                </m:rPr>
                <m:t>I</m:t>
              </m:r>
              <m:r>
                <m:rPr>
                  <m:sty m:val="p"/>
                </m:rPr>
                <m:t>→</m:t>
              </m:r>
            </m:sub>
          </m:sSub>
          <m:r>
            <m:rPr>
              <m:sty m:val="p"/>
            </m:rPr>
            <m:t>=</m:t>
          </m:r>
          <m:f>
            <m:fPr>
              <m:type m:val="bar"/>
            </m:fPr>
            <m:num>
              <m:r>
                <m:rPr>
                  <m:sty m:val="p"/>
                </m:rPr>
                <m:t>1</m:t>
              </m:r>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R</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D</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T</m:t>
              </m:r>
            </m:sub>
          </m:sSub>
          <m:r>
            <m:rPr>
              <m:sty m:val="p"/>
            </m:rPr>
            <m:t>=</m:t>
          </m:r>
          <m:sSub>
            <m:e>
              <m:r>
                <m:rPr>
                  <m:sty m:val="p"/>
                </m:rPr>
                <m:t>γ</m:t>
              </m:r>
            </m:e>
            <m:sub>
              <m:r>
                <m:rPr>
                  <m:sty m:val="p"/>
                </m:rPr>
                <m:t>I</m:t>
              </m:r>
              <m:r>
                <m:rPr>
                  <m:sty m:val="p"/>
                </m:rPr>
                <m:t>→</m:t>
              </m:r>
            </m:sub>
          </m:sSub>
          <m:f>
            <m:fPr>
              <m:type m:val="bar"/>
            </m:fPr>
            <m:num>
              <m:sSub>
                <m:e>
                  <m:r>
                    <m:rPr>
                      <m:sty m:val="p"/>
                    </m:rPr>
                    <m:t>P</m:t>
                  </m:r>
                </m:e>
                <m:sub>
                  <m:r>
                    <m:rPr>
                      <m:sty m:val="p"/>
                    </m:rPr>
                    <m:t>T</m:t>
                  </m:r>
                </m:sub>
              </m:sSub>
              <m:sSub>
                <m:e>
                  <m:r>
                    <m:rPr>
                      <m:sty m:val="p"/>
                    </m:rPr>
                    <m:t>τ</m:t>
                  </m:r>
                </m:e>
                <m:sub>
                  <m:r>
                    <m:rPr>
                      <m:sty m:val="p"/>
                    </m:rPr>
                    <m:t>I</m:t>
                  </m:r>
                  <m:r>
                    <m:rPr>
                      <m:sty m:val="p"/>
                    </m:rPr>
                    <m:t>→</m:t>
                  </m:r>
                  <m:r>
                    <m:rPr>
                      <m:sty m:val="p"/>
                    </m:rPr>
                    <m:t>T</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τ</m:t>
              </m:r>
            </m:e>
            <m:sub>
              <m:r>
                <m:rPr>
                  <m:sty m:val="p"/>
                </m:rPr>
                <m:t>T</m:t>
              </m:r>
              <m:r>
                <m:rPr>
                  <m:sty m:val="p"/>
                </m:rPr>
                <m:t>→</m:t>
              </m:r>
            </m:sub>
          </m:sSub>
          <m:r>
            <m:rPr>
              <m:sty m:val="p"/>
            </m:rPr>
            <m:t>=</m:t>
          </m:r>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r>
            <m:rPr>
              <m:sty m:val="p"/>
            </m:rPr>
            <m:t>+</m:t>
          </m:r>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oMath>
      </m:oMathPara>
    </w:p>
    <w:p>
      <m:oMathPara>
        <m:oMathParaPr>
          <m:jc m:val="center"/>
        </m:oMathParaPr>
        <m:oMath>
          <m:sSub>
            <m:e>
              <m:r>
                <m:rPr>
                  <m:sty m:val="p"/>
                </m:rPr>
                <m:t>γ</m:t>
              </m:r>
            </m:e>
            <m:sub>
              <m:r>
                <m:rPr>
                  <m:sty m:val="p"/>
                </m:rPr>
                <m:t>T</m:t>
              </m:r>
              <m:r>
                <m:rPr>
                  <m:sty m:val="p"/>
                </m:rPr>
                <m:t>→</m:t>
              </m:r>
            </m:sub>
          </m:sSub>
          <m:r>
            <m:rPr>
              <m:sty m:val="p"/>
            </m:rPr>
            <m:t>=</m:t>
          </m:r>
          <m:f>
            <m:fPr>
              <m:type m:val="bar"/>
            </m:fPr>
            <m:num>
              <m:r>
                <m:rPr>
                  <m:sty m:val="p"/>
                </m:rPr>
                <m:t>1</m:t>
              </m:r>
            </m:num>
            <m:den>
              <m:sSub>
                <m:e>
                  <m:r>
                    <m:rPr>
                      <m:sty m:val="p"/>
                    </m:rPr>
                    <m:t>τ</m:t>
                  </m:r>
                </m:e>
                <m:sub>
                  <m:r>
                    <m:rPr>
                      <m:sty m:val="p"/>
                    </m:rPr>
                    <m:t>T</m:t>
                  </m:r>
                  <m:r>
                    <m:rPr>
                      <m:sty m:val="p"/>
                    </m:rPr>
                    <m:t>→</m:t>
                  </m:r>
                </m:sub>
              </m:sSub>
            </m:den>
          </m:f>
        </m:oMath>
      </m:oMathPara>
    </w:p>
    <w:p>
      <m:oMathPara>
        <m:oMathParaPr>
          <m:jc m:val="center"/>
        </m:oMathParaPr>
        <m:oMath>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num>
            <m:den>
              <m:sSub>
                <m:e>
                  <m:r>
                    <m:rPr>
                      <m:sty m:val="p"/>
                    </m:rPr>
                    <m:t>τ</m:t>
                  </m:r>
                </m:e>
                <m:sub>
                  <m:r>
                    <m:rPr>
                      <m:sty m:val="p"/>
                    </m:rPr>
                    <m:t>T</m:t>
                  </m:r>
                  <m:r>
                    <m:rPr>
                      <m:sty m:val="p"/>
                    </m:rPr>
                    <m:t>→</m:t>
                  </m:r>
                </m:sub>
              </m:sSub>
            </m:den>
          </m:f>
        </m:oMath>
      </m:oMathPara>
    </w:p>
    <w:p>
      <m:oMathPara>
        <m:oMathParaPr>
          <m:jc m:val="center"/>
        </m:oMathParaPr>
        <m:oMath>
          <m:sSub>
            <m:e>
              <m:r>
                <m:rPr>
                  <m:sty m:val="p"/>
                </m:rPr>
                <m:t>γ</m:t>
              </m:r>
            </m:e>
            <m:sub>
              <m:r>
                <m:rPr>
                  <m:sty m:val="p"/>
                </m:rPr>
                <m:t>T</m:t>
              </m:r>
              <m:r>
                <m:rPr>
                  <m:sty m:val="p"/>
                </m:rPr>
                <m:t>→</m:t>
              </m:r>
              <m:r>
                <m:rPr>
                  <m:sty m:val="p"/>
                </m:rPr>
                <m:t>T</m:t>
              </m:r>
              <m:r>
                <m:rPr>
                  <m:sty m:val="p"/>
                </m:rPr>
                <m:t>D</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num>
            <m:den>
              <m:sSub>
                <m:e>
                  <m:r>
                    <m:rPr>
                      <m:sty m:val="p"/>
                    </m:rPr>
                    <m:t>τ</m:t>
                  </m:r>
                </m:e>
                <m:sub>
                  <m:r>
                    <m:rPr>
                      <m:sty m:val="p"/>
                    </m:rPr>
                    <m:t>T</m:t>
                  </m:r>
                  <m:r>
                    <m:rPr>
                      <m:sty m:val="p"/>
                    </m:rPr>
                    <m:t>→</m:t>
                  </m:r>
                </m:sub>
              </m:sSub>
            </m:den>
          </m:f>
        </m:oMath>
      </m:oMathPara>
    </w:p>
    <w:p>
      <m:oMathPara>
        <m:oMathParaPr>
          <m:jc m:val="center"/>
        </m:oMathParaPr>
        <m:oMath>
          <m:r>
            <m:rPr>
              <m:sty m:val="p"/>
            </m:rPr>
            <m:t>β</m:t>
          </m:r>
          <m:r>
            <m:rPr>
              <m:sty m:val="p"/>
            </m:rPr>
            <m:t>=</m:t>
          </m:r>
          <m:r>
            <m:rPr>
              <m:sty m:val="p"/>
            </m:rPr>
            <m:t>R</m:t>
          </m:r>
          <m:r>
            <m:rPr>
              <m:sty m:val="p"/>
            </m:rPr>
            <m:t>0</m:t>
          </m:r>
          <m:sSub>
            <m:e>
              <m:r>
                <m:rPr>
                  <m:sty m:val="p"/>
                </m:rPr>
                <m:t>γ</m:t>
              </m:r>
            </m:e>
            <m:sub>
              <m:r>
                <m:rPr>
                  <m:sty m:val="p"/>
                </m:rPr>
                <m:t>I</m:t>
              </m:r>
              <m:r>
                <m:rPr>
                  <m:sty m:val="p"/>
                </m:rPr>
                <m:t>→</m:t>
              </m:r>
            </m:sub>
          </m:sSub>
        </m:oMath>
      </m:oMathPara>
    </w:p>
    <w:p>
      <w:r>
        <w:t xml:space="preserve">More concisely, the above average times, rates, and probabilities are clearly defined in Tables 1-3, with sources listed.</w:t>
      </w:r>
    </w:p>
    <w:p>
      <w:r>
        <w:t xml:space="preserve">Table 1. Probabilities, proportions, and populations in the SEIR model</w:t>
      </w:r>
    </w:p>
    <w:tbl>
      <w:tblPr>
        <w:tblStyle w:val="TableNormal"/>
        <w:tblW w:type="pct" w:w="0.0"/>
      </w:tblPr>
      <w:tblGrid/>
      <w:tr>
        <w:tc>
          <w:tcPr>
            <w:tcBorders>
              <w:bottom w:val="single"/>
            </w:tcBorders>
            <w:vAlign w:val="bottom"/>
          </w:tcPr>
          <w:p>
            <w:pPr>
              <w:pStyle w:val="Compact"/>
              <w:jc w:val="right"/>
            </w:pPr>
            <w:r>
              <w:t xml:space="preserve">Variable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Source</w:t>
            </w:r>
          </w:p>
        </w:tc>
      </w:tr>
      <w:tr>
        <w:tc>
          <w:p>
            <w:pPr>
              <w:pStyle w:val="Compact"/>
              <w:jc w:val="right"/>
            </w:pPr>
            <w:r>
              <w:t xml:space="preserve">Case fatality rate</w:t>
            </w:r>
          </w:p>
        </w:tc>
        <w:tc>
          <w:p>
            <w:pPr>
              <w:pStyle w:val="Compact"/>
              <w:jc w:val="right"/>
            </w:pPr>
            <w:r>
              <w:t xml:space="preserve">0.7</w:t>
            </w:r>
          </w:p>
        </w:tc>
        <w:tc>
          <w:p>
            <w:pPr>
              <w:pStyle w:val="Compact"/>
              <w:jc w:val="right"/>
            </w:pPr>
            <w:r>
              <w:t xml:space="preserve">WHO model</w:t>
            </w:r>
          </w:p>
        </w:tc>
      </w:tr>
      <w:tr>
        <w:tc>
          <w:p>
            <w:pPr>
              <w:pStyle w:val="Compact"/>
              <w:jc w:val="right"/>
            </w:pPr>
            <w:r>
              <w:t xml:space="preserve">Probability of treatment/reported</w:t>
            </w:r>
          </w:p>
        </w:tc>
        <w:tc>
          <w:p>
            <w:pPr>
              <w:pStyle w:val="Compact"/>
              <w:jc w:val="right"/>
            </w:pPr>
            <m:oMath>
              <m:sSub>
                <m:e>
                  <m:r>
                    <m:rPr>
                      <m:sty m:val="p"/>
                    </m:rPr>
                    <m:t>P</m:t>
                  </m:r>
                </m:e>
                <m:sub>
                  <m:r>
                    <m:rPr>
                      <m:sty m:val="p"/>
                    </m:rPr>
                    <m:t>t</m:t>
                  </m:r>
                </m:sub>
              </m:sSub>
              <m:r>
                <m:rPr>
                  <m:sty m:val="p"/>
                </m:rPr>
                <m:t>=</m:t>
              </m:r>
              <m:r>
                <m:rPr>
                  <m:sty m:val="p"/>
                </m:rPr>
                <m:t>1</m:t>
              </m:r>
              <m:r>
                <m:rPr>
                  <m:sty m:val="p"/>
                </m:rPr>
                <m:t>/</m:t>
              </m:r>
              <m:r>
                <m:rPr>
                  <m:sty m:val="p"/>
                </m:rPr>
                <m:t>2</m:t>
              </m:r>
              <m:r>
                <m:rPr>
                  <m:sty m:val="p"/>
                </m:rPr>
                <m:t>.</m:t>
              </m:r>
              <m:r>
                <m:rPr>
                  <m:sty m:val="p"/>
                </m:rPr>
                <m:t>5</m:t>
              </m:r>
              <m:r>
                <m:rPr>
                  <m:sty m:val="p"/>
                </m:rPr>
                <m:t>=</m:t>
              </m:r>
              <m:r>
                <m:rPr>
                  <m:sty m:val="p"/>
                </m:rPr>
                <m:t>0</m:t>
              </m:r>
              <m:r>
                <m:rPr>
                  <m:sty m:val="p"/>
                </m:rPr>
                <m:t>.</m:t>
              </m:r>
              <m:r>
                <m:rPr>
                  <m:sty m:val="p"/>
                </m:rPr>
                <m:t>40</m:t>
              </m:r>
            </m:oMath>
            <w:r>
              <w:t xml:space="preserve"> </w:t>
            </w:r>
            <w:r>
              <w:t xml:space="preserve">on 2014/08/25</w:t>
            </w:r>
          </w:p>
        </w:tc>
        <w:tc>
          <w:p>
            <w:pPr>
              <w:pStyle w:val="Compact"/>
              <w:jc w:val="right"/>
            </w:pPr>
            <w:r>
              <w:t xml:space="preserve">CDC model</w:t>
            </w:r>
          </w:p>
        </w:tc>
      </w:tr>
      <w:tr>
        <w:tc>
          <w:p>
            <w:pPr>
              <w:pStyle w:val="Compact"/>
              <w:jc w:val="right"/>
            </w:pPr>
            <w:r>
              <w:t xml:space="preserve">Population of Guinea</w:t>
            </w:r>
          </w:p>
        </w:tc>
        <w:tc>
          <w:p>
            <w:pPr>
              <w:pStyle w:val="Compact"/>
              <w:jc w:val="right"/>
            </w:pPr>
            <w:r>
              <w:t xml:space="preserve">12348000</w:t>
            </w:r>
          </w:p>
        </w:tc>
        <w:tc>
          <w:p>
            <w:pPr>
              <w:pStyle w:val="Compact"/>
              <w:jc w:val="right"/>
            </w:pPr>
            <w:r>
              <w:t xml:space="preserve">UNPOP 2012</w:t>
            </w:r>
          </w:p>
        </w:tc>
      </w:tr>
      <w:tr>
        <w:tc>
          <w:p>
            <w:pPr>
              <w:pStyle w:val="Compact"/>
              <w:jc w:val="right"/>
            </w:pPr>
            <w:r>
              <w:t xml:space="preserve">Population of Liberia</w:t>
            </w:r>
          </w:p>
        </w:tc>
        <w:tc>
          <w:p>
            <w:pPr>
              <w:pStyle w:val="Compact"/>
              <w:jc w:val="right"/>
            </w:pPr>
            <w:r>
              <w:t xml:space="preserve">4503000</w:t>
            </w:r>
          </w:p>
        </w:tc>
        <w:tc>
          <w:p>
            <w:pPr>
              <w:pStyle w:val="Compact"/>
              <w:jc w:val="right"/>
            </w:pPr>
            <w:r>
              <w:t xml:space="preserve">UNPOP 2012</w:t>
            </w:r>
          </w:p>
        </w:tc>
      </w:tr>
      <w:tr>
        <w:tc>
          <w:p>
            <w:pPr>
              <w:pStyle w:val="Compact"/>
              <w:jc w:val="right"/>
            </w:pPr>
            <w:r>
              <w:t xml:space="preserve">Population of Sierra Leone</w:t>
            </w:r>
          </w:p>
        </w:tc>
        <w:tc>
          <w:p>
            <w:pPr>
              <w:pStyle w:val="Compact"/>
              <w:jc w:val="right"/>
            </w:pPr>
            <w:r>
              <w:t xml:space="preserve">6319</w:t>
            </w:r>
          </w:p>
        </w:tc>
        <w:tc>
          <w:p>
            <w:pPr>
              <w:pStyle w:val="Compact"/>
              <w:jc w:val="right"/>
            </w:pPr>
            <w:r>
              <w:t xml:space="preserve">UNPOP 2012</w:t>
            </w:r>
          </w:p>
        </w:tc>
      </w:tr>
    </w:tbl>
    <w:p>
      <w:r>
        <w:t xml:space="preserve">Table 2. Average days spent in first compartment of the SEIR model when transitioning</w:t>
      </w:r>
    </w:p>
    <w:tbl>
      <w:tblPr>
        <w:tblStyle w:val="TableNormal"/>
        <w:tblW w:type="pct" w:w="0.0"/>
      </w:tblPr>
      <w:tblGrid/>
      <w:tr>
        <w:tc>
          <w:tcPr>
            <w:tcBorders>
              <w:bottom w:val="single"/>
            </w:tcBorders>
            <w:vAlign w:val="bottom"/>
          </w:tcPr>
          <w:p>
            <w:pPr>
              <w:pStyle w:val="Compact"/>
              <w:jc w:val="right"/>
            </w:pPr>
            <w:r>
              <w:t xml:space="preserve">Transition</w:t>
            </w:r>
          </w:p>
        </w:tc>
        <w:tc>
          <w:tcPr>
            <w:tcBorders>
              <w:bottom w:val="single"/>
            </w:tcBorders>
            <w:vAlign w:val="bottom"/>
          </w:tcPr>
          <w:p>
            <w:pPr>
              <w:pStyle w:val="Compact"/>
              <w:jc w:val="right"/>
            </w:pPr>
            <w:r>
              <w:t xml:space="preserve">Average days spent in first compartment</w:t>
            </w:r>
          </w:p>
        </w:tc>
        <w:tc>
          <w:tcPr>
            <w:tcBorders>
              <w:bottom w:val="single"/>
            </w:tcBorders>
            <w:vAlign w:val="bottom"/>
          </w:tcPr>
          <w:p>
            <w:pPr>
              <w:pStyle w:val="Compact"/>
              <w:jc w:val="right"/>
            </w:pPr>
            <w:r>
              <w:t xml:space="preserve">Source</w:t>
            </w:r>
          </w:p>
        </w:tc>
      </w:tr>
      <w:tr>
        <w:tc>
          <w:p>
            <w:pPr>
              <w:pStyle w:val="Compact"/>
              <w:jc w:val="right"/>
            </w:pPr>
            <m:oMath>
              <m:r>
                <m:rPr>
                  <m:sty m:val="p"/>
                </m:rPr>
                <m:t>E</m:t>
              </m:r>
              <m:r>
                <m:rPr>
                  <m:sty m:val="p"/>
                </m:rPr>
                <m:t>→</m:t>
              </m:r>
              <m:r>
                <m:rPr>
                  <m:sty m:val="p"/>
                </m:rPr>
                <m:t>I</m:t>
              </m:r>
            </m:oMath>
          </w:p>
        </w:tc>
        <w:tc>
          <w:p>
            <w:pPr>
              <w:pStyle w:val="Compact"/>
              <w:jc w:val="right"/>
            </w:pPr>
            <m:oMath>
              <m:sSub>
                <m:e>
                  <m:r>
                    <m:rPr>
                      <m:sty m:val="p"/>
                    </m:rPr>
                    <m:t>τ</m:t>
                  </m:r>
                </m:e>
                <m:sub>
                  <m:r>
                    <m:rPr>
                      <m:sty m:val="p"/>
                    </m:rPr>
                    <m:t>a</m:t>
                  </m:r>
                </m:sub>
              </m:sSub>
              <m:r>
                <m:rPr>
                  <m:sty m:val="p"/>
                </m:rPr>
                <m:t>=</m:t>
              </m:r>
              <m:r>
                <m:rPr>
                  <m:sty m:val="p"/>
                </m:rPr>
                <m:t>11</m:t>
              </m:r>
              <m:r>
                <m:rPr>
                  <m:sty m:val="p"/>
                </m:rPr>
                <m:t>.</m:t>
              </m:r>
              <m:r>
                <m:rPr>
                  <m:sty m:val="p"/>
                </m:rPr>
                <m:t>4</m:t>
              </m:r>
            </m:oMath>
          </w:p>
        </w:tc>
        <w:tc>
          <w:p>
            <w:pPr>
              <w:pStyle w:val="Compact"/>
              <w:jc w:val="right"/>
            </w:pPr>
            <w:r>
              <w:t xml:space="preserve">WHO model</w:t>
            </w:r>
          </w:p>
        </w:tc>
      </w:tr>
      <w:tr>
        <w:tc>
          <w:p>
            <w:pPr>
              <w:pStyle w:val="Compact"/>
              <w:jc w:val="right"/>
            </w:pPr>
            <m:oMath>
              <m:r>
                <m:rPr>
                  <m:sty m:val="p"/>
                </m:rPr>
                <m:t>I</m:t>
              </m:r>
              <m:r>
                <m:rPr>
                  <m:sty m:val="p"/>
                </m:rPr>
                <m:t>→</m:t>
              </m:r>
              <m:r>
                <m:rPr>
                  <m:sty m:val="p"/>
                </m:rPr>
                <m:t>T</m:t>
              </m:r>
            </m:oMath>
          </w:p>
        </w:tc>
        <w:tc>
          <w:p>
            <w:pPr>
              <w:pStyle w:val="Compact"/>
              <w:jc w:val="right"/>
            </w:pPr>
            <m:oMath>
              <m:sSub>
                <m:e>
                  <m:r>
                    <m:rPr>
                      <m:sty m:val="p"/>
                    </m:rPr>
                    <m:t>τ</m:t>
                  </m:r>
                </m:e>
                <m:sub>
                  <m:r>
                    <m:rPr>
                      <m:sty m:val="p"/>
                    </m:rPr>
                    <m:t>I</m:t>
                  </m:r>
                  <m:r>
                    <m:rPr>
                      <m:sty m:val="p"/>
                    </m:rPr>
                    <m:t>→</m:t>
                  </m:r>
                  <m:r>
                    <m:rPr>
                      <m:sty m:val="p"/>
                    </m:rPr>
                    <m:t>T</m:t>
                  </m:r>
                </m:sub>
              </m:sSub>
              <m:r>
                <m:rPr>
                  <m:sty m:val="p"/>
                </m:rPr>
                <m:t>=</m:t>
              </m:r>
              <m:r>
                <m:rPr>
                  <m:sty m:val="p"/>
                </m:rPr>
                <m:t>5</m:t>
              </m:r>
            </m:oMath>
          </w:p>
        </w:tc>
        <w:tc>
          <w:p>
            <w:pPr>
              <w:pStyle w:val="Compact"/>
              <w:jc w:val="right"/>
            </w:pPr>
            <w:r>
              <w:t xml:space="preserve">WHO model</w:t>
            </w:r>
          </w:p>
        </w:tc>
      </w:tr>
      <w:tr>
        <w:tc>
          <w:p>
            <w:pPr>
              <w:pStyle w:val="Compact"/>
              <w:jc w:val="right"/>
            </w:pPr>
            <m:oMath>
              <m:r>
                <m:rPr>
                  <m:sty m:val="p"/>
                </m:rPr>
                <m:t>T</m:t>
              </m:r>
              <m:r>
                <m:rPr>
                  <m:sty m:val="p"/>
                </m:rPr>
                <m:t>→</m:t>
              </m:r>
              <m:r>
                <m:rPr>
                  <m:sty m:val="p"/>
                </m:rPr>
                <m:t>T</m:t>
              </m:r>
              <m:r>
                <m:rPr>
                  <m:sty m:val="p"/>
                </m:rPr>
                <m:t>R</m:t>
              </m:r>
            </m:oMath>
          </w:p>
        </w:tc>
        <w:tc>
          <w:p>
            <w:pPr>
              <w:pStyle w:val="Compact"/>
              <w:jc w:val="right"/>
            </w:pPr>
            <m:oMath>
              <m:sSub>
                <m:e>
                  <m:r>
                    <m:rPr>
                      <m:sty m:val="p"/>
                    </m:rPr>
                    <m:t>τ</m:t>
                  </m:r>
                </m:e>
                <m:sub>
                  <m:r>
                    <m:rPr>
                      <m:sty m:val="p"/>
                    </m:rPr>
                    <m:t>T</m:t>
                  </m:r>
                  <m:r>
                    <m:rPr>
                      <m:sty m:val="p"/>
                    </m:rPr>
                    <m:t>→</m:t>
                  </m:r>
                  <m:r>
                    <m:rPr>
                      <m:sty m:val="p"/>
                    </m:rPr>
                    <m:t>T</m:t>
                  </m:r>
                  <m:r>
                    <m:rPr>
                      <m:sty m:val="p"/>
                    </m:rPr>
                    <m:t>R</m:t>
                  </m:r>
                </m:sub>
              </m:sSub>
              <m:r>
                <m:rPr>
                  <m:sty m:val="p"/>
                </m:rPr>
                <m:t>=</m:t>
              </m:r>
              <m:r>
                <m:rPr>
                  <m:sty m:val="p"/>
                </m:rPr>
                <m:t>11</m:t>
              </m:r>
              <m:r>
                <m:rPr>
                  <m:sty m:val="p"/>
                </m:rPr>
                <m:t>.</m:t>
              </m:r>
              <m:r>
                <m:rPr>
                  <m:sty m:val="p"/>
                </m:rPr>
                <m:t>8</m:t>
              </m:r>
            </m:oMath>
          </w:p>
        </w:tc>
        <w:tc>
          <w:p>
            <w:pPr>
              <w:pStyle w:val="Compact"/>
              <w:jc w:val="right"/>
            </w:pPr>
            <w:r>
              <w:t xml:space="preserve">WHO model</w:t>
            </w:r>
          </w:p>
        </w:tc>
      </w:tr>
      <w:tr>
        <w:tc>
          <w:p>
            <w:pPr>
              <w:pStyle w:val="Compact"/>
              <w:jc w:val="right"/>
            </w:pPr>
            <m:oMath>
              <m:r>
                <m:rPr>
                  <m:sty m:val="p"/>
                </m:rPr>
                <m:t>T</m:t>
              </m:r>
              <m:r>
                <m:rPr>
                  <m:sty m:val="p"/>
                </m:rPr>
                <m:t>→</m:t>
              </m:r>
              <m:r>
                <m:rPr>
                  <m:sty m:val="p"/>
                </m:rPr>
                <m:t>T</m:t>
              </m:r>
              <m:r>
                <m:rPr>
                  <m:sty m:val="p"/>
                </m:rPr>
                <m:t>D</m:t>
              </m:r>
            </m:oMath>
          </w:p>
        </w:tc>
        <w:tc>
          <w:p>
            <w:pPr>
              <w:pStyle w:val="Compact"/>
              <w:jc w:val="right"/>
            </w:pPr>
            <m:oMath>
              <m:sSub>
                <m:e>
                  <m:r>
                    <m:rPr>
                      <m:sty m:val="p"/>
                    </m:rPr>
                    <m:t>τ</m:t>
                  </m:r>
                </m:e>
                <m:sub>
                  <m:r>
                    <m:rPr>
                      <m:sty m:val="p"/>
                    </m:rPr>
                    <m:t>T</m:t>
                  </m:r>
                  <m:r>
                    <m:rPr>
                      <m:sty m:val="p"/>
                    </m:rPr>
                    <m:t>→</m:t>
                  </m:r>
                  <m:r>
                    <m:rPr>
                      <m:sty m:val="p"/>
                    </m:rPr>
                    <m:t>T</m:t>
                  </m:r>
                  <m:r>
                    <m:rPr>
                      <m:sty m:val="p"/>
                    </m:rPr>
                    <m:t>D</m:t>
                  </m:r>
                </m:sub>
              </m:sSub>
              <m:r>
                <m:rPr>
                  <m:sty m:val="p"/>
                </m:rPr>
                <m:t>=</m:t>
              </m:r>
              <m:r>
                <m:rPr>
                  <m:sty m:val="p"/>
                </m:rPr>
                <m:t>4</m:t>
              </m:r>
              <m:r>
                <m:rPr>
                  <m:sty m:val="p"/>
                </m:rPr>
                <m:t>.</m:t>
              </m:r>
              <m:r>
                <m:rPr>
                  <m:sty m:val="p"/>
                </m:rPr>
                <m:t>2</m:t>
              </m:r>
            </m:oMath>
          </w:p>
        </w:tc>
        <w:tc>
          <w:p>
            <w:pPr>
              <w:pStyle w:val="Compact"/>
              <w:jc w:val="right"/>
            </w:pPr>
            <w:r>
              <w:t xml:space="preserve">WHO model</w:t>
            </w:r>
          </w:p>
        </w:tc>
      </w:tr>
      <w:tr>
        <w:tc>
          <w:p>
            <w:pPr>
              <w:pStyle w:val="Compact"/>
              <w:jc w:val="right"/>
            </w:pPr>
            <m:oMath>
              <m:r>
                <m:rPr>
                  <m:sty m:val="p"/>
                </m:rPr>
                <m:t>I</m:t>
              </m:r>
              <m:r>
                <m:rPr>
                  <m:sty m:val="p"/>
                </m:rPr>
                <m:t>→</m:t>
              </m:r>
              <m:r>
                <m:rPr>
                  <m:sty m:val="p"/>
                </m:rPr>
                <m:t>R</m:t>
              </m:r>
            </m:oMath>
          </w:p>
        </w:tc>
        <w:tc>
          <w:p>
            <w:pPr>
              <w:pStyle w:val="Compact"/>
              <w:jc w:val="right"/>
            </w:pPr>
            <m:oMath>
              <m:sSub>
                <m:e>
                  <m:r>
                    <m:rPr>
                      <m:sty m:val="p"/>
                    </m:rPr>
                    <m:t>τ</m:t>
                  </m:r>
                </m:e>
                <m:sub>
                  <m:r>
                    <m:rPr>
                      <m:sty m:val="p"/>
                    </m:rPr>
                    <m:t>I</m:t>
                  </m:r>
                  <m:r>
                    <m:rPr>
                      <m:sty m:val="p"/>
                    </m:rPr>
                    <m:t>→</m:t>
                  </m:r>
                  <m:r>
                    <m:rPr>
                      <m:sty m:val="p"/>
                    </m:rPr>
                    <m:t>R</m:t>
                  </m:r>
                </m:sub>
              </m:sSub>
              <m:r>
                <m:rPr>
                  <m:sty m:val="p"/>
                </m:rPr>
                <m:t>=</m:t>
              </m:r>
              <m:r>
                <m:rPr>
                  <m:sty m:val="p"/>
                </m:rPr>
                <m:t>5</m:t>
              </m:r>
              <m:r>
                <m:rPr>
                  <m:sty m:val="p"/>
                </m:rPr>
                <m:t>+</m:t>
              </m:r>
              <m:r>
                <m:rPr>
                  <m:sty m:val="p"/>
                </m:rPr>
                <m:t>11</m:t>
              </m:r>
              <m:r>
                <m:rPr>
                  <m:sty m:val="p"/>
                </m:rPr>
                <m:t>.</m:t>
              </m:r>
              <m:r>
                <m:rPr>
                  <m:sty m:val="p"/>
                </m:rPr>
                <m:t>8</m:t>
              </m:r>
            </m:oMath>
          </w:p>
        </w:tc>
        <w:tc>
          <w:p>
            <w:pPr>
              <w:pStyle w:val="Compact"/>
              <w:jc w:val="right"/>
            </w:pPr>
            <w:r>
              <w:t xml:space="preserve">Constructed</w:t>
            </w:r>
          </w:p>
        </w:tc>
      </w:tr>
      <w:tr>
        <w:tc>
          <w:p>
            <w:pPr>
              <w:pStyle w:val="Compact"/>
              <w:jc w:val="right"/>
            </w:pPr>
            <m:oMath>
              <m:r>
                <m:rPr>
                  <m:sty m:val="p"/>
                </m:rPr>
                <m:t>I</m:t>
              </m:r>
              <m:r>
                <m:rPr>
                  <m:sty m:val="p"/>
                </m:rPr>
                <m:t>→</m:t>
              </m:r>
              <m:r>
                <m:rPr>
                  <m:sty m:val="p"/>
                </m:rPr>
                <m:t>D</m:t>
              </m:r>
            </m:oMath>
          </w:p>
        </w:tc>
        <w:tc>
          <w:p>
            <w:pPr>
              <w:pStyle w:val="Compact"/>
              <w:jc w:val="right"/>
            </w:pPr>
            <m:oMath>
              <m:sSub>
                <m:e>
                  <m:r>
                    <m:rPr>
                      <m:sty m:val="p"/>
                    </m:rPr>
                    <m:t>τ</m:t>
                  </m:r>
                </m:e>
                <m:sub>
                  <m:r>
                    <m:rPr>
                      <m:sty m:val="p"/>
                    </m:rPr>
                    <m:t>I</m:t>
                  </m:r>
                  <m:r>
                    <m:rPr>
                      <m:sty m:val="p"/>
                    </m:rPr>
                    <m:t>→</m:t>
                  </m:r>
                  <m:r>
                    <m:rPr>
                      <m:sty m:val="p"/>
                    </m:rPr>
                    <m:t>D</m:t>
                  </m:r>
                </m:sub>
              </m:sSub>
              <m:r>
                <m:rPr>
                  <m:sty m:val="p"/>
                </m:rPr>
                <m:t>=</m:t>
              </m:r>
              <m:r>
                <m:rPr>
                  <m:sty m:val="p"/>
                </m:rPr>
                <m:t>5</m:t>
              </m:r>
              <m:r>
                <m:rPr>
                  <m:sty m:val="p"/>
                </m:rPr>
                <m:t>+</m:t>
              </m:r>
              <m:r>
                <m:rPr>
                  <m:sty m:val="p"/>
                </m:rPr>
                <m:t>4</m:t>
              </m:r>
              <m:r>
                <m:rPr>
                  <m:sty m:val="p"/>
                </m:rPr>
                <m:t>.</m:t>
              </m:r>
              <m:r>
                <m:rPr>
                  <m:sty m:val="p"/>
                </m:rPr>
                <m:t>2</m:t>
              </m:r>
            </m:oMath>
          </w:p>
        </w:tc>
        <w:tc>
          <w:p>
            <w:pPr>
              <w:pStyle w:val="Compact"/>
              <w:jc w:val="right"/>
            </w:pPr>
            <w:r>
              <w:t xml:space="preserve">Constructed</w:t>
            </w:r>
          </w:p>
        </w:tc>
      </w:tr>
      <w:tr>
        <w:tc>
          <w:p>
            <w:pPr>
              <w:pStyle w:val="Compact"/>
              <w:jc w:val="right"/>
            </w:pPr>
            <m:oMath>
              <m:r>
                <m:rPr>
                  <m:sty m:val="p"/>
                </m:rPr>
                <m:t>I</m:t>
              </m:r>
              <m:r>
                <m:rPr>
                  <m:sty m:val="p"/>
                </m:rPr>
                <m:t>→</m:t>
              </m:r>
              <m:r>
                <m:rPr>
                  <m:sty m:val="p"/>
                </m:rPr>
                <m:t>T</m:t>
              </m:r>
              <m:r>
                <m:rPr>
                  <m:sty m:val="p"/>
                </m:rPr>
                <m:t>,</m:t>
              </m:r>
              <m:r>
                <m:rPr>
                  <m:sty m:val="p"/>
                </m:rPr>
                <m:t>R</m:t>
              </m:r>
              <m:r>
                <m:rPr>
                  <m:sty m:val="p"/>
                </m:rPr>
                <m:t>,</m:t>
              </m:r>
              <m:r>
                <m:rPr>
                  <m:sty m:val="p"/>
                </m:rPr>
                <m:t>D</m:t>
              </m:r>
            </m:oMath>
          </w:p>
        </w:tc>
        <w:tc>
          <w:p>
            <w:pPr>
              <w:pStyle w:val="Compact"/>
              <w:jc w:val="right"/>
            </w:pPr>
            <m:oMath>
              <m:sSub>
                <m:e>
                  <m:r>
                    <m:rPr>
                      <m:sty m:val="p"/>
                    </m:rPr>
                    <m:t>τ</m:t>
                  </m:r>
                </m:e>
                <m:sub>
                  <m:r>
                    <m:rPr>
                      <m:sty m:val="p"/>
                    </m:rPr>
                    <m:t>I</m:t>
                  </m:r>
                  <m:r>
                    <m:rPr>
                      <m:sty m:val="p"/>
                    </m:rPr>
                    <m:t>→</m:t>
                  </m:r>
                </m:sub>
              </m:sSub>
              <m:r>
                <m:rPr>
                  <m:sty m:val="p"/>
                </m:rPr>
                <m:t>=</m:t>
              </m:r>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r>
                <m:rPr>
                  <m:sty m:val="p"/>
                </m:rPr>
                <m:t>+</m:t>
              </m:r>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r>
                <m:rPr>
                  <m:sty m:val="p"/>
                </m:rPr>
                <m:t>+</m:t>
              </m:r>
              <m:r>
                <m:rPr>
                  <m:sty m:val="p"/>
                </m:rPr>
                <m:t>0</m:t>
              </m:r>
              <m:r>
                <m:rPr>
                  <m:sty m:val="p"/>
                </m:rPr>
                <m:t>.</m:t>
              </m:r>
              <m:r>
                <m:rPr>
                  <m:sty m:val="p"/>
                </m:rPr>
                <m:t>4</m:t>
              </m:r>
              <m:sSub>
                <m:e>
                  <m:r>
                    <m:rPr>
                      <m:sty m:val="p"/>
                    </m:rPr>
                    <m:t>τ</m:t>
                  </m:r>
                </m:e>
                <m:sub>
                  <m:r>
                    <m:rPr>
                      <m:sty m:val="p"/>
                    </m:rPr>
                    <m:t>I</m:t>
                  </m:r>
                  <m:r>
                    <m:rPr>
                      <m:sty m:val="p"/>
                    </m:rPr>
                    <m:t>→</m:t>
                  </m:r>
                  <m:r>
                    <m:rPr>
                      <m:sty m:val="p"/>
                    </m:rPr>
                    <m:t>T</m:t>
                  </m:r>
                </m:sub>
              </m:sSub>
            </m:oMath>
          </w:p>
        </w:tc>
        <w:tc>
          <w:p>
            <w:pPr>
              <w:pStyle w:val="Compact"/>
              <w:jc w:val="right"/>
            </w:pPr>
            <w:r>
              <w:t xml:space="preserve">Constructed</w:t>
            </w:r>
          </w:p>
        </w:tc>
      </w:tr>
    </w:tbl>
    <w:p>
      <w:r>
        <w:t xml:space="preserve">Table 3. Rates used in the SEIR model</w:t>
      </w:r>
    </w:p>
    <w:tbl>
      <w:tblPr>
        <w:tblStyle w:val="TableNormal"/>
        <w:tblW w:type="pct" w:w="0.0"/>
      </w:tblPr>
      <w:tblGrid/>
      <w:tr>
        <w:tc>
          <w:tcPr>
            <w:tcBorders>
              <w:bottom w:val="single"/>
            </w:tcBorders>
            <w:vAlign w:val="bottom"/>
          </w:tcPr>
          <w:p>
            <w:pPr>
              <w:pStyle w:val="Compact"/>
              <w:jc w:val="right"/>
            </w:pPr>
            <w:r>
              <w:t xml:space="preserve">Transition</w:t>
            </w:r>
          </w:p>
        </w:tc>
        <w:tc>
          <w:tcPr>
            <w:tcBorders>
              <w:bottom w:val="single"/>
            </w:tcBorders>
            <w:vAlign w:val="bottom"/>
          </w:tcPr>
          <w:p>
            <w:pPr>
              <w:pStyle w:val="Compact"/>
              <w:jc w:val="right"/>
            </w:pPr>
            <w:r>
              <w:t xml:space="preserve">P(transition)</w:t>
            </w:r>
          </w:p>
        </w:tc>
        <w:tc>
          <w:tcPr>
            <w:tcBorders>
              <w:bottom w:val="single"/>
            </w:tcBorders>
            <w:vAlign w:val="bottom"/>
          </w:tcPr>
          <w:p>
            <w:pPr>
              <w:pStyle w:val="Compact"/>
              <w:jc w:val="right"/>
            </w:pPr>
            <w:r>
              <w:t xml:space="preserve">Rate</w:t>
            </w:r>
          </w:p>
        </w:tc>
      </w:tr>
      <w:tr>
        <w:tc>
          <w:p>
            <w:pPr>
              <w:pStyle w:val="Compact"/>
              <w:jc w:val="right"/>
            </w:pPr>
            <m:oMath>
              <m:r>
                <m:rPr>
                  <m:sty m:val="p"/>
                </m:rPr>
                <m:t>E</m:t>
              </m:r>
              <m:r>
                <m:rPr>
                  <m:sty m:val="p"/>
                </m:rPr>
                <m:t>→</m:t>
              </m:r>
              <m:r>
                <m:rPr>
                  <m:sty m:val="p"/>
                </m:rPr>
                <m:t>I</m:t>
              </m:r>
            </m:oMath>
          </w:p>
        </w:tc>
        <w:tc>
          <w:p>
            <w:pPr>
              <w:pStyle w:val="Compact"/>
              <w:jc w:val="right"/>
            </w:pPr>
            <w:r>
              <w:t xml:space="preserve">1</w:t>
            </w:r>
          </w:p>
        </w:tc>
        <w:tc>
          <w:p>
            <w:pPr>
              <w:pStyle w:val="Compact"/>
              <w:jc w:val="right"/>
            </w:pPr>
            <m:oMath>
              <m:r>
                <m:rPr>
                  <m:sty m:val="p"/>
                </m:rPr>
                <m:t>a</m:t>
              </m:r>
              <m:r>
                <m:rPr>
                  <m:sty m:val="p"/>
                </m:rPr>
                <m:t>=</m:t>
              </m:r>
              <m:f>
                <m:fPr>
                  <m:type m:val="bar"/>
                </m:fPr>
                <m:num>
                  <m:r>
                    <m:rPr>
                      <m:sty m:val="p"/>
                    </m:rPr>
                    <m:t>1</m:t>
                  </m:r>
                </m:num>
                <m:den>
                  <m:sSub>
                    <m:e>
                      <m:r>
                        <m:rPr>
                          <m:sty m:val="p"/>
                        </m:rPr>
                        <m:t>τ</m:t>
                      </m:r>
                    </m:e>
                    <m:sub>
                      <m:r>
                        <m:rPr>
                          <m:sty m:val="p"/>
                        </m:rPr>
                        <m:t>a</m:t>
                      </m:r>
                    </m:sub>
                  </m:sSub>
                </m:den>
              </m:f>
            </m:oMath>
          </w:p>
        </w:tc>
      </w:tr>
      <w:tr>
        <w:tc>
          <w:p>
            <w:pPr>
              <w:pStyle w:val="Compact"/>
              <w:jc w:val="right"/>
            </w:pPr>
            <m:oMath>
              <m:r>
                <m:rPr>
                  <m:sty m:val="p"/>
                </m:rPr>
                <m:t>I</m:t>
              </m:r>
              <m:r>
                <m:rPr>
                  <m:sty m:val="p"/>
                </m:rPr>
                <m:t>→</m:t>
              </m:r>
              <m:r>
                <m:rPr>
                  <m:sty m:val="p"/>
                </m:rPr>
                <m:t>R</m:t>
              </m:r>
            </m:oMath>
          </w:p>
        </w:tc>
        <w:tc>
          <w:p>
            <w:pPr>
              <w:pStyle w:val="Compact"/>
              <w:jc w:val="right"/>
            </w:pPr>
            <m:oMath>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oMath>
          </w:p>
        </w:tc>
        <w:tc>
          <w:p>
            <w:pPr>
              <w:pStyle w:val="Compact"/>
              <w:jc w:val="right"/>
            </w:pPr>
            <m:oMath>
              <m:sSub>
                <m:e>
                  <m:r>
                    <m:rPr>
                      <m:sty m:val="p"/>
                    </m:rPr>
                    <m:t>γ</m:t>
                  </m:r>
                </m:e>
                <m:sub>
                  <m:r>
                    <m:rPr>
                      <m:sty m:val="p"/>
                    </m:rPr>
                    <m:t>I</m:t>
                  </m:r>
                  <m:r>
                    <m:rPr>
                      <m:sty m:val="p"/>
                    </m:rPr>
                    <m:t>→</m:t>
                  </m:r>
                  <m:r>
                    <m:rPr>
                      <m:sty m:val="p"/>
                    </m:rPr>
                    <m:t>R</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num>
                <m:den>
                  <m:sSub>
                    <m:e>
                      <m:r>
                        <m:rPr>
                          <m:sty m:val="p"/>
                        </m:rPr>
                        <m:t>τ</m:t>
                      </m:r>
                    </m:e>
                    <m:sub>
                      <m:r>
                        <m:rPr>
                          <m:sty m:val="p"/>
                        </m:rPr>
                        <m:t>I</m:t>
                      </m:r>
                      <m:r>
                        <m:rPr>
                          <m:sty m:val="p"/>
                        </m:rPr>
                        <m:t>→</m:t>
                      </m:r>
                    </m:sub>
                  </m:sSub>
                </m:den>
              </m:f>
            </m:oMath>
          </w:p>
        </w:tc>
      </w:tr>
      <w:tr>
        <w:tc>
          <w:p>
            <w:pPr>
              <w:pStyle w:val="Compact"/>
              <w:jc w:val="right"/>
            </w:pPr>
            <m:oMath>
              <m:r>
                <m:rPr>
                  <m:sty m:val="p"/>
                </m:rPr>
                <m:t>I</m:t>
              </m:r>
              <m:r>
                <m:rPr>
                  <m:sty m:val="p"/>
                </m:rPr>
                <m:t>→</m:t>
              </m:r>
              <m:r>
                <m:rPr>
                  <m:sty m:val="p"/>
                </m:rPr>
                <m:t>D</m:t>
              </m:r>
            </m:oMath>
          </w:p>
        </w:tc>
        <w:tc>
          <w:p>
            <w:pPr>
              <w:pStyle w:val="Compact"/>
              <w:jc w:val="right"/>
            </w:pPr>
            <m:oMath>
              <m:r>
                <m:rPr>
                  <m:sty m:val="p"/>
                </m:rPr>
                <m:t>0</m:t>
              </m:r>
              <m:r>
                <m:rPr>
                  <m:sty m:val="p"/>
                </m:rPr>
                <m:t>.</m:t>
              </m:r>
              <m:r>
                <m:rPr>
                  <m:sty m:val="p"/>
                </m:rPr>
                <m:t>4</m:t>
              </m:r>
              <m:r>
                <m:rPr>
                  <m:sty m:val="p"/>
                </m:rPr>
                <m:t>×</m:t>
              </m:r>
              <m:r>
                <m:rPr>
                  <m:sty m:val="p"/>
                </m:rPr>
                <m:t>0</m:t>
              </m:r>
              <m:r>
                <m:rPr>
                  <m:sty m:val="p"/>
                </m:rPr>
                <m:t>.</m:t>
              </m:r>
              <m:r>
                <m:rPr>
                  <m:sty m:val="p"/>
                </m:rPr>
                <m:t>7</m:t>
              </m:r>
            </m:oMath>
          </w:p>
        </w:tc>
        <w:tc>
          <w:p>
            <w:pPr>
              <w:pStyle w:val="Compact"/>
              <w:jc w:val="right"/>
            </w:pPr>
            <m:oMath>
              <m:sSub>
                <m:e>
                  <m:r>
                    <m:rPr>
                      <m:sty m:val="p"/>
                    </m:rPr>
                    <m:t>γ</m:t>
                  </m:r>
                </m:e>
                <m:sub>
                  <m:r>
                    <m:rPr>
                      <m:sty m:val="p"/>
                    </m:rPr>
                    <m:t>I</m:t>
                  </m:r>
                  <m:r>
                    <m:rPr>
                      <m:sty m:val="p"/>
                    </m:rPr>
                    <m:t>→</m:t>
                  </m:r>
                  <m:r>
                    <m:rPr>
                      <m:sty m:val="p"/>
                    </m:rPr>
                    <m:t>D</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num>
                <m:den>
                  <m:sSub>
                    <m:e>
                      <m:r>
                        <m:rPr>
                          <m:sty m:val="p"/>
                        </m:rPr>
                        <m:t>τ</m:t>
                      </m:r>
                    </m:e>
                    <m:sub>
                      <m:r>
                        <m:rPr>
                          <m:sty m:val="p"/>
                        </m:rPr>
                        <m:t>I</m:t>
                      </m:r>
                      <m:r>
                        <m:rPr>
                          <m:sty m:val="p"/>
                        </m:rPr>
                        <m:t>→</m:t>
                      </m:r>
                    </m:sub>
                  </m:sSub>
                </m:den>
              </m:f>
            </m:oMath>
          </w:p>
        </w:tc>
      </w:tr>
      <w:tr>
        <w:tc>
          <w:p>
            <w:pPr>
              <w:pStyle w:val="Compact"/>
              <w:jc w:val="right"/>
            </w:pPr>
            <m:oMath>
              <m:r>
                <m:rPr>
                  <m:sty m:val="p"/>
                </m:rPr>
                <m:t>I</m:t>
              </m:r>
              <m:r>
                <m:rPr>
                  <m:sty m:val="p"/>
                </m:rPr>
                <m:t>→</m:t>
              </m:r>
              <m:r>
                <m:rPr>
                  <m:sty m:val="p"/>
                </m:rPr>
                <m:t>T</m:t>
              </m:r>
            </m:oMath>
          </w:p>
        </w:tc>
        <w:tc>
          <w:p>
            <w:pPr>
              <w:pStyle w:val="Compact"/>
              <w:jc w:val="right"/>
            </w:pPr>
            <m:oMath>
              <m:r>
                <m:rPr>
                  <m:sty m:val="p"/>
                </m:rPr>
                <m:t>0</m:t>
              </m:r>
              <m:r>
                <m:rPr>
                  <m:sty m:val="p"/>
                </m:rPr>
                <m:t>.</m:t>
              </m:r>
              <m:r>
                <m:rPr>
                  <m:sty m:val="p"/>
                </m:rPr>
                <m:t>4</m:t>
              </m:r>
            </m:oMath>
          </w:p>
        </w:tc>
        <w:tc>
          <w:p>
            <w:pPr>
              <w:pStyle w:val="Compact"/>
              <w:jc w:val="right"/>
            </w:pPr>
            <m:oMath>
              <m:sSub>
                <m:e>
                  <m:r>
                    <m:rPr>
                      <m:sty m:val="p"/>
                    </m:rPr>
                    <m:t>γ</m:t>
                  </m:r>
                </m:e>
                <m:sub>
                  <m:r>
                    <m:rPr>
                      <m:sty m:val="p"/>
                    </m:rPr>
                    <m:t>I</m:t>
                  </m:r>
                  <m:r>
                    <m:rPr>
                      <m:sty m:val="p"/>
                    </m:rPr>
                    <m:t>→</m:t>
                  </m:r>
                  <m:r>
                    <m:rPr>
                      <m:sty m:val="p"/>
                    </m:rPr>
                    <m:t>T</m:t>
                  </m:r>
                </m:sub>
              </m:sSub>
              <m:r>
                <m:rPr>
                  <m:sty m:val="p"/>
                </m:rPr>
                <m:t>=</m:t>
              </m:r>
              <m:sSub>
                <m:e>
                  <m:r>
                    <m:rPr>
                      <m:sty m:val="p"/>
                    </m:rPr>
                    <m:t>γ</m:t>
                  </m:r>
                </m:e>
                <m:sub>
                  <m:r>
                    <m:rPr>
                      <m:sty m:val="p"/>
                    </m:rPr>
                    <m:t>I</m:t>
                  </m:r>
                  <m:r>
                    <m:rPr>
                      <m:sty m:val="p"/>
                    </m:rPr>
                    <m:t>→</m:t>
                  </m:r>
                </m:sub>
              </m:sSub>
              <m:f>
                <m:fPr>
                  <m:type m:val="bar"/>
                </m:fPr>
                <m:num>
                  <m:r>
                    <m:rPr>
                      <m:sty m:val="p"/>
                    </m:rPr>
                    <m:t>0</m:t>
                  </m:r>
                  <m:r>
                    <m:rPr>
                      <m:sty m:val="p"/>
                    </m:rPr>
                    <m:t>.</m:t>
                  </m:r>
                  <m:r>
                    <m:rPr>
                      <m:sty m:val="p"/>
                    </m:rPr>
                    <m:t>4</m:t>
                  </m:r>
                  <m:sSub>
                    <m:e>
                      <m:r>
                        <m:rPr>
                          <m:sty m:val="p"/>
                        </m:rPr>
                        <m:t>τ</m:t>
                      </m:r>
                    </m:e>
                    <m:sub>
                      <m:r>
                        <m:rPr>
                          <m:sty m:val="p"/>
                        </m:rPr>
                        <m:t>I</m:t>
                      </m:r>
                      <m:r>
                        <m:rPr>
                          <m:sty m:val="p"/>
                        </m:rPr>
                        <m:t>→</m:t>
                      </m:r>
                      <m:r>
                        <m:rPr>
                          <m:sty m:val="p"/>
                        </m:rPr>
                        <m:t>T</m:t>
                      </m:r>
                    </m:sub>
                  </m:sSub>
                </m:num>
                <m:den>
                  <m:sSub>
                    <m:e>
                      <m:r>
                        <m:rPr>
                          <m:sty m:val="p"/>
                        </m:rPr>
                        <m:t>τ</m:t>
                      </m:r>
                    </m:e>
                    <m:sub>
                      <m:r>
                        <m:rPr>
                          <m:sty m:val="p"/>
                        </m:rPr>
                        <m:t>I</m:t>
                      </m:r>
                      <m:r>
                        <m:rPr>
                          <m:sty m:val="p"/>
                        </m:rPr>
                        <m:t>→</m:t>
                      </m:r>
                    </m:sub>
                  </m:sSub>
                </m:den>
              </m:f>
            </m:oMath>
          </w:p>
        </w:tc>
      </w:tr>
      <w:tr>
        <w:tc>
          <w:p>
            <w:pPr>
              <w:pStyle w:val="Compact"/>
              <w:jc w:val="right"/>
            </w:pPr>
            <m:oMath>
              <m:r>
                <m:rPr>
                  <m:sty m:val="p"/>
                </m:rPr>
                <m:t>T</m:t>
              </m:r>
              <m:r>
                <m:rPr>
                  <m:sty m:val="p"/>
                </m:rPr>
                <m:t>→</m:t>
              </m:r>
              <m:r>
                <m:rPr>
                  <m:sty m:val="p"/>
                </m:rPr>
                <m:t>T</m:t>
              </m:r>
              <m:r>
                <m:rPr>
                  <m:sty m:val="p"/>
                </m:rPr>
                <m:t>R</m:t>
              </m:r>
            </m:oMath>
          </w:p>
        </w:tc>
        <w:tc>
          <w:p>
            <w:pPr>
              <w:pStyle w:val="Compact"/>
              <w:jc w:val="right"/>
            </w:pPr>
            <w:r>
              <w:t xml:space="preserve">0.3</w:t>
            </w:r>
          </w:p>
        </w:tc>
        <w:tc>
          <w:p>
            <w:pPr>
              <w:pStyle w:val="Compact"/>
              <w:jc w:val="right"/>
            </w:pPr>
            <m:oMath>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num>
                <m:den>
                  <m:sSub>
                    <m:e>
                      <m:r>
                        <m:rPr>
                          <m:sty m:val="p"/>
                        </m:rPr>
                        <m:t>τ</m:t>
                      </m:r>
                    </m:e>
                    <m:sub>
                      <m:r>
                        <m:rPr>
                          <m:sty m:val="p"/>
                        </m:rPr>
                        <m:t>T</m:t>
                      </m:r>
                      <m:r>
                        <m:rPr>
                          <m:sty m:val="p"/>
                        </m:rPr>
                        <m:t>→</m:t>
                      </m:r>
                    </m:sub>
                  </m:sSub>
                </m:den>
              </m:f>
            </m:oMath>
          </w:p>
        </w:tc>
      </w:tr>
      <w:tr>
        <w:tc>
          <w:p>
            <w:pPr>
              <w:pStyle w:val="Compact"/>
              <w:jc w:val="right"/>
            </w:pPr>
            <m:oMath>
              <m:r>
                <m:rPr>
                  <m:sty m:val="p"/>
                </m:rPr>
                <m:t>T</m:t>
              </m:r>
              <m:r>
                <m:rPr>
                  <m:sty m:val="p"/>
                </m:rPr>
                <m:t>→</m:t>
              </m:r>
              <m:r>
                <m:rPr>
                  <m:sty m:val="p"/>
                </m:rPr>
                <m:t>T</m:t>
              </m:r>
              <m:r>
                <m:rPr>
                  <m:sty m:val="p"/>
                </m:rPr>
                <m:t>D</m:t>
              </m:r>
            </m:oMath>
          </w:p>
        </w:tc>
        <w:tc>
          <w:p>
            <w:pPr>
              <w:pStyle w:val="Compact"/>
              <w:jc w:val="right"/>
            </w:pPr>
            <w:r>
              <w:t xml:space="preserve">0.7</w:t>
            </w:r>
          </w:p>
        </w:tc>
        <w:tc>
          <w:p>
            <w:pPr>
              <w:pStyle w:val="Compact"/>
              <w:jc w:val="right"/>
            </w:pPr>
            <m:oMath>
              <m:sSub>
                <m:e>
                  <m:r>
                    <m:rPr>
                      <m:sty m:val="p"/>
                    </m:rPr>
                    <m:t>γ</m:t>
                  </m:r>
                </m:e>
                <m:sub>
                  <m:r>
                    <m:rPr>
                      <m:sty m:val="p"/>
                    </m:rPr>
                    <m:t>T</m:t>
                  </m:r>
                  <m:r>
                    <m:rPr>
                      <m:sty m:val="p"/>
                    </m:rPr>
                    <m:t>→</m:t>
                  </m:r>
                  <m:r>
                    <m:rPr>
                      <m:sty m:val="p"/>
                    </m:rPr>
                    <m:t>T</m:t>
                  </m:r>
                  <m:r>
                    <m:rPr>
                      <m:sty m:val="p"/>
                    </m:rPr>
                    <m:t>D</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num>
                <m:den>
                  <m:sSub>
                    <m:e>
                      <m:r>
                        <m:rPr>
                          <m:sty m:val="p"/>
                        </m:rPr>
                        <m:t>τ</m:t>
                      </m:r>
                    </m:e>
                    <m:sub>
                      <m:r>
                        <m:rPr>
                          <m:sty m:val="p"/>
                        </m:rPr>
                        <m:t>T</m:t>
                      </m:r>
                      <m:r>
                        <m:rPr>
                          <m:sty m:val="p"/>
                        </m:rPr>
                        <m:t>→</m:t>
                      </m:r>
                    </m:sub>
                  </m:sSub>
                </m:den>
              </m:f>
              <m:r>
                <m:rPr>
                  <m:sty m:val="p"/>
                </m:rPr>
                <m:t>=</m:t>
              </m:r>
              <m:r>
                <m:rPr>
                  <m:sty m:val="p"/>
                </m:rPr>
                <m:t>8</m:t>
              </m:r>
              <m:r>
                <m:rPr>
                  <m:sty m:val="p"/>
                </m:rPr>
                <m:t>.</m:t>
              </m:r>
              <m:r>
                <m:rPr>
                  <m:sty m:val="p"/>
                </m:rPr>
                <m:t>89</m:t>
              </m:r>
            </m:oMath>
          </w:p>
        </w:tc>
      </w:tr>
    </w:tbl>
    <w:p>
      <w:pPr>
        <w:pStyle w:val="Heading2"/>
      </w:pPr>
      <w:bookmarkStart w:id="28" w:name="model-fitting"/>
      <w:bookmarkEnd w:id="28"/>
      <w:r>
        <w:t xml:space="preserve">Model Fitting</w:t>
      </w:r>
    </w:p>
    <w:p>
      <w:r>
        <w:t xml:space="preserve">To estimate R0 and beginning starting values for the number of persons in compartments E and I, we implemented an ensemble trajectory model with parameters allowed to change every 2*28=56 days. Briefly, a matrix of plausible parameter values were generated (R0=1.2, 1.3, ..., 2.4; E=2, 12, ..., 82; I=2, 12, ..., 82). For each parameter combination (</w:t>
      </w:r>
      <m:oMath>
        <m:r>
          <m:rPr>
            <m:sty m:val="p"/>
          </m:rPr>
          <m:t>Γ</m:t>
        </m:r>
      </m:oMath>
      <w:r>
        <w:t xml:space="preserve">), the above model was fitted for the first 56 days. We then evaluated the fit of the model using the following formula:</w:t>
      </w:r>
    </w:p>
    <w:p>
      <m:oMathPara>
        <m:oMathParaPr>
          <m:jc m:val="center"/>
        </m:oMathParaPr>
        <m:oMath>
          <m:r>
            <m:rPr>
              <m:sty m:val="p"/>
            </m:rPr>
            <m:t>l</m:t>
          </m:r>
          <m:r>
            <m:rPr>
              <m:sty m:val="p"/>
            </m:rPr>
            <m:t>d</m:t>
          </m:r>
          <m:r>
            <m:rPr>
              <m:sty m:val="p"/>
            </m:rPr>
            <m:t>p</m:t>
          </m:r>
          <m:r>
            <m:rPr>
              <m:sty m:val="p"/>
            </m:rPr>
            <m:t>p</m:t>
          </m:r>
          <m:r>
            <m:rPr>
              <m:sty m:val="p"/>
            </m:rPr>
            <m:t>(</m:t>
          </m:r>
          <m:r>
            <m:rPr>
              <m:sty m:val="p"/>
            </m:rPr>
            <m:t>Γ</m:t>
          </m:r>
          <m:r>
            <m:rPr>
              <m:sty m:val="p"/>
            </m:rPr>
            <m:t>)</m:t>
          </m:r>
          <m:r>
            <m:rPr>
              <m:sty m:val="p"/>
            </m:rPr>
            <m:t>=</m:t>
          </m:r>
          <m:f>
            <m:fPr>
              <m:type m:val="bar"/>
            </m:fPr>
            <m:num>
              <m:r>
                <m:rPr>
                  <m:sty m:val="p"/>
                </m:rPr>
                <m:t>1</m:t>
              </m:r>
            </m:num>
            <m:den>
              <m:r>
                <m:rPr>
                  <m:sty m:val="p"/>
                </m:rPr>
                <m:t>N</m:t>
              </m:r>
            </m:den>
          </m:f>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r>
            <m:rPr>
              <m:sty m:val="p"/>
            </m:rPr>
            <m:t>O</m:t>
          </m:r>
          <m:r>
            <m:rPr>
              <m:sty m:val="p"/>
            </m:rPr>
            <m:t>b</m:t>
          </m:r>
          <m:sSub>
            <m:e>
              <m:r>
                <m:rPr>
                  <m:sty m:val="p"/>
                </m:rPr>
                <m:t>s</m:t>
              </m:r>
            </m:e>
            <m:sub>
              <m:r>
                <m:rPr>
                  <m:sty m:val="p"/>
                </m:rPr>
                <m:t>i</m:t>
              </m:r>
            </m:sub>
          </m:sSub>
          <m:r>
            <m:rPr>
              <m:sty m:val="p"/>
            </m:rPr>
            <m:t>−</m:t>
          </m:r>
          <m:r>
            <m:rPr>
              <m:sty m:val="p"/>
            </m:rPr>
            <m:t>E</m:t>
          </m:r>
          <m:r>
            <m:rPr>
              <m:sty m:val="p"/>
            </m:rPr>
            <m:t>s</m:t>
          </m:r>
          <m:sSub>
            <m:e>
              <m:r>
                <m:rPr>
                  <m:sty m:val="p"/>
                </m:rPr>
                <m:t>t</m:t>
              </m:r>
            </m:e>
            <m:sub>
              <m:r>
                <m:rPr>
                  <m:sty m:val="p"/>
                </m:rPr>
                <m:t>i</m:t>
              </m:r>
            </m:sub>
          </m:sSub>
          <m:r>
            <m:rPr>
              <m:sty m:val="p"/>
            </m:rPr>
            <m:t>|</m:t>
          </m:r>
        </m:oMath>
      </m:oMathPara>
    </w:p>
    <w:p>
      <w:r>
        <w:t xml:space="preserve">Where</w:t>
      </w:r>
      <w:r>
        <w:t xml:space="preserve"> </w:t>
      </w:r>
      <m:oMath>
        <m:r>
          <m:rPr>
            <m:sty m:val="p"/>
          </m:rPr>
          <m:t>O</m:t>
        </m:r>
        <m:r>
          <m:rPr>
            <m:sty m:val="p"/>
          </m:rPr>
          <m:t>b</m:t>
        </m:r>
        <m:sSub>
          <m:e>
            <m:r>
              <m:rPr>
                <m:sty m:val="p"/>
              </m:rPr>
              <m:t>s</m:t>
            </m:r>
          </m:e>
          <m:sub>
            <m:r>
              <m:rPr>
                <m:sty m:val="p"/>
              </m:rPr>
              <m:t>i</m:t>
            </m:r>
          </m:sub>
        </m:sSub>
      </m:oMath>
      <w:r>
        <w:t xml:space="preserve"> </w:t>
      </w:r>
      <w:r>
        <w:t xml:space="preserve">was the observed cumulative number of cases at data point i, and</w:t>
      </w:r>
      <w:r>
        <w:t xml:space="preserve"> </w:t>
      </w:r>
      <m:oMath>
        <m:r>
          <m:rPr>
            <m:sty m:val="p"/>
          </m:rPr>
          <m:t>E</m:t>
        </m:r>
        <m:r>
          <m:rPr>
            <m:sty m:val="p"/>
          </m:rPr>
          <m:t>s</m:t>
        </m:r>
        <m:sSub>
          <m:e>
            <m:r>
              <m:rPr>
                <m:sty m:val="p"/>
              </m:rPr>
              <m:t>t</m:t>
            </m:r>
          </m:e>
          <m:sub>
            <m:r>
              <m:rPr>
                <m:sty m:val="p"/>
              </m:rPr>
              <m:t>i</m:t>
            </m:r>
          </m:sub>
        </m:sSub>
      </m:oMath>
      <w:r>
        <w:t xml:space="preserve"> </w:t>
      </w:r>
      <w:r>
        <w:t xml:space="preserve">was the estimated cumulative number of cases at data point i.</w:t>
      </w:r>
    </w:p>
    <w:p>
      <w:r>
        <w:t xml:space="preserve">From this, we calculated the probability that the outbreak was caused by each parameter combination:</w:t>
      </w:r>
    </w:p>
    <w:p>
      <m:oMathPara>
        <m:oMathParaPr>
          <m:jc m:val="center"/>
        </m:oMathParaPr>
        <m:oMath>
          <m:r>
            <m:rPr>
              <m:sty m:val="p"/>
            </m:rPr>
            <m:t>P</m:t>
          </m:r>
          <m:r>
            <m:rPr>
              <m:sty m:val="p"/>
            </m:rPr>
            <m:t>(</m:t>
          </m:r>
          <m:r>
            <m:rPr>
              <m:sty m:val="p"/>
            </m:rPr>
            <m:t>o</m:t>
          </m:r>
          <m:r>
            <m:rPr>
              <m:sty m:val="p"/>
            </m:rPr>
            <m:t>u</m:t>
          </m:r>
          <m:r>
            <m:rPr>
              <m:sty m:val="p"/>
            </m:rPr>
            <m:t>t</m:t>
          </m:r>
          <m:r>
            <m:rPr>
              <m:sty m:val="p"/>
            </m:rPr>
            <m:t>b</m:t>
          </m:r>
          <m:r>
            <m:rPr>
              <m:sty m:val="p"/>
            </m:rPr>
            <m:t>r</m:t>
          </m:r>
          <m:r>
            <m:rPr>
              <m:sty m:val="p"/>
            </m:rPr>
            <m:t>e</m:t>
          </m:r>
          <m:r>
            <m:rPr>
              <m:sty m:val="p"/>
            </m:rPr>
            <m:t>a</m:t>
          </m:r>
          <m:r>
            <m:rPr>
              <m:sty m:val="p"/>
            </m:rPr>
            <m:t>k</m:t>
          </m:r>
          <m:r>
            <m:rPr>
              <m:sty m:val="p"/>
            </m:rPr>
            <m:t>w</m:t>
          </m:r>
          <m:r>
            <m:rPr>
              <m:sty m:val="p"/>
            </m:rPr>
            <m:t>a</m:t>
          </m:r>
          <m:r>
            <m:rPr>
              <m:sty m:val="p"/>
            </m:rPr>
            <m:t>s</m:t>
          </m:r>
          <m:r>
            <m:rPr>
              <m:sty m:val="p"/>
            </m:rPr>
            <m:t>c</m:t>
          </m:r>
          <m:r>
            <m:rPr>
              <m:sty m:val="p"/>
            </m:rPr>
            <m:t>a</m:t>
          </m:r>
          <m:r>
            <m:rPr>
              <m:sty m:val="p"/>
            </m:rPr>
            <m:t>u</m:t>
          </m:r>
          <m:r>
            <m:rPr>
              <m:sty m:val="p"/>
            </m:rPr>
            <m:t>s</m:t>
          </m:r>
          <m:r>
            <m:rPr>
              <m:sty m:val="p"/>
            </m:rPr>
            <m:t>e</m:t>
          </m:r>
          <m:r>
            <m:rPr>
              <m:sty m:val="p"/>
            </m:rPr>
            <m:t>d</m:t>
          </m:r>
          <m:r>
            <m:rPr>
              <m:sty m:val="p"/>
            </m:rPr>
            <m:t>b</m:t>
          </m:r>
          <m:r>
            <m:rPr>
              <m:sty m:val="p"/>
            </m:rPr>
            <m:t>y</m:t>
          </m:r>
          <m:r>
            <m:rPr>
              <m:sty m:val="p"/>
            </m:rPr>
            <m:t>Γ</m:t>
          </m:r>
          <m:r>
            <m:rPr>
              <m:sty m:val="p"/>
            </m:rPr>
            <m:t>)</m:t>
          </m:r>
          <m:r>
            <m:rPr>
              <m:sty m:val="p"/>
            </m:rPr>
            <m:t>=</m:t>
          </m:r>
          <m:f>
            <m:fPr>
              <m:type m:val="bar"/>
            </m:fPr>
            <m:num>
              <m:r>
                <m:rPr>
                  <m:sty m:val="p"/>
                </m:rPr>
                <m:t>1</m:t>
              </m:r>
            </m:num>
            <m:den>
              <m:r>
                <m:rPr>
                  <m:sty m:val="p"/>
                </m:rPr>
                <m:t>C</m:t>
              </m:r>
            </m:den>
          </m:f>
          <m:r>
            <m:rPr>
              <m:sty m:val="p"/>
            </m:rPr>
            <m:t>e</m:t>
          </m:r>
          <m:r>
            <m:rPr>
              <m:sty m:val="p"/>
            </m:rPr>
            <m:t>x</m:t>
          </m:r>
          <m:r>
            <m:rPr>
              <m:sty m:val="p"/>
            </m:rPr>
            <m:t>p</m:t>
          </m:r>
          <m:d>
            <m:dPr>
              <m:begChr m:val="("/>
              <m:endChr m:val=")"/>
              <m:grow/>
            </m:dPr>
            <m:e>
              <m:r>
                <m:rPr>
                  <m:sty m:val="p"/>
                </m:rPr>
                <m:t>−</m:t>
              </m:r>
              <m:f>
                <m:fPr>
                  <m:type m:val="bar"/>
                </m:fPr>
                <m:num>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m:t>
                  </m:r>
                  <m:r>
                    <m:rPr>
                      <m:sty m:val="p"/>
                    </m:rPr>
                    <m:t>i</m:t>
                  </m:r>
                  <m:r>
                    <m:rPr>
                      <m:sty m:val="p"/>
                    </m:rPr>
                    <m:t>n</m:t>
                  </m:r>
                  <m:r>
                    <m:rPr>
                      <m:sty m:val="p"/>
                    </m:rPr>
                    <m:t>(</m:t>
                  </m:r>
                  <m:r>
                    <m:rPr>
                      <m:sty m:val="p"/>
                    </m:rPr>
                    <m:t>l</m:t>
                  </m:r>
                  <m:r>
                    <m:rPr>
                      <m:sty m:val="p"/>
                    </m:rPr>
                    <m:t>d</m:t>
                  </m:r>
                  <m:r>
                    <m:rPr>
                      <m:sty m:val="p"/>
                    </m:rPr>
                    <m:t>d</m:t>
                  </m:r>
                  <m:r>
                    <m:rPr>
                      <m:sty m:val="p"/>
                    </m:rPr>
                    <m:t>p</m:t>
                  </m:r>
                  <m:r>
                    <m:rPr>
                      <m:sty m:val="p"/>
                    </m:rPr>
                    <m:t>(</m:t>
                  </m:r>
                  <m:r>
                    <m:rPr>
                      <m:sty m:val="p"/>
                    </m:rPr>
                    <m:t>Γ</m:t>
                  </m:r>
                  <m:r>
                    <m:rPr>
                      <m:sty m:val="p"/>
                    </m:rPr>
                    <m:t>)</m:t>
                  </m:r>
                </m:num>
                <m:den>
                  <m:r>
                    <m:rPr>
                      <m:sty m:val="p"/>
                    </m:rPr>
                    <m:t>2</m:t>
                  </m:r>
                  <m:sSup>
                    <m:e>
                      <m:r>
                        <m:rPr>
                          <m:sty m:val="p"/>
                        </m:rPr>
                        <m:t>σ</m:t>
                      </m:r>
                    </m:e>
                    <m:sup>
                      <m:r>
                        <m:rPr>
                          <m:sty m:val="p"/>
                        </m:rPr>
                        <m:t>2</m:t>
                      </m:r>
                    </m:sup>
                  </m:sSup>
                </m:den>
              </m:f>
            </m:e>
          </m:d>
        </m:oMath>
      </m:oMathPara>
    </w:p>
    <w:p>
      <w:r>
        <w:t xml:space="preserve">Where C was a normalisation constant, and</w:t>
      </w:r>
      <w:r>
        <w:t xml:space="preserve"> </w:t>
      </w:r>
      <m:oMath>
        <m:r>
          <m:rPr>
            <m:sty m:val="p"/>
          </m:rPr>
          <m:t>σ</m:t>
        </m:r>
        <m:r>
          <m:rPr>
            <m:sty m:val="p"/>
          </m:rPr>
          <m:t>=</m:t>
        </m:r>
        <m:r>
          <m:rPr>
            <m:sty m:val="p"/>
          </m:rPr>
          <m:t>s</m:t>
        </m:r>
        <m:r>
          <m:rPr>
            <m:sty m:val="p"/>
          </m:rPr>
          <m:t>q</m:t>
        </m:r>
        <m:r>
          <m:rPr>
            <m:sty m:val="p"/>
          </m:rPr>
          <m:t>r</m:t>
        </m:r>
        <m:r>
          <m:rPr>
            <m:sty m:val="p"/>
          </m:rPr>
          <m:t>t</m:t>
        </m:r>
        <m:r>
          <m:rPr>
            <m:sty m:val="p"/>
          </m:rPr>
          <m:t>(</m:t>
        </m:r>
        <m:r>
          <m:rPr>
            <m:sty m:val="p"/>
          </m:rPr>
          <m:t>0</m:t>
        </m:r>
        <m:r>
          <m:rPr>
            <m:sty m:val="p"/>
          </m:rPr>
          <m:t>.</m:t>
        </m:r>
        <m:r>
          <m:rPr>
            <m:sty m:val="p"/>
          </m:rPr>
          <m:t>2</m:t>
        </m:r>
        <m:r>
          <m:rPr>
            <m:sty m:val="p"/>
          </m:rPr>
          <m:t>×</m:t>
        </m:r>
        <m:r>
          <m:rPr>
            <m:sty m:val="p"/>
          </m:rPr>
          <m:t>(</m:t>
        </m:r>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m:t>
        </m:r>
        <m:r>
          <m:rPr>
            <m:sty m:val="p"/>
          </m:rPr>
          <m:t>i</m:t>
        </m:r>
        <m:r>
          <m:rPr>
            <m:sty m:val="p"/>
          </m:rPr>
          <m:t>n</m:t>
        </m:r>
        <m:r>
          <m:rPr>
            <m:sty m:val="p"/>
          </m:rPr>
          <m:t>(</m:t>
        </m:r>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t>
        </m:r>
      </m:oMath>
    </w:p>
    <w:p>
      <w:r>
        <w:t xml:space="preserve">For each parameter combination that had a non-zero probability in the first 58 days of the outbreak, we fitted another 13 models (R0=1.2, 1.3, ..., 2.4) and repeated the same procedure. This algorithm was run until it reached the end of the reported data, at which point the probability of the outbreak being caused by each trajectory was calculated. Each trajectory was then forecast to the present day (2014-11-12) and 58 days beyond, with estimated probabilities assigned.</w:t>
      </w:r>
    </w:p>
    <w:p>
      <w:r>
        <w:t xml:space="preserve">To obtain estimates for each compartment, the differential equations listed above were solved using the "lsoda"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pPr>
        <w:pStyle w:val="Heading2"/>
      </w:pPr>
      <w:bookmarkStart w:id="29" w:name="intervention"/>
      <w:bookmarkEnd w:id="29"/>
      <w:r>
        <w:t xml:space="preserve">Intervention</w:t>
      </w:r>
    </w:p>
    <w:p>
      <w:r>
        <w:t xml:space="preserve">We implemented a simpler version of the CDC's recommendations to test their efficacy; we investigated the impact of 70% of infectious EVD cases receiving treatment after 5 and 3 days on average, with this scenario occurring today (1706), in 28 days (2014-12-10), and in 56 days (2015-01-07). This is in contrast to the baseline projection where a time-dependent proportion of EVD cases (</w:t>
      </w:r>
      <m:oMath>
        <m:sSub>
          <m:e>
            <m:r>
              <m:rPr>
                <m:sty m:val="p"/>
              </m:rPr>
              <m:t>P</m:t>
            </m:r>
          </m:e>
          <m:sub>
            <m:r>
              <m:rPr>
                <m:sty m:val="p"/>
              </m:rPr>
              <m:t>T</m:t>
            </m:r>
          </m:sub>
        </m:sSub>
      </m:oMath>
      <w:r>
        <w:t xml:space="preserve">) are treated after an average of 5 days.</w:t>
      </w:r>
    </w:p>
    <w:p>
      <w:pPr>
        <w:pStyle w:val="Heading2"/>
      </w:pPr>
      <w:bookmarkStart w:id="30" w:name="quantification-of-resources-needed"/>
      <w:bookmarkEnd w:id="30"/>
      <w:r>
        <w:t xml:space="preserve">Quantification of resources needed</w:t>
      </w:r>
    </w:p>
    <w:p>
      <w:r>
        <w:t xml:space="preserve">In order to estimate the required number of personnel and equipment, figures provided by UNMEER (ref) and UN OCHA (ref).</w:t>
      </w:r>
    </w:p>
    <w:p>
      <w:r>
        <w:t xml:space="preserve">Several sources, including UN OCHA, calculate that 110 healthcare personnel, including doctors, nurses and nurses' aids, and 100 other personnel, including logistics, water and sanitation, waste teams, cooks, laundry and cleaners, drivers and security are required for a 100-bed treatment facility (ref).</w:t>
      </w:r>
    </w:p>
    <w:p>
      <w:pPr>
        <w:pStyle w:val="Heading1"/>
      </w:pPr>
      <w:bookmarkStart w:id="31" w:name="results"/>
      <w:bookmarkEnd w:id="31"/>
      <w:r>
        <w:t xml:space="preserve">Results</w:t>
      </w:r>
    </w:p>
    <w:p>
      <w:pPr>
        <w:pStyle w:val="Heading2"/>
      </w:pPr>
      <w:bookmarkStart w:id="32" w:name="model-fit"/>
      <w:bookmarkEnd w:id="32"/>
      <w:r>
        <w:t xml:space="preserve">Model Fit</w:t>
      </w:r>
    </w:p>
    <w:p>
      <w:r>
        <w:t xml:space="preserve">From a visual observation, the model fit is sufficient. There is some uncertainty and lackluster fit at the beginning (especially for Guinea), but the model can be considered to fit well in the last two months of data, which is the most crucial area.</w:t>
      </w:r>
    </w:p>
    <w:p>
      <w:r>
        <w:t xml:space="preserve">Figure 2. Total estimates of cumulative cases (per 2014-11-12)</w:t>
      </w:r>
    </w:p>
    <w:p>
      <w:r>
        <w:drawing>
          <wp:inline>
            <wp:extent cx="5440680" cy="3846319"/>
            <wp:effectExtent b="0" l="0" r="0" t="0"/>
            <wp:docPr descr="" id="1" name="Picture"/>
            <a:graphic>
              <a:graphicData uri="http://schemas.openxmlformats.org/drawingml/2006/picture">
                <pic:pic>
                  <pic:nvPicPr>
                    <pic:cNvPr descr="2014-11-12/2014-11-12_log_validation_ALL.png" id="0" name="Picture"/>
                    <pic:cNvPicPr>
                      <a:picLocks noChangeArrowheads="1" noChangeAspect="1"/>
                    </pic:cNvPicPr>
                  </pic:nvPicPr>
                  <pic:blipFill>
                    <a:blip r:embed="rId33"/>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34" w:name="reproductive-number"/>
      <w:bookmarkEnd w:id="34"/>
      <w:r>
        <w:t xml:space="preserve">Reproductive number</w:t>
      </w:r>
    </w:p>
    <w:p>
      <w:r>
        <w:t xml:space="preserve">Using the last 56 days of outbreak data, we estimated that the effective reproductive number for 1706 was 1.35 (95% CI=1.08 to 1.61) in Guinea, 1.21 (95% CI=1.15 to 1.27) in Liberia, and 1.53 (95% CI=1.25 to 1.82) in Sierra Leone.</w:t>
      </w:r>
    </w:p>
    <w:p>
      <w:pPr>
        <w:pStyle w:val="Heading2"/>
      </w:pPr>
      <w:bookmarkStart w:id="35" w:name="predictions"/>
      <w:bookmarkEnd w:id="35"/>
      <w:r>
        <w:t xml:space="preserve">Predictions</w:t>
      </w:r>
    </w:p>
    <w:p>
      <w:r>
        <w:t xml:space="preserve">Per today (2014-11-12), we have estimated that there are 1706 new cases every day. In 28 days (2014-12-10) this number will increase to 2844 new cases every day, corresponding to a total of 157260 (95% CI=124032 to 190489) cumulative total cases. In a further 28 days (2015-01-07) this will increase to 4956 new cases every day, corresponding to a total of 264475 (95% CI=164132 to 364819) cumulative total cases.</w:t>
      </w:r>
    </w:p>
    <w:p>
      <w:r>
        <w:t xml:space="preserve">Table 4. Cases per day</w:t>
      </w:r>
    </w:p>
    <w:tbl>
      <w:tblPr>
        <w:tblStyle w:val="TableNormal"/>
        <w:tblW w:type="pct" w:w="0.0"/>
      </w:tblPr>
      <w:tblGrid/>
      <w:t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2014-11-12</w:t>
            </w:r>
          </w:p>
        </w:tc>
        <w:tc>
          <w:tcPr>
            <w:tcBorders>
              <w:bottom w:val="single"/>
            </w:tcBorders>
            <w:vAlign w:val="bottom"/>
          </w:tcPr>
          <w:p>
            <w:pPr>
              <w:pStyle w:val="Compact"/>
              <w:jc w:val="center"/>
            </w:pPr>
            <w:r>
              <w:t xml:space="preserve">2014-12-10</w:t>
            </w:r>
          </w:p>
        </w:tc>
        <w:tc>
          <w:tcPr>
            <w:tcBorders>
              <w:bottom w:val="single"/>
            </w:tcBorders>
            <w:vAlign w:val="bottom"/>
          </w:tcPr>
          <w:p>
            <w:pPr>
              <w:pStyle w:val="Compact"/>
              <w:jc w:val="center"/>
            </w:pPr>
            <w:r>
              <w:t xml:space="preserve">2015-01-07</w:t>
            </w:r>
          </w:p>
        </w:tc>
      </w:tr>
      <w:tr>
        <w:tc>
          <w:p>
            <w:pPr>
              <w:pStyle w:val="Compact"/>
              <w:jc w:val="center"/>
            </w:pPr>
            <w:r>
              <w:t xml:space="preserve">Days from today</w:t>
            </w:r>
          </w:p>
        </w:tc>
        <w:tc>
          <w:p>
            <w:pPr>
              <w:pStyle w:val="Compact"/>
              <w:jc w:val="center"/>
            </w:pPr>
            <w:r>
              <w:t xml:space="preserve">0</w:t>
            </w:r>
          </w:p>
        </w:tc>
        <w:tc>
          <w:p>
            <w:pPr>
              <w:pStyle w:val="Compact"/>
              <w:jc w:val="center"/>
            </w:pPr>
            <w:r>
              <w:t xml:space="preserve">28</w:t>
            </w:r>
          </w:p>
        </w:tc>
        <w:tc>
          <w:p>
            <w:pPr>
              <w:pStyle w:val="Compact"/>
              <w:jc w:val="center"/>
            </w:pPr>
            <w:r>
              <w:t xml:space="preserve">56</w:t>
            </w:r>
          </w:p>
        </w:tc>
      </w:tr>
      <w:tr>
        <w:tc>
          <w:p>
            <w:pPr>
              <w:pStyle w:val="Compact"/>
              <w:jc w:val="center"/>
            </w:pPr>
            <w:r>
              <w:t xml:space="preserve">Cases (reported)</w:t>
            </w:r>
          </w:p>
        </w:tc>
        <w:tc>
          <w:p>
            <w:pPr>
              <w:pStyle w:val="Compact"/>
              <w:jc w:val="center"/>
            </w:pPr>
            <w:r>
              <w:t xml:space="preserve">18348</w:t>
            </w:r>
          </w:p>
        </w:tc>
        <w:tc>
          <w:p>
            <w:pPr>
              <w:pStyle w:val="Compact"/>
              <w:jc w:val="center"/>
            </w:pPr>
            <w:r>
              <w:t xml:space="preserve">30516</w:t>
            </w:r>
          </w:p>
        </w:tc>
        <w:tc>
          <w:p>
            <w:pPr>
              <w:pStyle w:val="Compact"/>
              <w:jc w:val="center"/>
            </w:pPr>
            <w:r>
              <w:t xml:space="preserve">51074</w:t>
            </w:r>
          </w:p>
        </w:tc>
      </w:tr>
      <w:tr>
        <w:tc>
          <w:p>
            <w:pPr>
              <w:pStyle w:val="Compact"/>
            </w:pPr>
          </w:p>
        </w:tc>
        <w:tc>
          <w:p>
            <w:pPr>
              <w:pStyle w:val="Compact"/>
              <w:jc w:val="center"/>
            </w:pPr>
            <w:r>
              <w:t xml:space="preserve">(16940, 19756)</w:t>
            </w:r>
          </w:p>
        </w:tc>
        <w:tc>
          <w:p>
            <w:pPr>
              <w:pStyle w:val="Compact"/>
              <w:jc w:val="center"/>
            </w:pPr>
            <w:r>
              <w:t xml:space="preserve">(25152, 35880)</w:t>
            </w:r>
          </w:p>
        </w:tc>
        <w:tc>
          <w:p>
            <w:pPr>
              <w:pStyle w:val="Compact"/>
              <w:jc w:val="center"/>
            </w:pPr>
            <w:r>
              <w:t xml:space="preserve">(34222, 67926)</w:t>
            </w:r>
          </w:p>
        </w:tc>
      </w:tr>
      <w:tr>
        <w:tc>
          <w:p>
            <w:pPr>
              <w:pStyle w:val="Compact"/>
              <w:jc w:val="center"/>
            </w:pPr>
            <w:r>
              <w:t xml:space="preserve">New daily cases (reported)</w:t>
            </w:r>
          </w:p>
        </w:tc>
        <w:tc>
          <w:p>
            <w:pPr>
              <w:pStyle w:val="Compact"/>
              <w:jc w:val="center"/>
            </w:pPr>
            <w:r>
              <w:t xml:space="preserve">334</w:t>
            </w:r>
          </w:p>
        </w:tc>
        <w:tc>
          <w:p>
            <w:pPr>
              <w:pStyle w:val="Compact"/>
              <w:jc w:val="center"/>
            </w:pPr>
            <w:r>
              <w:t xml:space="preserve">549</w:t>
            </w:r>
          </w:p>
        </w:tc>
        <w:tc>
          <w:p>
            <w:pPr>
              <w:pStyle w:val="Compact"/>
              <w:jc w:val="center"/>
            </w:pPr>
            <w:r>
              <w:t xml:space="preserve">946</w:t>
            </w:r>
          </w:p>
        </w:tc>
      </w:tr>
      <w:tr>
        <w:tc>
          <w:p>
            <w:pPr>
              <w:pStyle w:val="Compact"/>
            </w:pPr>
          </w:p>
        </w:tc>
        <w:tc>
          <w:p>
            <w:pPr>
              <w:pStyle w:val="Compact"/>
              <w:jc w:val="center"/>
            </w:pPr>
            <w:r>
              <w:t xml:space="preserve">(256, 411)</w:t>
            </w:r>
          </w:p>
        </w:tc>
        <w:tc>
          <w:p>
            <w:pPr>
              <w:pStyle w:val="Compact"/>
              <w:jc w:val="center"/>
            </w:pPr>
            <w:r>
              <w:t xml:space="preserve">(312, 786)</w:t>
            </w:r>
          </w:p>
        </w:tc>
        <w:tc>
          <w:p>
            <w:pPr>
              <w:pStyle w:val="Compact"/>
              <w:jc w:val="center"/>
            </w:pPr>
            <w:r>
              <w:t xml:space="preserve">(308, 1584)</w:t>
            </w:r>
          </w:p>
        </w:tc>
      </w:tr>
      <w:tr>
        <w:tc>
          <w:p>
            <w:pPr>
              <w:pStyle w:val="Compact"/>
              <w:jc w:val="center"/>
            </w:pPr>
            <w:r>
              <w:t xml:space="preserve">Cases (total)</w:t>
            </w:r>
          </w:p>
        </w:tc>
        <w:tc>
          <w:p>
            <w:pPr>
              <w:pStyle w:val="Compact"/>
              <w:jc w:val="center"/>
            </w:pPr>
            <w:r>
              <w:t xml:space="preserve">94590</w:t>
            </w:r>
          </w:p>
        </w:tc>
        <w:tc>
          <w:p>
            <w:pPr>
              <w:pStyle w:val="Compact"/>
              <w:jc w:val="center"/>
            </w:pPr>
            <w:r>
              <w:t xml:space="preserve">157260</w:t>
            </w:r>
          </w:p>
        </w:tc>
        <w:tc>
          <w:p>
            <w:pPr>
              <w:pStyle w:val="Compact"/>
              <w:jc w:val="center"/>
            </w:pPr>
            <w:r>
              <w:t xml:space="preserve">264475</w:t>
            </w:r>
          </w:p>
        </w:tc>
      </w:tr>
      <w:tr>
        <w:tc>
          <w:p>
            <w:pPr>
              <w:pStyle w:val="Compact"/>
            </w:pPr>
          </w:p>
        </w:tc>
        <w:tc>
          <w:p>
            <w:pPr>
              <w:pStyle w:val="Compact"/>
              <w:jc w:val="center"/>
            </w:pPr>
            <w:r>
              <w:t xml:space="preserve">(85423, 103758)</w:t>
            </w:r>
          </w:p>
        </w:tc>
        <w:tc>
          <w:p>
            <w:pPr>
              <w:pStyle w:val="Compact"/>
              <w:jc w:val="center"/>
            </w:pPr>
            <w:r>
              <w:t xml:space="preserve">(124032, 190489)</w:t>
            </w:r>
          </w:p>
        </w:tc>
        <w:tc>
          <w:p>
            <w:pPr>
              <w:pStyle w:val="Compact"/>
              <w:jc w:val="center"/>
            </w:pPr>
            <w:r>
              <w:t xml:space="preserve">(164132, 364819)</w:t>
            </w:r>
          </w:p>
        </w:tc>
      </w:tr>
      <w:tr>
        <w:tc>
          <w:p>
            <w:pPr>
              <w:pStyle w:val="Compact"/>
              <w:jc w:val="center"/>
            </w:pPr>
            <w:r>
              <w:t xml:space="preserve">New daily cases (total)</w:t>
            </w:r>
          </w:p>
        </w:tc>
        <w:tc>
          <w:p>
            <w:pPr>
              <w:pStyle w:val="Compact"/>
              <w:jc w:val="center"/>
            </w:pPr>
            <w:r>
              <w:t xml:space="preserve">1706</w:t>
            </w:r>
          </w:p>
        </w:tc>
        <w:tc>
          <w:p>
            <w:pPr>
              <w:pStyle w:val="Compact"/>
              <w:jc w:val="center"/>
            </w:pPr>
            <w:r>
              <w:t xml:space="preserve">2844</w:t>
            </w:r>
          </w:p>
        </w:tc>
        <w:tc>
          <w:p>
            <w:pPr>
              <w:pStyle w:val="Compact"/>
              <w:jc w:val="center"/>
            </w:pPr>
            <w:r>
              <w:t xml:space="preserve">4956</w:t>
            </w:r>
          </w:p>
        </w:tc>
      </w:tr>
      <w:tr>
        <w:tc>
          <w:p>
            <w:pPr>
              <w:pStyle w:val="Compact"/>
            </w:pPr>
          </w:p>
        </w:tc>
        <w:tc>
          <w:p>
            <w:pPr>
              <w:pStyle w:val="Compact"/>
              <w:jc w:val="center"/>
            </w:pPr>
            <w:r>
              <w:t xml:space="preserve">(1229, 2183)</w:t>
            </w:r>
          </w:p>
        </w:tc>
        <w:tc>
          <w:p>
            <w:pPr>
              <w:pStyle w:val="Compact"/>
              <w:jc w:val="center"/>
            </w:pPr>
            <w:r>
              <w:t xml:space="preserve">(1442, 4246)</w:t>
            </w:r>
          </w:p>
        </w:tc>
        <w:tc>
          <w:p>
            <w:pPr>
              <w:pStyle w:val="Compact"/>
              <w:jc w:val="center"/>
            </w:pPr>
            <w:r>
              <w:t xml:space="preserve">(1275, 8637)</w:t>
            </w:r>
          </w:p>
        </w:tc>
      </w:tr>
      <w:tr>
        <w:tc>
          <w:p>
            <w:pPr>
              <w:pStyle w:val="Compact"/>
              <w:jc w:val="center"/>
            </w:pPr>
            <w:r>
              <w:t xml:space="preserve">Incubation period</w:t>
            </w:r>
          </w:p>
        </w:tc>
        <w:tc>
          <w:p>
            <w:pPr>
              <w:pStyle w:val="Compact"/>
              <w:jc w:val="center"/>
            </w:pPr>
            <w:r>
              <w:t xml:space="preserve">19616</w:t>
            </w:r>
          </w:p>
        </w:tc>
        <w:tc>
          <w:p>
            <w:pPr>
              <w:pStyle w:val="Compact"/>
              <w:jc w:val="center"/>
            </w:pPr>
            <w:r>
              <w:t xml:space="preserve">32736</w:t>
            </w:r>
          </w:p>
        </w:tc>
        <w:tc>
          <w:p>
            <w:pPr>
              <w:pStyle w:val="Compact"/>
              <w:jc w:val="center"/>
            </w:pPr>
            <w:r>
              <w:t xml:space="preserve">57077</w:t>
            </w:r>
          </w:p>
        </w:tc>
      </w:tr>
      <w:tr>
        <w:tc>
          <w:p>
            <w:pPr>
              <w:pStyle w:val="Compact"/>
            </w:pPr>
          </w:p>
        </w:tc>
        <w:tc>
          <w:p>
            <w:pPr>
              <w:pStyle w:val="Compact"/>
              <w:jc w:val="center"/>
            </w:pPr>
            <w:r>
              <w:t xml:space="preserve">(14063, 25170)</w:t>
            </w:r>
          </w:p>
        </w:tc>
        <w:tc>
          <w:p>
            <w:pPr>
              <w:pStyle w:val="Compact"/>
              <w:jc w:val="center"/>
            </w:pPr>
            <w:r>
              <w:t xml:space="preserve">(16461, 49010)</w:t>
            </w:r>
          </w:p>
        </w:tc>
        <w:tc>
          <w:p>
            <w:pPr>
              <w:pStyle w:val="Compact"/>
              <w:jc w:val="center"/>
            </w:pPr>
            <w:r>
              <w:t xml:space="preserve">(14426, 99728)</w:t>
            </w:r>
          </w:p>
        </w:tc>
      </w:tr>
      <w:tr>
        <w:tc>
          <w:p>
            <w:pPr>
              <w:pStyle w:val="Compact"/>
              <w:jc w:val="center"/>
            </w:pPr>
            <w:r>
              <w:t xml:space="preserve">Infectious and unreported</w:t>
            </w:r>
          </w:p>
        </w:tc>
        <w:tc>
          <w:p>
            <w:pPr>
              <w:pStyle w:val="Compact"/>
              <w:jc w:val="center"/>
            </w:pPr>
            <w:r>
              <w:t xml:space="preserve">13294</w:t>
            </w:r>
          </w:p>
        </w:tc>
        <w:tc>
          <w:p>
            <w:pPr>
              <w:pStyle w:val="Compact"/>
              <w:jc w:val="center"/>
            </w:pPr>
            <w:r>
              <w:t xml:space="preserve">21888</w:t>
            </w:r>
          </w:p>
        </w:tc>
        <w:tc>
          <w:p>
            <w:pPr>
              <w:pStyle w:val="Compact"/>
              <w:jc w:val="center"/>
            </w:pPr>
            <w:r>
              <w:t xml:space="preserve">37743</w:t>
            </w:r>
          </w:p>
        </w:tc>
      </w:tr>
      <w:tr>
        <w:tc>
          <w:p>
            <w:pPr>
              <w:pStyle w:val="Compact"/>
            </w:pPr>
          </w:p>
        </w:tc>
        <w:tc>
          <w:p>
            <w:pPr>
              <w:pStyle w:val="Compact"/>
              <w:jc w:val="center"/>
            </w:pPr>
            <w:r>
              <w:t xml:space="preserve">(10172, 16416)</w:t>
            </w:r>
          </w:p>
        </w:tc>
        <w:tc>
          <w:p>
            <w:pPr>
              <w:pStyle w:val="Compact"/>
              <w:jc w:val="center"/>
            </w:pPr>
            <w:r>
              <w:t xml:space="preserve">(12359, 31418)</w:t>
            </w:r>
          </w:p>
        </w:tc>
        <w:tc>
          <w:p>
            <w:pPr>
              <w:pStyle w:val="Compact"/>
              <w:jc w:val="center"/>
            </w:pPr>
            <w:r>
              <w:t xml:space="preserve">(12133, 63353)</w:t>
            </w:r>
          </w:p>
        </w:tc>
      </w:tr>
      <w:tr>
        <w:tc>
          <w:p>
            <w:pPr>
              <w:pStyle w:val="Compact"/>
              <w:jc w:val="center"/>
            </w:pPr>
            <w:r>
              <w:t xml:space="preserve">Undergoing treatment</w:t>
            </w:r>
          </w:p>
        </w:tc>
        <w:tc>
          <w:p>
            <w:pPr>
              <w:pStyle w:val="Compact"/>
              <w:jc w:val="center"/>
            </w:pPr>
            <w:r>
              <w:t xml:space="preserve">2610</w:t>
            </w:r>
          </w:p>
        </w:tc>
        <w:tc>
          <w:p>
            <w:pPr>
              <w:pStyle w:val="Compact"/>
              <w:jc w:val="center"/>
            </w:pPr>
            <w:r>
              <w:t xml:space="preserve">4239</w:t>
            </w:r>
          </w:p>
        </w:tc>
        <w:tc>
          <w:p>
            <w:pPr>
              <w:pStyle w:val="Compact"/>
              <w:jc w:val="center"/>
            </w:pPr>
            <w:r>
              <w:t xml:space="preserve">7223</w:t>
            </w:r>
          </w:p>
        </w:tc>
      </w:tr>
      <w:tr>
        <w:tc>
          <w:p>
            <w:pPr>
              <w:pStyle w:val="Compact"/>
            </w:pPr>
          </w:p>
        </w:tc>
        <w:tc>
          <w:p>
            <w:pPr>
              <w:pStyle w:val="Compact"/>
              <w:jc w:val="center"/>
            </w:pPr>
            <w:r>
              <w:t xml:space="preserve">(2112, 3107)</w:t>
            </w:r>
          </w:p>
        </w:tc>
        <w:tc>
          <w:p>
            <w:pPr>
              <w:pStyle w:val="Compact"/>
              <w:jc w:val="center"/>
            </w:pPr>
            <w:r>
              <w:t xml:space="preserve">(2642, 5837)</w:t>
            </w:r>
          </w:p>
        </w:tc>
        <w:tc>
          <w:p>
            <w:pPr>
              <w:pStyle w:val="Compact"/>
              <w:jc w:val="center"/>
            </w:pPr>
            <w:r>
              <w:t xml:space="preserve">(2811, 11635)</w:t>
            </w:r>
          </w:p>
        </w:tc>
      </w:tr>
      <w:tr>
        <w:tc>
          <w:p>
            <w:pPr>
              <w:pStyle w:val="Compact"/>
              <w:jc w:val="center"/>
            </w:pPr>
            <w:r>
              <w:t xml:space="preserve">CDC 25% ETU target</w:t>
            </w:r>
          </w:p>
        </w:tc>
        <w:tc>
          <w:p>
            <w:pPr>
              <w:pStyle w:val="Compact"/>
              <w:jc w:val="center"/>
            </w:pPr>
            <w:r>
              <w:t xml:space="preserve">3976</w:t>
            </w:r>
          </w:p>
        </w:tc>
        <w:tc>
          <w:p>
            <w:pPr>
              <w:pStyle w:val="Compact"/>
              <w:jc w:val="center"/>
            </w:pPr>
            <w:r>
              <w:t xml:space="preserve">6532</w:t>
            </w:r>
          </w:p>
        </w:tc>
        <w:tc>
          <w:p>
            <w:pPr>
              <w:pStyle w:val="Compact"/>
              <w:jc w:val="center"/>
            </w:pPr>
            <w:r>
              <w:t xml:space="preserve">11241</w:t>
            </w:r>
          </w:p>
        </w:tc>
      </w:tr>
      <w:tr>
        <w:tc>
          <w:p>
            <w:pPr>
              <w:pStyle w:val="Compact"/>
            </w:pPr>
          </w:p>
        </w:tc>
        <w:tc>
          <w:p>
            <w:pPr>
              <w:pStyle w:val="Compact"/>
              <w:jc w:val="center"/>
            </w:pPr>
            <w:r>
              <w:t xml:space="preserve">(3186, 4766)</w:t>
            </w:r>
          </w:p>
        </w:tc>
        <w:tc>
          <w:p>
            <w:pPr>
              <w:pStyle w:val="Compact"/>
              <w:jc w:val="center"/>
            </w:pPr>
            <w:r>
              <w:t xml:space="preserve">(4116, 8948)</w:t>
            </w:r>
          </w:p>
        </w:tc>
        <w:tc>
          <w:p>
            <w:pPr>
              <w:pStyle w:val="Compact"/>
              <w:jc w:val="center"/>
            </w:pPr>
            <w:r>
              <w:t xml:space="preserve">(4745, 17738)</w:t>
            </w:r>
          </w:p>
        </w:tc>
      </w:tr>
      <w:tr>
        <w:tc>
          <w:p>
            <w:pPr>
              <w:pStyle w:val="Compact"/>
              <w:jc w:val="center"/>
            </w:pPr>
            <w:r>
              <w:t xml:space="preserve">CDC 45% reduced transmission target</w:t>
            </w:r>
          </w:p>
        </w:tc>
        <w:tc>
          <w:p>
            <w:pPr>
              <w:pStyle w:val="Compact"/>
              <w:jc w:val="center"/>
            </w:pPr>
            <w:r>
              <w:t xml:space="preserve">7156</w:t>
            </w:r>
          </w:p>
        </w:tc>
        <w:tc>
          <w:p>
            <w:pPr>
              <w:pStyle w:val="Compact"/>
              <w:jc w:val="center"/>
            </w:pPr>
            <w:r>
              <w:t xml:space="preserve">11757</w:t>
            </w:r>
          </w:p>
        </w:tc>
        <w:tc>
          <w:p>
            <w:pPr>
              <w:pStyle w:val="Compact"/>
              <w:jc w:val="center"/>
            </w:pPr>
            <w:r>
              <w:t xml:space="preserve">20235</w:t>
            </w:r>
          </w:p>
        </w:tc>
      </w:tr>
      <w:tr>
        <w:tc>
          <w:p>
            <w:pPr>
              <w:pStyle w:val="Compact"/>
            </w:pPr>
          </w:p>
        </w:tc>
        <w:tc>
          <w:p>
            <w:pPr>
              <w:pStyle w:val="Compact"/>
              <w:jc w:val="center"/>
            </w:pPr>
            <w:r>
              <w:t xml:space="preserve">(5734, 8579)</w:t>
            </w:r>
          </w:p>
        </w:tc>
        <w:tc>
          <w:p>
            <w:pPr>
              <w:pStyle w:val="Compact"/>
              <w:jc w:val="center"/>
            </w:pPr>
            <w:r>
              <w:t xml:space="preserve">(7409, 16106)</w:t>
            </w:r>
          </w:p>
        </w:tc>
        <w:tc>
          <w:p>
            <w:pPr>
              <w:pStyle w:val="Compact"/>
              <w:jc w:val="center"/>
            </w:pPr>
            <w:r>
              <w:t xml:space="preserve">(8541, 31929)</w:t>
            </w:r>
          </w:p>
        </w:tc>
      </w:tr>
      <w:tr>
        <w:tc>
          <w:p>
            <w:pPr>
              <w:pStyle w:val="Compact"/>
              <w:jc w:val="center"/>
            </w:pPr>
            <w:r>
              <w:t xml:space="preserve">Reporting quotient</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r>
    </w:tbl>
    <w:p>
      <w:pPr>
        <w:pStyle w:val="Heading2"/>
      </w:pPr>
      <w:bookmarkStart w:id="36" w:name="achieving-cdc-targets-for-70-containment"/>
      <w:bookmarkEnd w:id="36"/>
      <w:r>
        <w:t xml:space="preserve">Achieving CDC targets for 70% containment</w:t>
      </w:r>
    </w:p>
    <w:p>
      <w:r>
        <w:t xml:space="preserve">As of today (2014-11-12), we estimate that there are 2610 (95% CI=2112 to 3107) EVD active cases in treatment, with an additional 13294 (95% CI=10172 to 16416) EVD cases unreported and untreated. To reach the CDC targets today, we need 3976 (95% CI=3186 to 4766) cases in ETUs and 7156 (95% CI=5734 to 8579) at home or in a community setting such that there is a reduced risk for disease transmission. In 28 days (2014-12-10), we will need 6532 (95% CI=4116 to 8948) EVD cases in ETUs and 11757 (95% CI=7409 to 16106) EVD cases at reduced risk of transmission. In a further 28 days (2015-01-07) we will need 11241 (95% CI=4745 to 17738) EVD cases in ETUs and 20235 (95% CI=8541 to 31929) cases at reduced risk of transmission.</w:t>
      </w:r>
    </w:p>
    <w:p>
      <w:r>
        <w:t xml:space="preserve">Figure 3. Total estimates of cases needing treatment to reach CDC 70% goals (per 2014-11-12)</w:t>
      </w:r>
    </w:p>
    <w:p>
      <w:r>
        <w:drawing>
          <wp:inline>
            <wp:extent cx="5440680" cy="3846319"/>
            <wp:effectExtent b="0" l="0" r="0" t="0"/>
            <wp:docPr descr="" id="1" name="Picture"/>
            <a:graphic>
              <a:graphicData uri="http://schemas.openxmlformats.org/drawingml/2006/picture">
                <pic:pic>
                  <pic:nvPicPr>
                    <pic:cNvPr descr="2014-11-12/2014-11-12_CDC_limits_ALL.png" id="0" name="Picture"/>
                    <pic:cNvPicPr>
                      <a:picLocks noChangeArrowheads="1" noChangeAspect="1"/>
                    </pic:cNvPicPr>
                  </pic:nvPicPr>
                  <pic:blipFill>
                    <a:blip r:embed="rId37"/>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38" w:name="quantification-of-resources-needed-1"/>
      <w:bookmarkEnd w:id="38"/>
      <w:r>
        <w:t xml:space="preserve">Quantification of resources needed</w:t>
      </w:r>
    </w:p>
    <w:p>
      <w:r>
        <w:t xml:space="preserve">Figure 4. Number of international personnel needed to implement CDC 70% goals (per 2014-11-12)</w:t>
      </w:r>
    </w:p>
    <w:p>
      <w:r>
        <w:drawing>
          <wp:inline>
            <wp:extent cx="5440680" cy="7695930"/>
            <wp:effectExtent b="0" l="0" r="0" t="0"/>
            <wp:docPr descr="" id="1" name="Picture"/>
            <a:graphic>
              <a:graphicData uri="http://schemas.openxmlformats.org/drawingml/2006/picture">
                <pic:pic>
                  <pic:nvPicPr>
                    <pic:cNvPr descr="2014-11-12/2014-11-12_staff_international.png" id="0" name="Picture"/>
                    <pic:cNvPicPr>
                      <a:picLocks noChangeArrowheads="1" noChangeAspect="1"/>
                    </pic:cNvPicPr>
                  </pic:nvPicPr>
                  <pic:blipFill>
                    <a:blip r:embed="rId39"/>
                    <a:stretch>
                      <a:fillRect/>
                    </a:stretch>
                  </pic:blipFill>
                  <pic:spPr bwMode="auto">
                    <a:xfrm>
                      <a:off x="0" y="0"/>
                      <a:ext cx="5440680" cy="7695930"/>
                    </a:xfrm>
                    <a:prstGeom prst="rect">
                      <a:avLst/>
                    </a:prstGeom>
                    <a:noFill/>
                    <a:ln w="9525">
                      <a:noFill/>
                      <a:headEnd/>
                      <a:tailEnd/>
                    </a:ln>
                  </pic:spPr>
                </pic:pic>
              </a:graphicData>
            </a:graphic>
          </wp:inline>
        </w:drawing>
      </w:r>
    </w:p>
    <w:p>
      <w:r>
        <w:t xml:space="preserve">Figure 5. Number of personnel needed to operate ETUs with CDC 25% goal (per 2014-11-12)</w:t>
      </w:r>
    </w:p>
    <w:p>
      <w:r>
        <w:drawing>
          <wp:inline>
            <wp:extent cx="5440680" cy="3846319"/>
            <wp:effectExtent b="0" l="0" r="0" t="0"/>
            <wp:docPr descr="" id="1" name="Picture"/>
            <a:graphic>
              <a:graphicData uri="http://schemas.openxmlformats.org/drawingml/2006/picture">
                <pic:pic>
                  <pic:nvPicPr>
                    <pic:cNvPr descr="2014-11-12/2014-11-12_staff_ETU.png" id="0" name="Picture"/>
                    <pic:cNvPicPr>
                      <a:picLocks noChangeArrowheads="1" noChangeAspect="1"/>
                    </pic:cNvPicPr>
                  </pic:nvPicPr>
                  <pic:blipFill>
                    <a:blip r:embed="rId40"/>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41" w:name="intervention-1"/>
      <w:bookmarkEnd w:id="41"/>
      <w:r>
        <w:t xml:space="preserve">Intervention</w:t>
      </w:r>
    </w:p>
    <w:p>
      <w:r>
        <w:t xml:space="preserve">Due to the high effective reproductive numbers in Sierra Leone and Guinea, we found that 70% containment/treatment after five days was not sufficient to contain the epidemic; rather, 70% containment/treatment after two and four days were required. In Liberia, 70% containment/treatment after 5 days produced an effective reproductive number below one.</w:t>
      </w:r>
    </w:p>
    <w:p>
      <w:r>
        <w:t xml:space="preserve">Figure 6. Ability of different intervention scenarios to achieve a reproductive number below one (per 2014-11-12)</w:t>
      </w:r>
    </w:p>
    <w:p>
      <w:r>
        <w:drawing>
          <wp:inline>
            <wp:extent cx="5440680" cy="7695930"/>
            <wp:effectExtent b="0" l="0" r="0" t="0"/>
            <wp:docPr descr="" id="1" name="Picture"/>
            <a:graphic>
              <a:graphicData uri="http://schemas.openxmlformats.org/drawingml/2006/picture">
                <pic:pic>
                  <pic:nvPicPr>
                    <pic:cNvPr descr="2014-11-12/2014-11-12_interventions.png" id="0" name="Picture"/>
                    <pic:cNvPicPr>
                      <a:picLocks noChangeArrowheads="1" noChangeAspect="1"/>
                    </pic:cNvPicPr>
                  </pic:nvPicPr>
                  <pic:blipFill>
                    <a:blip r:embed="rId42"/>
                    <a:stretch>
                      <a:fillRect/>
                    </a:stretch>
                  </pic:blipFill>
                  <pic:spPr bwMode="auto">
                    <a:xfrm>
                      <a:off x="0" y="0"/>
                      <a:ext cx="5440680" cy="7695930"/>
                    </a:xfrm>
                    <a:prstGeom prst="rect">
                      <a:avLst/>
                    </a:prstGeom>
                    <a:noFill/>
                    <a:ln w="9525">
                      <a:noFill/>
                      <a:headEnd/>
                      <a:tailEnd/>
                    </a:ln>
                  </pic:spPr>
                </pic:pic>
              </a:graphicData>
            </a:graphic>
          </wp:inline>
        </w:drawing>
      </w:r>
    </w:p>
    <w:p>
      <w:pPr>
        <w:pStyle w:val="Heading2"/>
      </w:pPr>
      <w:bookmarkStart w:id="43" w:name="country-specific-results"/>
      <w:bookmarkEnd w:id="43"/>
      <w:r>
        <w:t xml:space="preserve">Country specific results</w:t>
      </w:r>
    </w:p>
    <w:p>
      <w:r>
        <w:t xml:space="preserve">A brief summary of country specific results are displayed here. More detailed country specific results (including daily projections for the next six months) can be found in the supplemental materials.</w:t>
      </w:r>
    </w:p>
    <w:p>
      <w:pPr>
        <w:pStyle w:val="Heading1"/>
      </w:pPr>
      <w:bookmarkStart w:id="44" w:name="discussion"/>
      <w:bookmarkEnd w:id="44"/>
      <w:r>
        <w:t xml:space="preserve">Discussion</w:t>
      </w:r>
    </w:p>
    <w:p>
      <w:pPr>
        <w:pStyle w:val="Compact"/>
        <w:numPr>
          <w:numId w:val="1001"/>
          <w:ilvl w:val="0"/>
        </w:numPr>
      </w:pPr>
      <w:r>
        <w:t xml:space="preserve">Other models find that the importance of sufficient resources to provide case isolation for infected individuals within 4 days of symptom onset - more effort directed towards expanding the capacity of hospitalized case isolation (Yamin et al.)</w:t>
      </w:r>
    </w:p>
    <w:p>
      <w:pPr>
        <w:pStyle w:val="Compact"/>
        <w:numPr>
          <w:numId w:val="1001"/>
          <w:ilvl w:val="0"/>
        </w:numPr>
      </w:pPr>
      <w:r>
        <w:t xml:space="preserve">Window for action is closing - if widespread transmission continues, the number of cases will overwhelm existing resources and sufficient international resources to treat upwards of 100 000 cases will be difficult to acquire</w:t>
      </w:r>
    </w:p>
    <w:p>
      <w:pPr>
        <w:pStyle w:val="Compact"/>
        <w:numPr>
          <w:numId w:val="1001"/>
          <w:ilvl w:val="0"/>
        </w:numPr>
      </w:pPr>
      <w:r>
        <w:t xml:space="preserve">If the urgent need for isolation and treatment is not met, other control measures must be available, including vaccination, as sufficient resources, particularly healthcare workers, will be difficult, if not impossible to mobilize.</w:t>
      </w:r>
    </w:p>
    <w:p>
      <w:r>
        <w:t xml:space="preserve">Our numbers are not incongruent with those given by the WHO model, which predicted approximately 80000 cases by the end of November. Our model explicitly models a decrease in the reporting quotient, whereas the WHO model did not. Thus, our reported estimates of 25456 should lie below, and our corrected estimates of 131101 should lie above. However, we predicted that the majority of cases will come from Sierra Leone (52861) instead of Liberia (64168). This is primarily due to our use of later data, where the underreporting in Liberia has severe impacts on our model. As we apply a universal underreporting correction across all countries, we are not able to quantify this.</w:t>
      </w:r>
    </w:p>
    <w:p>
      <w:r>
        <w:t xml:space="preserve">This study has a number of limitations. First and foremost, we model at the country level. This masks many geographical variations that may be happening at a more discrete level. Secondly, we assume that registered cases are in treatment and thus non-infectious. While it was assumed by the WHO model that hospitalised cases were non-infectious, it is well documented that healthcare workers are 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that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
        <w:t xml:space="preserve">Currently we need to treat 11132 cases to achieve the CDC's target. In one month, 18289 cases. In two months 31476 cases will need to be treated, requiring up to 23605 personnel. With every month the CDC's 70% target grows exponentially, while the healthcare workers needed to reverse this epidemic continue to die. Urgent action is needed by the international community to reverse this crisis.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796d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54bc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