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3F" w:rsidRDefault="0015123F" w:rsidP="00D852D1">
      <w:pPr>
        <w:rPr>
          <w:rFonts w:asciiTheme="majorHAnsi" w:eastAsiaTheme="majorEastAsia" w:hAnsiTheme="majorHAnsi" w:cstheme="majorBidi"/>
          <w:b/>
          <w:bCs/>
          <w:color w:val="345A8A" w:themeColor="accent1" w:themeShade="B5"/>
          <w:sz w:val="36"/>
          <w:szCs w:val="36"/>
        </w:rPr>
      </w:pPr>
    </w:p>
    <w:p w:rsidR="00D852D1" w:rsidRPr="007D696D" w:rsidRDefault="00D852D1" w:rsidP="00D852D1">
      <w:pPr>
        <w:rPr>
          <w:rFonts w:asciiTheme="majorHAnsi" w:eastAsiaTheme="majorEastAsia" w:hAnsiTheme="majorHAnsi" w:cstheme="majorBidi"/>
          <w:b/>
          <w:bCs/>
          <w:color w:val="345A8A" w:themeColor="accent1" w:themeShade="B5"/>
          <w:sz w:val="36"/>
          <w:szCs w:val="36"/>
        </w:rPr>
      </w:pPr>
      <w:r w:rsidRPr="007D696D">
        <w:rPr>
          <w:rFonts w:asciiTheme="majorHAnsi" w:eastAsiaTheme="majorEastAsia" w:hAnsiTheme="majorHAnsi" w:cstheme="majorBidi"/>
          <w:b/>
          <w:bCs/>
          <w:color w:val="345A8A" w:themeColor="accent1" w:themeShade="B5"/>
          <w:sz w:val="36"/>
          <w:szCs w:val="36"/>
        </w:rPr>
        <w:t>Abstract</w:t>
      </w:r>
    </w:p>
    <w:p w:rsidR="00D852D1" w:rsidRPr="00FC5E05" w:rsidRDefault="00D852D1" w:rsidP="00D852D1">
      <w:r>
        <w:rPr>
          <w:b/>
        </w:rPr>
        <w:t>Background:</w:t>
      </w:r>
      <w:r w:rsidR="007D696D" w:rsidRPr="007D696D">
        <w:t xml:space="preserve"> </w:t>
      </w:r>
      <w:r w:rsidR="00882F59">
        <w:t>The ongoing outbreak of Ebola Virus Disease in West Africa</w:t>
      </w:r>
      <w:r w:rsidR="00935316">
        <w:t xml:space="preserve"> is the largest in history and </w:t>
      </w:r>
      <w:r w:rsidR="00A605AB">
        <w:t>already requires</w:t>
      </w:r>
      <w:r w:rsidR="00935316">
        <w:t xml:space="preserve"> </w:t>
      </w:r>
      <w:r w:rsidR="00A605AB">
        <w:t>immediate and sustained</w:t>
      </w:r>
      <w:r w:rsidR="00935316">
        <w:t xml:space="preserve"> input from the international community in order to curb transmission. Several models have been developed to forecast the progression of the outbreak</w:t>
      </w:r>
      <w:r w:rsidR="00A605AB">
        <w:t xml:space="preserve"> and</w:t>
      </w:r>
      <w:r w:rsidR="00FC5E05">
        <w:t xml:space="preserve"> estimate </w:t>
      </w:r>
      <w:r w:rsidR="00A605AB">
        <w:t>the number of patients that need to be isolated</w:t>
      </w:r>
      <w:r w:rsidR="00FC5E05">
        <w:t xml:space="preserve"> </w:t>
      </w:r>
      <w:r w:rsidR="00935316">
        <w:t xml:space="preserve">in order to stem transmission. </w:t>
      </w:r>
      <w:r w:rsidR="00F11040">
        <w:t xml:space="preserve">We developed a model based on previous findings to estimate the national and international personnel </w:t>
      </w:r>
      <w:r w:rsidR="00FC727E">
        <w:t xml:space="preserve">and equipment that will be </w:t>
      </w:r>
      <w:r w:rsidR="00FC727E">
        <w:t>required</w:t>
      </w:r>
      <w:r w:rsidR="00FC727E">
        <w:t xml:space="preserve"> </w:t>
      </w:r>
      <w:r w:rsidR="00F11040">
        <w:t>if the outbreak continues to spread</w:t>
      </w:r>
      <w:r w:rsidR="00382EA2">
        <w:t xml:space="preserve"> </w:t>
      </w:r>
      <w:r w:rsidR="00382EA2">
        <w:t>in order to provide firmer targets for the international response.</w:t>
      </w:r>
    </w:p>
    <w:p w:rsidR="007D696D" w:rsidRDefault="00D852D1" w:rsidP="007D696D">
      <w:r>
        <w:rPr>
          <w:b/>
        </w:rPr>
        <w:t>Methods:</w:t>
      </w:r>
      <w:r w:rsidR="007D696D" w:rsidRPr="007D696D">
        <w:t xml:space="preserve"> </w:t>
      </w:r>
      <w:r w:rsidR="007D696D">
        <w:t xml:space="preserve">We developed a compartmental SEIR model to forecast the progression of the West Africa EVD epidemic using a flexible mathematical model that allowed the reproductive number to change every 58 days. We used </w:t>
      </w:r>
      <w:r w:rsidR="00A605AB">
        <w:t xml:space="preserve">existing </w:t>
      </w:r>
      <w:r w:rsidR="007D696D">
        <w:t>case data</w:t>
      </w:r>
      <w:r w:rsidR="00155441">
        <w:t xml:space="preserve"> </w:t>
      </w:r>
      <w:r w:rsidR="007D696D">
        <w:t>from Guinea, Liberia and Sierra Leone</w:t>
      </w:r>
      <w:r w:rsidR="00FC727E">
        <w:t xml:space="preserve"> to</w:t>
      </w:r>
      <w:r w:rsidR="007D696D">
        <w:t xml:space="preserve"> fit an exponentially decreasing time-dependent curve between the two points and </w:t>
      </w:r>
      <w:r w:rsidR="00FC727E">
        <w:t xml:space="preserve">then </w:t>
      </w:r>
      <w:r w:rsidR="007D696D">
        <w:t>extrapolated forward.</w:t>
      </w:r>
      <w:r w:rsidR="00935316">
        <w:t xml:space="preserve"> Number of personnel </w:t>
      </w:r>
      <w:r w:rsidR="00A605AB">
        <w:t>required to provide treatment</w:t>
      </w:r>
      <w:r w:rsidR="00935316">
        <w:t xml:space="preserve"> for the predicted number of cases was estimated using UNMEER and UN OCHA </w:t>
      </w:r>
      <w:r w:rsidR="00FC727E">
        <w:t>requests</w:t>
      </w:r>
      <w:r w:rsidR="00935316">
        <w:t xml:space="preserve"> for resources. </w:t>
      </w:r>
    </w:p>
    <w:p w:rsidR="007D696D" w:rsidRPr="007D696D" w:rsidRDefault="007D696D" w:rsidP="007D696D">
      <w:pPr>
        <w:rPr>
          <w:b/>
        </w:rPr>
      </w:pPr>
      <w:r>
        <w:rPr>
          <w:b/>
        </w:rPr>
        <w:t>Results:</w:t>
      </w:r>
      <w:r>
        <w:t xml:space="preserve"> As of today (2014-10-28), we estimate that there are 2048 (95% CI=1726 to 2369) EVD active cases in treatment, with an additional 15615 (95% CI=12679 to 18551) EVD cases unreported and untreated. To reach the CDC targets </w:t>
      </w:r>
      <w:r w:rsidR="001D09D0">
        <w:t xml:space="preserve">for 70% containment </w:t>
      </w:r>
      <w:r>
        <w:t>today, we need 4416 (95% CI=3677 to 5154) cases in E</w:t>
      </w:r>
      <w:r w:rsidR="001D09D0">
        <w:t xml:space="preserve">bola </w:t>
      </w:r>
      <w:r>
        <w:t>T</w:t>
      </w:r>
      <w:r w:rsidR="001D09D0">
        <w:t xml:space="preserve">reatment </w:t>
      </w:r>
      <w:r>
        <w:t>U</w:t>
      </w:r>
      <w:r w:rsidR="001D09D0">
        <w:t>nit</w:t>
      </w:r>
      <w:r>
        <w:t xml:space="preserve">s and 7948 (95% CI=6619 to 9277) at home or in a community setting such that there is a reduced risk for disease transmission. In 28 days (2014-11-25), we will need 9523 (95% CI=6736 to 12311) EVD cases in ETUs and 17142 (95% CI=12125 to 22159) EVD cases at reduced risk of transmission. </w:t>
      </w:r>
      <w:r w:rsidR="00F11040">
        <w:t xml:space="preserve">If transmission is not interrupted, up to </w:t>
      </w:r>
      <w:r w:rsidR="00A771DC" w:rsidRPr="00FC727E">
        <w:rPr>
          <w:highlight w:val="yellow"/>
        </w:rPr>
        <w:t>X</w:t>
      </w:r>
      <w:r w:rsidR="00A771DC">
        <w:t xml:space="preserve"> </w:t>
      </w:r>
      <w:r w:rsidR="00FC727E">
        <w:t>personnel</w:t>
      </w:r>
      <w:r w:rsidR="00A771DC">
        <w:t xml:space="preserve"> </w:t>
      </w:r>
      <w:r w:rsidR="00FC727E">
        <w:t xml:space="preserve">in </w:t>
      </w:r>
      <w:r w:rsidR="00A771DC">
        <w:t xml:space="preserve">total, including </w:t>
      </w:r>
      <w:r w:rsidR="00F11040">
        <w:t>1958 international personnel</w:t>
      </w:r>
      <w:r w:rsidR="00A771DC">
        <w:t>,</w:t>
      </w:r>
      <w:r w:rsidR="00F11040">
        <w:t xml:space="preserve"> will be required in </w:t>
      </w:r>
      <w:r w:rsidR="00A771DC">
        <w:t>58 days</w:t>
      </w:r>
      <w:r w:rsidR="001D09D0">
        <w:t xml:space="preserve"> according to our model</w:t>
      </w:r>
      <w:r w:rsidR="00F11040">
        <w:t>.</w:t>
      </w:r>
    </w:p>
    <w:p w:rsidR="00D852D1" w:rsidRDefault="00D852D1" w:rsidP="00D852D1">
      <w:pPr>
        <w:rPr>
          <w:b/>
        </w:rPr>
      </w:pPr>
      <w:r w:rsidRPr="001D09D0">
        <w:rPr>
          <w:b/>
        </w:rPr>
        <w:t>Conclusions:</w:t>
      </w:r>
      <w:r w:rsidR="00FC5E05" w:rsidRPr="001D09D0">
        <w:t xml:space="preserve"> </w:t>
      </w:r>
      <w:r w:rsidR="00FC5E05" w:rsidRPr="00FC5E05">
        <w:t>The current</w:t>
      </w:r>
      <w:r w:rsidR="00935316">
        <w:t xml:space="preserve"> outbreak will require massive input from the international community </w:t>
      </w:r>
      <w:r w:rsidR="001D09D0" w:rsidRPr="001D09D0">
        <w:t xml:space="preserve">in order to curb the outbreak by traditional containment mechanisms </w:t>
      </w:r>
      <w:r w:rsidR="001D09D0" w:rsidRPr="001D09D0">
        <w:t>by</w:t>
      </w:r>
      <w:r w:rsidR="001D09D0" w:rsidRPr="001D09D0">
        <w:t xml:space="preserve"> break</w:t>
      </w:r>
      <w:r w:rsidR="001D09D0" w:rsidRPr="001D09D0">
        <w:t>ing</w:t>
      </w:r>
      <w:r w:rsidR="001D09D0" w:rsidRPr="001D09D0">
        <w:t xml:space="preserve"> the chain</w:t>
      </w:r>
      <w:r w:rsidR="001D09D0" w:rsidRPr="001D09D0">
        <w:t>s</w:t>
      </w:r>
      <w:r w:rsidR="001D09D0" w:rsidRPr="001D09D0">
        <w:t xml:space="preserve"> of transmission</w:t>
      </w:r>
      <w:r w:rsidR="001D09D0">
        <w:t xml:space="preserve"> in the affected countries</w:t>
      </w:r>
      <w:r w:rsidR="00935316">
        <w:t xml:space="preserve">. If </w:t>
      </w:r>
      <w:r w:rsidR="00A771DC">
        <w:t>sufficient</w:t>
      </w:r>
      <w:r w:rsidR="00935316">
        <w:t xml:space="preserve">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rsidR="00D852D1" w:rsidRDefault="00D852D1" w:rsidP="00D852D1">
      <w:pPr>
        <w:rPr>
          <w:b/>
        </w:rPr>
      </w:pPr>
    </w:p>
    <w:p w:rsidR="007D696D" w:rsidRPr="007D696D" w:rsidRDefault="007D696D" w:rsidP="007D696D">
      <w:pPr>
        <w:spacing w:before="0" w:after="200" w:line="276" w:lineRule="auto"/>
        <w:rPr>
          <w:b/>
        </w:rPr>
      </w:pPr>
      <w:bookmarkStart w:id="0" w:name="introduction"/>
      <w:r w:rsidRPr="007D696D">
        <w:rPr>
          <w:rFonts w:asciiTheme="majorHAnsi" w:eastAsiaTheme="majorEastAsia" w:hAnsiTheme="majorHAnsi" w:cstheme="majorBidi"/>
          <w:b/>
          <w:bCs/>
          <w:color w:val="345A8A" w:themeColor="accent1" w:themeShade="B5"/>
          <w:sz w:val="36"/>
          <w:szCs w:val="36"/>
        </w:rPr>
        <w:t>Funding statement</w:t>
      </w:r>
    </w:p>
    <w:p w:rsidR="007D696D" w:rsidRPr="00140C97" w:rsidRDefault="007D696D" w:rsidP="007D696D">
      <w:r>
        <w:t>This research received no specific grant from any funding agency, commercial or not-for-profit sectors. The authors have declared that no competing interests exist.</w:t>
      </w:r>
    </w:p>
    <w:p w:rsidR="007D696D" w:rsidRDefault="007D696D">
      <w:pPr>
        <w:spacing w:before="0" w:after="200" w:line="276" w:lineRule="auto"/>
        <w:rPr>
          <w:rFonts w:asciiTheme="majorHAnsi" w:eastAsiaTheme="majorEastAsia" w:hAnsiTheme="majorHAnsi" w:cstheme="majorBidi"/>
          <w:b/>
          <w:bCs/>
          <w:color w:val="345A8A" w:themeColor="accent1" w:themeShade="B5"/>
          <w:sz w:val="36"/>
          <w:szCs w:val="36"/>
        </w:rPr>
      </w:pPr>
      <w:r>
        <w:br w:type="page"/>
      </w:r>
    </w:p>
    <w:p w:rsidR="007D696D" w:rsidRDefault="007D696D" w:rsidP="007D696D">
      <w:pPr>
        <w:pStyle w:val="Overskrift1"/>
      </w:pPr>
      <w:r>
        <w:lastRenderedPageBreak/>
        <w:t>Background</w:t>
      </w:r>
    </w:p>
    <w:bookmarkEnd w:id="0"/>
    <w:p w:rsidR="00382EA2" w:rsidRDefault="007D696D" w:rsidP="00382EA2">
      <w:r>
        <w:t xml:space="preserve">Since December 2013, an outbreak of Ebola virus disease (EVD) of unprecedented size and geographic extent has been ongoing in West Africa. As of </w:t>
      </w:r>
      <w:commentRangeStart w:id="1"/>
      <w:r>
        <w:t>28 October</w:t>
      </w:r>
      <w:r w:rsidRPr="006018A1">
        <w:t xml:space="preserve"> 2014</w:t>
      </w:r>
      <w:commentRangeEnd w:id="1"/>
      <w:r>
        <w:rPr>
          <w:rStyle w:val="Merknadsreferanse"/>
        </w:rPr>
        <w:commentReference w:id="1"/>
      </w:r>
      <w:r w:rsidRPr="006018A1">
        <w:t xml:space="preserve">, </w:t>
      </w:r>
      <w:r>
        <w:t>over 10 000 cases and 5 000 deaths</w:t>
      </w:r>
      <w:r w:rsidRPr="006018A1">
        <w:t xml:space="preserve"> have been reported </w:t>
      </w:r>
      <w:r>
        <w:t>to</w:t>
      </w:r>
      <w:r w:rsidRPr="006018A1">
        <w:t xml:space="preserve"> the World Health Organization</w:t>
      </w:r>
      <w:r>
        <w:t xml:space="preserve"> by the three most affected countries, Guinea, Liberia and Sierra Leone.</w:t>
      </w:r>
      <w:r w:rsidR="00C24EB7">
        <w:t xml:space="preserve"> </w:t>
      </w:r>
      <w:r w:rsidR="00AE5B11">
        <w:t>In August 2014, the number of cases in Liberia exceeded the bed capacity in the country (</w:t>
      </w:r>
      <w:commentRangeStart w:id="2"/>
      <w:r w:rsidR="00AE5B11">
        <w:t>ref</w:t>
      </w:r>
      <w:commentRangeEnd w:id="2"/>
      <w:r w:rsidR="00AE5B11">
        <w:rPr>
          <w:rStyle w:val="Merknadsreferanse"/>
        </w:rPr>
        <w:commentReference w:id="2"/>
      </w:r>
      <w:r w:rsidR="00AE5B11">
        <w:t>), a finding which has also been observed in Sierra Leone and Guinea (</w:t>
      </w:r>
      <w:r w:rsidR="00AE5B11" w:rsidRPr="00AE5B11">
        <w:rPr>
          <w:highlight w:val="yellow"/>
        </w:rPr>
        <w:t>ref</w:t>
      </w:r>
      <w:r w:rsidR="00AE5B11">
        <w:t>).</w:t>
      </w:r>
      <w:r w:rsidR="00AE5B11">
        <w:t xml:space="preserve"> The impact of the outbreak has been felt beyond the health sector</w:t>
      </w:r>
      <w:r w:rsidR="00857AEB">
        <w:t xml:space="preserve"> – air traffic </w:t>
      </w:r>
      <w:r w:rsidR="00382EA2">
        <w:t xml:space="preserve">has been restricted, and </w:t>
      </w:r>
      <w:r w:rsidR="00857AEB">
        <w:t xml:space="preserve">the </w:t>
      </w:r>
      <w:r w:rsidR="00382EA2">
        <w:t xml:space="preserve">tourism and trade </w:t>
      </w:r>
      <w:r w:rsidR="00857AEB">
        <w:t xml:space="preserve">industries </w:t>
      </w:r>
      <w:r w:rsidR="00382EA2">
        <w:t>h</w:t>
      </w:r>
      <w:r w:rsidR="00857AEB">
        <w:t>ave</w:t>
      </w:r>
      <w:r w:rsidR="00382EA2">
        <w:t xml:space="preserve"> been decimated</w:t>
      </w:r>
      <w:r w:rsidR="00857AEB">
        <w:t xml:space="preserve"> (</w:t>
      </w:r>
      <w:r w:rsidR="00857AEB" w:rsidRPr="00857AEB">
        <w:rPr>
          <w:highlight w:val="yellow"/>
        </w:rPr>
        <w:t>ref</w:t>
      </w:r>
      <w:r w:rsidR="00857AEB">
        <w:t>). T</w:t>
      </w:r>
      <w:r w:rsidR="00382EA2">
        <w:t xml:space="preserve">he </w:t>
      </w:r>
      <w:r w:rsidR="00857AEB">
        <w:t>economic impact for the affected countries</w:t>
      </w:r>
      <w:r w:rsidR="00382EA2">
        <w:t xml:space="preserve"> will most likely be felt for years to come</w:t>
      </w:r>
      <w:r w:rsidR="00857AEB">
        <w:t xml:space="preserve"> (</w:t>
      </w:r>
      <w:r w:rsidR="00857AEB" w:rsidRPr="00B848B9">
        <w:rPr>
          <w:highlight w:val="yellow"/>
        </w:rPr>
        <w:t>ref</w:t>
      </w:r>
      <w:r w:rsidR="00857AEB">
        <w:t>)</w:t>
      </w:r>
      <w:r w:rsidR="00382EA2">
        <w:t>.</w:t>
      </w:r>
    </w:p>
    <w:p w:rsidR="00FC727E" w:rsidRDefault="00590D53" w:rsidP="00FC727E">
      <w:r>
        <w:t xml:space="preserve">The international response to this crisis has been widely criticized as slow and </w:t>
      </w:r>
      <w:r w:rsidR="00335549">
        <w:t>insufficient</w:t>
      </w:r>
      <w:r>
        <w:t xml:space="preserve"> (</w:t>
      </w:r>
      <w:r w:rsidRPr="00030B3B">
        <w:rPr>
          <w:highlight w:val="yellow"/>
        </w:rPr>
        <w:t>ref</w:t>
      </w:r>
      <w:r>
        <w:t>).</w:t>
      </w:r>
      <w:r>
        <w:t xml:space="preserve"> As early as </w:t>
      </w:r>
      <w:r w:rsidRPr="00590D53">
        <w:rPr>
          <w:highlight w:val="yellow"/>
        </w:rPr>
        <w:t>DATE</w:t>
      </w:r>
      <w:r w:rsidRPr="00590D53">
        <w:t xml:space="preserve">, </w:t>
      </w:r>
      <w:proofErr w:type="spellStart"/>
      <w:r w:rsidRPr="00590D53">
        <w:rPr>
          <w:iCs/>
        </w:rPr>
        <w:t>Médecins</w:t>
      </w:r>
      <w:proofErr w:type="spellEnd"/>
      <w:r w:rsidRPr="00590D53">
        <w:rPr>
          <w:iCs/>
        </w:rPr>
        <w:t xml:space="preserve"> Sans </w:t>
      </w:r>
      <w:proofErr w:type="spellStart"/>
      <w:r w:rsidRPr="00590D53">
        <w:rPr>
          <w:iCs/>
        </w:rPr>
        <w:t>Frontières</w:t>
      </w:r>
      <w:proofErr w:type="spellEnd"/>
      <w:r>
        <w:t xml:space="preserve"> (MSF)</w:t>
      </w:r>
      <w:r w:rsidR="006E3F2D">
        <w:t>, an organization which has been involved in providing treatment from</w:t>
      </w:r>
      <w:r>
        <w:t xml:space="preserve"> the early stages of the outbreak</w:t>
      </w:r>
      <w:r w:rsidR="006E3F2D">
        <w:t>, have been requesting large-scale and sustained support from the international community. Despite these requests, the response has been slow to materialize.</w:t>
      </w:r>
      <w:r>
        <w:t xml:space="preserve"> </w:t>
      </w:r>
      <w:r w:rsidR="00FC727E">
        <w:t xml:space="preserve">On 8 August 2014, the World Health Organization declared the outbreak to be a Public Health Emergency of International Concern </w:t>
      </w:r>
      <w:r w:rsidR="00FC727E">
        <w:fldChar w:fldCharType="begin"/>
      </w:r>
      <w:r w:rsidR="00FC727E">
        <w:instrText xml:space="preserve"> ADDIN EN.CITE &lt;EndNote&gt;&lt;Cite&gt;&lt;Author&gt;World Health Organization&lt;/Author&gt;&lt;Year&gt;2014&lt;/Year&gt;&lt;RecNum&gt;76&lt;/RecNum&gt;&lt;DisplayText&gt;[1]&lt;/DisplayText&gt;&lt;record&gt;&lt;rec-number&gt;76&lt;/rec-number&gt;&lt;foreign-keys&gt;&lt;key app="EN" db-id="0rsx59zx809zd5esrdqpat0c5tesx0e000vv" timestamp="1414516266"&gt;76&lt;/key&gt;&lt;/foreign-keys&gt;&lt;ref-type name="Web Page"&gt;12&lt;/ref-type&gt;&lt;contributors&gt;&lt;authors&gt;&lt;author&gt;World Health Organization,&lt;/author&gt;&lt;/authors&gt;&lt;/contributors&gt;&lt;titles&gt;&lt;title&gt;WHO Statement on the Meeting of the International Health Regulations Emergency Committee Regarding the 2014 Ebola Outbreak in West Africa&lt;/title&gt;&lt;/titles&gt;&lt;dates&gt;&lt;year&gt;2014&lt;/year&gt;&lt;/dates&gt;&lt;urls&gt;&lt;related-urls&gt;&lt;url&gt;http://www.who.int/mediacentre/news/statements/2014/ebola-20140808/en/&lt;/url&gt;&lt;/related-urls&gt;&lt;/urls&gt;&lt;/record&gt;&lt;/Cite&gt;&lt;/EndNote&gt;</w:instrText>
      </w:r>
      <w:r w:rsidR="00FC727E">
        <w:fldChar w:fldCharType="separate"/>
      </w:r>
      <w:r w:rsidR="00FC727E">
        <w:rPr>
          <w:noProof/>
        </w:rPr>
        <w:t>[</w:t>
      </w:r>
      <w:hyperlink w:anchor="_ENREF_1" w:tooltip="World Health Organization, 2014 #76" w:history="1">
        <w:r w:rsidR="00030B3B">
          <w:rPr>
            <w:noProof/>
          </w:rPr>
          <w:t>1</w:t>
        </w:r>
      </w:hyperlink>
      <w:r w:rsidR="00FC727E">
        <w:rPr>
          <w:noProof/>
        </w:rPr>
        <w:t>]</w:t>
      </w:r>
      <w:r w:rsidR="00FC727E">
        <w:fldChar w:fldCharType="end"/>
      </w:r>
      <w:r w:rsidR="00FC727E">
        <w:t>. On 18 September the UN Security Council</w:t>
      </w:r>
      <w:r w:rsidR="00FC727E" w:rsidRPr="006F65C5">
        <w:t xml:space="preserve"> </w:t>
      </w:r>
      <w:r w:rsidR="00FC727E" w:rsidRPr="00460088">
        <w:t xml:space="preserve">determined that the outbreak </w:t>
      </w:r>
      <w:r>
        <w:t>wa</w:t>
      </w:r>
      <w:r w:rsidR="00FC727E" w:rsidRPr="00460088">
        <w:t>s a "threat to international peace and security"</w:t>
      </w:r>
      <w:r w:rsidR="00FC727E" w:rsidRPr="00460088" w:rsidDel="00460088">
        <w:t xml:space="preserve"> </w:t>
      </w:r>
      <w:r w:rsidR="00FC727E">
        <w:t xml:space="preserve">and announced the United Nations Mission for Ebola Emergency Response (UNMEER) </w:t>
      </w:r>
      <w:r w:rsidR="00FC727E">
        <w:fldChar w:fldCharType="begin"/>
      </w:r>
      <w:r w:rsidR="00FC727E">
        <w:instrText xml:space="preserve"> ADDIN EN.CITE &lt;EndNote&gt;&lt;Cite&gt;&lt;RecNum&gt;33&lt;/RecNum&gt;&lt;DisplayText&gt;[2]&lt;/DisplayText&gt;&lt;record&gt;&lt;rec-number&gt;33&lt;/rec-number&gt;&lt;foreign-keys&gt;&lt;key app="EN" db-id="0rsx59zx809zd5esrdqpat0c5tesx0e000vv" timestamp="1412093706"&gt;33&lt;/key&gt;&lt;/foreign-keys&gt;&lt;ref-type name="Web Page"&gt;12&lt;/ref-type&gt;&lt;contributors&gt;&lt;/contributors&gt;&lt;titles&gt;&lt;title&gt;UN Mission for Ebola Emergency Response (UNMEER) &lt;/title&gt;&lt;/titles&gt;&lt;dates&gt;&lt;/dates&gt;&lt;urls&gt;&lt;related-urls&gt;&lt;url&gt;http://www.un.org/ebolaresponse/mission.shtml&lt;/url&gt;&lt;/related-urls&gt;&lt;/urls&gt;&lt;/record&gt;&lt;/Cite&gt;&lt;/EndNote&gt;</w:instrText>
      </w:r>
      <w:r w:rsidR="00FC727E">
        <w:fldChar w:fldCharType="separate"/>
      </w:r>
      <w:r w:rsidR="00FC727E">
        <w:rPr>
          <w:noProof/>
        </w:rPr>
        <w:t>[</w:t>
      </w:r>
      <w:hyperlink w:anchor="_ENREF_2" w:tooltip=",  #33" w:history="1">
        <w:r w:rsidR="00030B3B">
          <w:rPr>
            <w:noProof/>
          </w:rPr>
          <w:t>2</w:t>
        </w:r>
      </w:hyperlink>
      <w:r w:rsidR="00FC727E">
        <w:rPr>
          <w:noProof/>
        </w:rPr>
        <w:t>]</w:t>
      </w:r>
      <w:r w:rsidR="00FC727E">
        <w:fldChar w:fldCharType="end"/>
      </w:r>
      <w:r w:rsidR="00FC727E">
        <w:t xml:space="preserve">. </w:t>
      </w:r>
      <w:r w:rsidR="00FC727E" w:rsidRPr="00C976D2">
        <w:t>This is the first time in history that the UN has created a mission for a public health</w:t>
      </w:r>
      <w:r w:rsidR="00FC727E">
        <w:t xml:space="preserve">. </w:t>
      </w:r>
      <w:r>
        <w:t xml:space="preserve">Despite these attempts to galvanize the international community, the outbreak continues to grow in magnitude and </w:t>
      </w:r>
      <w:r w:rsidR="00335549">
        <w:t xml:space="preserve">the potential for </w:t>
      </w:r>
      <w:r>
        <w:t xml:space="preserve">spread to </w:t>
      </w:r>
      <w:proofErr w:type="spellStart"/>
      <w:r>
        <w:t>neighbouring</w:t>
      </w:r>
      <w:proofErr w:type="spellEnd"/>
      <w:r>
        <w:t xml:space="preserve"> countries </w:t>
      </w:r>
      <w:r w:rsidR="00335549">
        <w:t>is of serious concern.</w:t>
      </w:r>
    </w:p>
    <w:p w:rsidR="00FC5E05" w:rsidRDefault="00FC727E" w:rsidP="007D696D">
      <w:r>
        <w:t>Several models have been developed to forecast the progression of the outbreak</w:t>
      </w:r>
      <w:r w:rsidR="006E3F2D">
        <w:t>, with and without intervention options</w:t>
      </w:r>
      <w:r>
        <w:t>.</w:t>
      </w:r>
      <w:r w:rsidR="00382EA2">
        <w:t xml:space="preserve"> </w:t>
      </w:r>
      <w:r>
        <w:t xml:space="preserve">A model produced </w:t>
      </w:r>
      <w:r w:rsidR="00A64B4A">
        <w:t xml:space="preserve">by the WHO’s </w:t>
      </w:r>
      <w:r w:rsidR="00FC5E05">
        <w:t>Ebola Response Team</w:t>
      </w:r>
      <w:r w:rsidR="006E3F2D">
        <w:t>,</w:t>
      </w:r>
      <w:r w:rsidR="00FC5E05">
        <w:t xml:space="preserve"> </w:t>
      </w:r>
      <w:r w:rsidR="00A64B4A">
        <w:t xml:space="preserve">published </w:t>
      </w:r>
      <w:r w:rsidR="001D09D0">
        <w:t>September 2014</w:t>
      </w:r>
      <w:r w:rsidR="006E3F2D">
        <w:t>,</w:t>
      </w:r>
      <w:r w:rsidR="001D09D0">
        <w:t xml:space="preserve"> </w:t>
      </w:r>
      <w:r w:rsidR="00FC5E05" w:rsidRPr="00326D57">
        <w:t>aimed to document trends in the epidemic and project expected case numbers f</w:t>
      </w:r>
      <w:r w:rsidR="00FC5E05">
        <w:t>or the coming weeks</w:t>
      </w:r>
      <w:r w:rsidR="006E3F2D">
        <w:t>.</w:t>
      </w:r>
      <w:r w:rsidR="00A64B4A">
        <w:t xml:space="preserve"> </w:t>
      </w:r>
      <w:r w:rsidR="00030B3B">
        <w:t xml:space="preserve">Based on </w:t>
      </w:r>
      <w:r w:rsidR="00030B3B" w:rsidRPr="00326D57">
        <w:t xml:space="preserve">data reported to the WHO </w:t>
      </w:r>
      <w:r w:rsidR="00030B3B">
        <w:t>from</w:t>
      </w:r>
      <w:r w:rsidR="00030B3B" w:rsidRPr="00326D57">
        <w:t xml:space="preserve"> Guinea, Liberia, and Sierra Leone until 14 September 2014</w:t>
      </w:r>
      <w:r w:rsidR="00030B3B">
        <w:t>, t</w:t>
      </w:r>
      <w:r w:rsidR="00FC5E05">
        <w:t>h</w:t>
      </w:r>
      <w:r w:rsidR="00A64B4A">
        <w:t xml:space="preserve">is </w:t>
      </w:r>
      <w:r w:rsidR="00FC5E05" w:rsidRPr="00326D57">
        <w:t xml:space="preserve">model concluded that there was a possibility that for the medium term </w:t>
      </w:r>
      <w:r w:rsidR="00FC5E05">
        <w:t>EVD</w:t>
      </w:r>
      <w:r w:rsidR="00FC5E05" w:rsidRPr="00326D57">
        <w:t xml:space="preserve"> </w:t>
      </w:r>
      <w:r w:rsidR="00A64B4A">
        <w:t xml:space="preserve">may </w:t>
      </w:r>
      <w:r w:rsidR="00FC5E05" w:rsidRPr="00326D57">
        <w:t>become endemic among the human population of West Africa</w:t>
      </w:r>
      <w:r w:rsidR="001D09D0">
        <w:t xml:space="preserve"> </w:t>
      </w:r>
      <w:r w:rsidR="001D09D0">
        <w:fldChar w:fldCharType="begin"/>
      </w:r>
      <w:r w:rsidR="00030B3B">
        <w:instrText xml:space="preserve"> ADDIN EN.CITE &lt;EndNote&gt;&lt;Cite&gt;&lt;Author&gt;Team&lt;/Author&gt;&lt;Year&gt;2014&lt;/Year&gt;&lt;RecNum&gt;12&lt;/RecNum&gt;&lt;DisplayText&gt;[3]&lt;/DisplayText&gt;&lt;record&gt;&lt;rec-number&gt;12&lt;/rec-number&gt;&lt;foreign-keys&gt;&lt;key app="EN" db-id="0rsx59zx809zd5esrdqpat0c5tesx0e000vv" timestamp="1412062579"&gt;12&lt;/key&gt;&lt;/foreign-keys&gt;&lt;ref-type name="Journal Article"&gt;17&lt;/ref-type&gt;&lt;contributors&gt;&lt;authors&gt;&lt;author&gt;W. H. O. Ebola Response Team&lt;/author&gt;&lt;/authors&gt;&lt;/contributors&gt;&lt;titles&gt;&lt;title&gt;Ebola Virus Disease in West Africa - The First 9 Months of the Epidemic and Forward Projections&lt;/title&gt;&lt;secondary-title&gt;N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medicine&lt;/abbr-1&gt;&lt;/alt-periodical&gt;&lt;dates&gt;&lt;year&gt;2014&lt;/year&gt;&lt;pub-dates&gt;&lt;date&gt;Sep 22&lt;/date&gt;&lt;/pub-dates&gt;&lt;/dates&gt;&lt;isbn&gt;1533-4406 (Electronic)&amp;#xD;0028-4793 (Linking)&lt;/isbn&gt;&lt;accession-num&gt;25244186&lt;/accession-num&gt;&lt;urls&gt;&lt;related-urls&gt;&lt;url&gt;http://www.ncbi.nlm.nih.gov/pubmed/25244186&lt;/url&gt;&lt;/related-urls&gt;&lt;/urls&gt;&lt;electronic-resource-num&gt;10.1056/NEJMoa1411100&lt;/electronic-resource-num&gt;&lt;/record&gt;&lt;/Cite&gt;&lt;/EndNote&gt;</w:instrText>
      </w:r>
      <w:r w:rsidR="001D09D0">
        <w:fldChar w:fldCharType="separate"/>
      </w:r>
      <w:r w:rsidR="00030B3B">
        <w:rPr>
          <w:noProof/>
        </w:rPr>
        <w:t>[</w:t>
      </w:r>
      <w:hyperlink w:anchor="_ENREF_3" w:tooltip="Team, 2014 #12" w:history="1">
        <w:r w:rsidR="00030B3B">
          <w:rPr>
            <w:noProof/>
          </w:rPr>
          <w:t>3</w:t>
        </w:r>
      </w:hyperlink>
      <w:r w:rsidR="00030B3B">
        <w:rPr>
          <w:noProof/>
        </w:rPr>
        <w:t>]</w:t>
      </w:r>
      <w:r w:rsidR="001D09D0">
        <w:fldChar w:fldCharType="end"/>
      </w:r>
      <w:r w:rsidR="00FC5E05" w:rsidRPr="00326D57">
        <w:t xml:space="preserve">. </w:t>
      </w:r>
      <w:r w:rsidR="00A64B4A">
        <w:t>A model produced by the</w:t>
      </w:r>
      <w:r w:rsidR="00FC5E05">
        <w:t xml:space="preserve"> CDC</w:t>
      </w:r>
      <w:r w:rsidR="00FC5E05" w:rsidRPr="00326D57">
        <w:t xml:space="preserve"> model </w:t>
      </w:r>
      <w:r w:rsidR="001D09D0">
        <w:t xml:space="preserve">in </w:t>
      </w:r>
      <w:r w:rsidR="00FC5E05" w:rsidRPr="00326D57">
        <w:t xml:space="preserve">aimed to galvanize support for multinational intervention by demonstrating the large long-term costs of delay and giving estimates of the size of the control/treatment </w:t>
      </w:r>
      <w:r w:rsidR="00FC5E05">
        <w:t>interventions needed</w:t>
      </w:r>
      <w:r w:rsidR="001D09D0">
        <w:fldChar w:fldCharType="begin"/>
      </w:r>
      <w:r w:rsidR="00030B3B">
        <w:instrText xml:space="preserve"> ADDIN EN.CITE &lt;EndNote&gt;&lt;Cite&gt;&lt;Author&gt;Meltzer&lt;/Author&gt;&lt;Year&gt;2014&lt;/Year&gt;&lt;RecNum&gt;1&lt;/RecNum&gt;&lt;DisplayText&gt;[4]&lt;/DisplayText&gt;&lt;record&gt;&lt;rec-number&gt;1&lt;/rec-number&gt;&lt;foreign-keys&gt;&lt;key app="EN" db-id="0rsx59zx809zd5esrdqpat0c5tesx0e000vv" timestamp="1412062495"&gt;1&lt;/key&gt;&lt;/foreign-keys&gt;&lt;ref-type name="Journal Article"&gt;17&lt;/ref-type&gt;&lt;contributors&gt;&lt;authors&gt;&lt;author&gt;Meltzer, M. I.&lt;/author&gt;&lt;author&gt;Atkins, C. Y.&lt;/author&gt;&lt;author&gt;Santibanez, S.&lt;/author&gt;&lt;author&gt;Knust, B.&lt;/author&gt;&lt;author&gt;Petersen, B. W.&lt;/author&gt;&lt;author&gt;Ervin, E. D.&lt;/author&gt;&lt;author&gt;Nichol, S. T.&lt;/author&gt;&lt;author&gt;Damon, I. K.&lt;/author&gt;&lt;author&gt;Washington, M. L.&lt;/author&gt;&lt;/authors&gt;&lt;/contributors&gt;&lt;titles&gt;&lt;title&gt;Estimating the future number of cases in the ebola epidemic --- liberia and sierra leone, 2014--2015&lt;/title&gt;&lt;secondary-title&gt;MMWR Surveill Summ&lt;/secondary-title&gt;&lt;alt-title&gt;Morbidity and mortality weekly report. Surveillance summaries&lt;/alt-title&gt;&lt;/titles&gt;&lt;periodical&gt;&lt;full-title&gt;MMWR Surveill Summ&lt;/full-title&gt;&lt;abbr-1&gt;Morbidity and mortality weekly report. Surveillance summaries&lt;/abbr-1&gt;&lt;/periodical&gt;&lt;alt-periodical&gt;&lt;full-title&gt;MMWR Surveill Summ&lt;/full-title&gt;&lt;abbr-1&gt;Morbidity and mortality weekly report. Surveillance summaries&lt;/abbr-1&gt;&lt;/alt-periodical&gt;&lt;pages&gt;1-14&lt;/pages&gt;&lt;volume&gt;63&lt;/volume&gt;&lt;dates&gt;&lt;year&gt;2014&lt;/year&gt;&lt;pub-dates&gt;&lt;date&gt;Sep 26&lt;/date&gt;&lt;/pub-dates&gt;&lt;/dates&gt;&lt;isbn&gt;1545-8636 (Electronic)&amp;#xD;0892-3787 (Linking)&lt;/isbn&gt;&lt;accession-num&gt;25254986&lt;/accession-num&gt;&lt;urls&gt;&lt;related-urls&gt;&lt;url&gt;http://www.ncbi.nlm.nih.gov/pubmed/25254986&lt;/url&gt;&lt;/related-urls&gt;&lt;/urls&gt;&lt;/record&gt;&lt;/Cite&gt;&lt;/EndNote&gt;</w:instrText>
      </w:r>
      <w:r w:rsidR="001D09D0">
        <w:fldChar w:fldCharType="separate"/>
      </w:r>
      <w:r w:rsidR="00030B3B">
        <w:rPr>
          <w:noProof/>
        </w:rPr>
        <w:t>[</w:t>
      </w:r>
      <w:hyperlink w:anchor="_ENREF_4" w:tooltip="Meltzer, 2014 #1" w:history="1">
        <w:r w:rsidR="00030B3B">
          <w:rPr>
            <w:noProof/>
          </w:rPr>
          <w:t>4</w:t>
        </w:r>
      </w:hyperlink>
      <w:r w:rsidR="00030B3B">
        <w:rPr>
          <w:noProof/>
        </w:rPr>
        <w:t>]</w:t>
      </w:r>
      <w:r w:rsidR="001D09D0">
        <w:fldChar w:fldCharType="end"/>
      </w:r>
      <w:r w:rsidR="00FC5E05">
        <w:t>.</w:t>
      </w:r>
      <w:r w:rsidR="00FC5E05">
        <w:t xml:space="preserve"> </w:t>
      </w:r>
      <w:r w:rsidR="00FC5E05">
        <w:t>The CDC</w:t>
      </w:r>
      <w:r w:rsidR="00FC5E05" w:rsidRPr="00326D57">
        <w:t xml:space="preserve"> model concluded that to end the outbreak 70% of the patients must be placed in an Ebola Treatment Unit </w:t>
      </w:r>
      <w:r w:rsidR="00382EA2">
        <w:t xml:space="preserve">(ETU) </w:t>
      </w:r>
      <w:r w:rsidR="00FC5E05" w:rsidRPr="00326D57">
        <w:t xml:space="preserve">or </w:t>
      </w:r>
      <w:r w:rsidR="00382EA2">
        <w:t xml:space="preserve">isolated </w:t>
      </w:r>
      <w:r w:rsidR="00FC5E05" w:rsidRPr="00326D57">
        <w:t>in a community setting in which risk of disease transmission is reduced and safe burials are provided</w:t>
      </w:r>
      <w:r w:rsidR="00382EA2">
        <w:t xml:space="preserve"> </w:t>
      </w:r>
      <w:r w:rsidR="00382EA2">
        <w:fldChar w:fldCharType="begin"/>
      </w:r>
      <w:r w:rsidR="00030B3B">
        <w:instrText xml:space="preserve"> ADDIN EN.CITE &lt;EndNote&gt;&lt;Cite&gt;&lt;Author&gt;Meltzer&lt;/Author&gt;&lt;Year&gt;2014&lt;/Year&gt;&lt;RecNum&gt;1&lt;/RecNum&gt;&lt;DisplayText&gt;[4]&lt;/DisplayText&gt;&lt;record&gt;&lt;rec-number&gt;1&lt;/rec-number&gt;&lt;foreign-keys&gt;&lt;key app="EN" db-id="0rsx59zx809zd5esrdqpat0c5tesx0e000vv" timestamp="1412062495"&gt;1&lt;/key&gt;&lt;/foreign-keys&gt;&lt;ref-type name="Journal Article"&gt;17&lt;/ref-type&gt;&lt;contributors&gt;&lt;authors&gt;&lt;author&gt;Meltzer, M. I.&lt;/author&gt;&lt;author&gt;Atkins, C. Y.&lt;/author&gt;&lt;author&gt;Santibanez, S.&lt;/author&gt;&lt;author&gt;Knust, B.&lt;/author&gt;&lt;author&gt;Petersen, B. W.&lt;/author&gt;&lt;author&gt;Ervin, E. D.&lt;/author&gt;&lt;author&gt;Nichol, S. T.&lt;/author&gt;&lt;author&gt;Damon, I. K.&lt;/author&gt;&lt;author&gt;Washington, M. L.&lt;/author&gt;&lt;/authors&gt;&lt;/contributors&gt;&lt;titles&gt;&lt;title&gt;Estimating the future number of cases in the ebola epidemic --- liberia and sierra leone, 2014--2015&lt;/title&gt;&lt;secondary-title&gt;MMWR Surveill Summ&lt;/secondary-title&gt;&lt;alt-title&gt;Morbidity and mortality weekly report. Surveillance summaries&lt;/alt-title&gt;&lt;/titles&gt;&lt;periodical&gt;&lt;full-title&gt;MMWR Surveill Summ&lt;/full-title&gt;&lt;abbr-1&gt;Morbidity and mortality weekly report. Surveillance summaries&lt;/abbr-1&gt;&lt;/periodical&gt;&lt;alt-periodical&gt;&lt;full-title&gt;MMWR Surveill Summ&lt;/full-title&gt;&lt;abbr-1&gt;Morbidity and mortality weekly report. Surveillance summaries&lt;/abbr-1&gt;&lt;/alt-periodical&gt;&lt;pages&gt;1-14&lt;/pages&gt;&lt;volume&gt;63&lt;/volume&gt;&lt;dates&gt;&lt;year&gt;2014&lt;/year&gt;&lt;pub-dates&gt;&lt;date&gt;Sep 26&lt;/date&gt;&lt;/pub-dates&gt;&lt;/dates&gt;&lt;isbn&gt;1545-8636 (Electronic)&amp;#xD;0892-3787 (Linking)&lt;/isbn&gt;&lt;accession-num&gt;25254986&lt;/accession-num&gt;&lt;urls&gt;&lt;related-urls&gt;&lt;url&gt;http://www.ncbi.nlm.nih.gov/pubmed/25254986&lt;/url&gt;&lt;/related-urls&gt;&lt;/urls&gt;&lt;/record&gt;&lt;/Cite&gt;&lt;/EndNote&gt;</w:instrText>
      </w:r>
      <w:r w:rsidR="00382EA2">
        <w:fldChar w:fldCharType="separate"/>
      </w:r>
      <w:r w:rsidR="00030B3B">
        <w:rPr>
          <w:noProof/>
        </w:rPr>
        <w:t>[</w:t>
      </w:r>
      <w:hyperlink w:anchor="_ENREF_4" w:tooltip="Meltzer, 2014 #1" w:history="1">
        <w:r w:rsidR="00030B3B">
          <w:rPr>
            <w:noProof/>
          </w:rPr>
          <w:t>4</w:t>
        </w:r>
      </w:hyperlink>
      <w:r w:rsidR="00030B3B">
        <w:rPr>
          <w:noProof/>
        </w:rPr>
        <w:t>]</w:t>
      </w:r>
      <w:r w:rsidR="00382EA2">
        <w:fldChar w:fldCharType="end"/>
      </w:r>
      <w:r w:rsidR="00382EA2">
        <w:t>.</w:t>
      </w:r>
      <w:r w:rsidR="00FC5E05" w:rsidRPr="00326D57">
        <w:t xml:space="preserve"> Th</w:t>
      </w:r>
      <w:r w:rsidR="00382EA2">
        <w:t>is model</w:t>
      </w:r>
      <w:r w:rsidR="00FC5E05" w:rsidRPr="00326D57">
        <w:t xml:space="preserve"> </w:t>
      </w:r>
      <w:r w:rsidR="00382EA2">
        <w:t>reinforced</w:t>
      </w:r>
      <w:r w:rsidR="00FC5E05" w:rsidRPr="00326D57">
        <w:t xml:space="preserve"> that the cost of delay is devastating – the number of cases doubles every 20 days, making the 70% target even harder to achieve. </w:t>
      </w:r>
      <w:r w:rsidR="00382EA2" w:rsidRPr="00326D57">
        <w:t>This conclusion was reached by analyzing the trends in Liberia and Sierra Leone from data reported to the WHO until 29 August 2014.</w:t>
      </w:r>
    </w:p>
    <w:p w:rsidR="007D696D" w:rsidRDefault="007D696D" w:rsidP="007D696D">
      <w:r>
        <w:t>While multiple efforts have been made to model and forecast the epidemic, none have explicitly quantified the number of treatment places necessary to achieve the 70% target set by the CDC. We use a flexible mathematical model to estimate the number of treatment places</w:t>
      </w:r>
      <w:r w:rsidR="00382EA2">
        <w:t>, personnel and equipment</w:t>
      </w:r>
      <w:r>
        <w:t xml:space="preserve"> needed to obtain the 70% target set by the CDC over the next two months (from 2014-10-28 to 2014-11-25)</w:t>
      </w:r>
      <w:r w:rsidR="00382EA2">
        <w:t xml:space="preserve"> in order to</w:t>
      </w:r>
      <w:r>
        <w:t xml:space="preserve"> provide firmer targets for the international response.</w:t>
      </w:r>
    </w:p>
    <w:p w:rsidR="007D696D" w:rsidRDefault="007D696D" w:rsidP="007D696D">
      <w:pPr>
        <w:pStyle w:val="Overskrift1"/>
      </w:pPr>
      <w:bookmarkStart w:id="3" w:name="methods"/>
      <w:r>
        <w:lastRenderedPageBreak/>
        <w:t>Methods</w:t>
      </w:r>
    </w:p>
    <w:p w:rsidR="007D696D" w:rsidRDefault="007D696D" w:rsidP="007D696D">
      <w:pPr>
        <w:pStyle w:val="Overskrift2"/>
      </w:pPr>
      <w:bookmarkStart w:id="4" w:name="outbreak-data"/>
      <w:bookmarkEnd w:id="3"/>
      <w:r>
        <w:t>Outbreak Data</w:t>
      </w:r>
    </w:p>
    <w:bookmarkEnd w:id="4"/>
    <w:p w:rsidR="007D696D" w:rsidRDefault="007D696D" w:rsidP="007D696D">
      <w:r>
        <w:t xml:space="preserve">As has been common with previous EVD models, we used the public data released by the World Health Organization </w:t>
      </w:r>
      <w:r>
        <w:t>(</w:t>
      </w:r>
      <w:r w:rsidRPr="007D696D">
        <w:rPr>
          <w:highlight w:val="yellow"/>
        </w:rPr>
        <w:t>ref</w:t>
      </w:r>
      <w:r>
        <w:t>)</w:t>
      </w:r>
      <w:r>
        <w:t>. For the purposes of our models, we considered all confirmed, suspected, or probable cases to be EVD cases. We used case data from Guinea (2014-03-22 to 2014-10-17), Liberia (2014-03-27 to 2014-10-17), and Sierra Leone (2014-05-27 to 2014-10-17).</w:t>
      </w:r>
    </w:p>
    <w:p w:rsidR="007D696D" w:rsidRDefault="007D696D" w:rsidP="007D696D">
      <w:pPr>
        <w:pStyle w:val="Overskrift2"/>
      </w:pPr>
      <w:bookmarkStart w:id="5" w:name="model"/>
      <w:r>
        <w:t>Model</w:t>
      </w:r>
    </w:p>
    <w:bookmarkEnd w:id="5"/>
    <w:p w:rsidR="007D696D" w:rsidRDefault="007D696D" w:rsidP="007D696D">
      <w:r>
        <w:t>We developed a compartmental model to describe the outbreaks in the three affected countries. Briefly, the population is divided into six compartments, with average rates and average time periods taken from the recently published WHO Ebola Response Team model</w:t>
      </w:r>
      <w:r w:rsidR="00C24EB7">
        <w:t xml:space="preserve"> </w:t>
      </w:r>
      <w:r w:rsidR="00C24EB7">
        <w:t>(</w:t>
      </w:r>
      <w:r w:rsidR="00C24EB7" w:rsidRPr="007D696D">
        <w:rPr>
          <w:highlight w:val="yellow"/>
        </w:rPr>
        <w:t>ref</w:t>
      </w:r>
      <w:r w:rsidR="00C24EB7">
        <w:t>)</w:t>
      </w:r>
      <w:r>
        <w:t>.</w:t>
      </w:r>
    </w:p>
    <w:p w:rsidR="007D696D" w:rsidRDefault="007D696D" w:rsidP="007D696D">
      <w:r>
        <w:t>Susceptible individuals (S) may become Exposed (E) after contact with infectious material. After an average of 11.4 days (</w:t>
      </w:r>
      <m:oMath>
        <m:sSub>
          <m:sSubPr>
            <m:ctrlPr>
              <w:rPr>
                <w:rFonts w:ascii="Cambria Math" w:hAnsi="Cambria Math"/>
              </w:rPr>
            </m:ctrlPr>
          </m:sSubPr>
          <m:e>
            <m:r>
              <w:rPr>
                <w:rFonts w:ascii="Cambria Math" w:hAnsi="Cambria Math"/>
              </w:rPr>
              <m:t>τ</m:t>
            </m:r>
          </m:e>
          <m:sub>
            <m: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w:rPr>
                <w:rFonts w:ascii="Cambria Math" w:hAnsi="Cambria Math"/>
              </w:rPr>
              <m:t>τ</m:t>
            </m:r>
          </m:e>
          <m:sub>
            <m: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w:rPr>
                <w:rFonts w:ascii="Cambria Math" w:hAnsi="Cambria Math"/>
              </w:rPr>
              <m:t>τ</m:t>
            </m:r>
          </m:e>
          <m:sub>
            <m:r>
              <w:rPr>
                <w:rFonts w:ascii="Cambria Math" w:hAnsi="Cambria Math"/>
              </w:rPr>
              <m:t>I→R</m:t>
            </m:r>
          </m:sub>
        </m:sSub>
      </m:oMath>
      <w:r>
        <w:t>), or Die (D) after an average of 5+4.2 days (</w:t>
      </w:r>
      <m:oMath>
        <m:sSub>
          <m:sSubPr>
            <m:ctrlPr>
              <w:rPr>
                <w:rFonts w:ascii="Cambria Math" w:hAnsi="Cambria Math"/>
              </w:rPr>
            </m:ctrlPr>
          </m:sSubPr>
          <m:e>
            <m:r>
              <w:rPr>
                <w:rFonts w:ascii="Cambria Math" w:hAnsi="Cambria Math"/>
              </w:rPr>
              <m:t>τ</m:t>
            </m:r>
          </m:e>
          <m:sub>
            <m:r>
              <w:rPr>
                <w:rFonts w:ascii="Cambria Math" w:hAnsi="Cambria Math"/>
              </w:rPr>
              <m:t>I→D</m:t>
            </m:r>
          </m:sub>
        </m:sSub>
      </m:oMath>
      <w:r>
        <w:t>). Treated (T) persons may either Recover (TR) after an average of 11.8 days (</w:t>
      </w:r>
      <m:oMath>
        <m:sSub>
          <m:sSubPr>
            <m:ctrlPr>
              <w:rPr>
                <w:rFonts w:ascii="Cambria Math" w:hAnsi="Cambria Math"/>
              </w:rPr>
            </m:ctrlPr>
          </m:sSubPr>
          <m:e>
            <m:r>
              <w:rPr>
                <w:rFonts w:ascii="Cambria Math" w:hAnsi="Cambria Math"/>
              </w:rPr>
              <m:t>τ</m:t>
            </m:r>
          </m:e>
          <m:sub>
            <m:r>
              <w:rPr>
                <w:rFonts w:ascii="Cambria Math" w:hAnsi="Cambria Math"/>
              </w:rPr>
              <m:t>T→TR</m:t>
            </m:r>
          </m:sub>
        </m:sSub>
      </m:oMath>
      <w:r>
        <w:t>) or Die (TD) after an average of 4.2 days (</w:t>
      </w:r>
      <m:oMath>
        <m:sSub>
          <m:sSubPr>
            <m:ctrlPr>
              <w:rPr>
                <w:rFonts w:ascii="Cambria Math" w:hAnsi="Cambria Math"/>
              </w:rPr>
            </m:ctrlPr>
          </m:sSubPr>
          <m:e>
            <m:r>
              <w:rPr>
                <w:rFonts w:ascii="Cambria Math" w:hAnsi="Cambria Math"/>
              </w:rPr>
              <m:t>τ</m:t>
            </m:r>
          </m:e>
          <m:sub>
            <m:r>
              <w:rPr>
                <w:rFonts w:ascii="Cambria Math" w:hAnsi="Cambria Math"/>
              </w:rPr>
              <m:t>T→TD</m:t>
            </m:r>
          </m:sub>
        </m:sSub>
      </m:oMath>
      <w:r>
        <w:t>). The case fatality rate was taken to be 70%.</w:t>
      </w:r>
    </w:p>
    <w:p w:rsidR="007D696D" w:rsidRPr="00882F59" w:rsidRDefault="005B703F" w:rsidP="007D696D">
      <w:pPr>
        <w:rPr>
          <w:i/>
        </w:rPr>
      </w:pPr>
      <w:proofErr w:type="gramStart"/>
      <w:r w:rsidRPr="00882F59">
        <w:rPr>
          <w:i/>
        </w:rPr>
        <w:t>Figure 1.</w:t>
      </w:r>
      <w:proofErr w:type="gramEnd"/>
      <w:r w:rsidRPr="00882F59">
        <w:rPr>
          <w:i/>
        </w:rPr>
        <w:t xml:space="preserve"> </w:t>
      </w:r>
      <w:r w:rsidR="00FC5E05" w:rsidRPr="00882F59">
        <w:rPr>
          <w:i/>
        </w:rPr>
        <w:t>SEIR model</w:t>
      </w:r>
    </w:p>
    <w:p w:rsidR="007D696D" w:rsidRDefault="005B703F" w:rsidP="007D696D">
      <w:r>
        <w:rPr>
          <w:noProof/>
          <w:lang w:val="nb-NO" w:eastAsia="nb-NO"/>
        </w:rPr>
        <w:drawing>
          <wp:inline distT="0" distB="0" distL="0" distR="0">
            <wp:extent cx="4633415" cy="2788629"/>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R model.png"/>
                    <pic:cNvPicPr/>
                  </pic:nvPicPr>
                  <pic:blipFill>
                    <a:blip r:embed="rId8">
                      <a:extLst>
                        <a:ext uri="{28A0092B-C50C-407E-A947-70E740481C1C}">
                          <a14:useLocalDpi xmlns:a14="http://schemas.microsoft.com/office/drawing/2010/main" val="0"/>
                        </a:ext>
                      </a:extLst>
                    </a:blip>
                    <a:stretch>
                      <a:fillRect/>
                    </a:stretch>
                  </pic:blipFill>
                  <pic:spPr>
                    <a:xfrm>
                      <a:off x="0" y="0"/>
                      <a:ext cx="4634513" cy="2789290"/>
                    </a:xfrm>
                    <a:prstGeom prst="rect">
                      <a:avLst/>
                    </a:prstGeom>
                  </pic:spPr>
                </pic:pic>
              </a:graphicData>
            </a:graphic>
          </wp:inline>
        </w:drawing>
      </w:r>
    </w:p>
    <w:p w:rsidR="007D696D" w:rsidRPr="00FC5E05" w:rsidRDefault="007D696D" w:rsidP="007D696D">
      <w:r w:rsidRPr="00FC5E05">
        <w:t>Probability of Infected persons (I) becoming Treated (T) (</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FC5E05">
        <w:t>) was time dependent: on 2014-03-22, the reporting quotient was set to 1/1.5=67%. Taken from the recently published CDC model, the reporting quotient was set to 1/2.5=40%. These percentages were then transformed into logit form, squared, and a linear regression was fit to estimate an exponentially decreasing reporting quotient over time.</w:t>
      </w:r>
    </w:p>
    <w:p w:rsidR="007D696D" w:rsidRPr="00FC5E05" w:rsidRDefault="007D696D" w:rsidP="007D696D">
      <w:r w:rsidRPr="00FC5E05">
        <w:lastRenderedPageBreak/>
        <w:t>A separate model was fit for each of the three countries.</w:t>
      </w:r>
    </w:p>
    <w:p w:rsidR="007D696D" w:rsidRDefault="007D696D" w:rsidP="007D696D">
      <w:r>
        <w:t>In mathematical terms, the transition equations describing the model are given as:</w:t>
      </w:r>
    </w:p>
    <w:p w:rsidR="007D696D" w:rsidRDefault="007D696D" w:rsidP="007D696D">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r>
            <w:rPr>
              <w:rFonts w:ascii="Cambria Math" w:hAnsi="Cambria Math"/>
            </w:rPr>
            <m:t>-aE</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=aE-(</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I</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I-(</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dTR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T</m:t>
          </m:r>
        </m:oMath>
      </m:oMathPara>
    </w:p>
    <w:p w:rsidR="007D696D" w:rsidRDefault="007D696D" w:rsidP="007D696D">
      <m:oMathPara>
        <m:oMathParaPr>
          <m:jc m:val="center"/>
        </m:oMathParaPr>
        <m:oMath>
          <m:f>
            <m:fPr>
              <m:ctrlPr>
                <w:rPr>
                  <w:rFonts w:ascii="Cambria Math" w:hAnsi="Cambria Math"/>
                </w:rPr>
              </m:ctrlPr>
            </m:fPr>
            <m:num>
              <m:r>
                <w:rPr>
                  <w:rFonts w:ascii="Cambria Math" w:hAnsi="Cambria Math"/>
                </w:rPr>
                <m:t>dTD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7D696D" w:rsidRDefault="007D696D" w:rsidP="007D696D">
      <w:r>
        <w:t>Where</w:t>
      </w:r>
    </w:p>
    <w:p w:rsidR="007D696D" w:rsidRDefault="007D696D" w:rsidP="007D696D">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a</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7D696D" w:rsidRDefault="007D696D" w:rsidP="007D696D">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7D696D" w:rsidRDefault="007D696D" w:rsidP="007D696D">
      <m:oMathPara>
        <m:oMathParaPr>
          <m:jc m:val="center"/>
        </m:oMathParaPr>
        <m:oMath>
          <m:r>
            <w:rPr>
              <w:rFonts w:ascii="Cambria Math" w:hAnsi="Cambria Math"/>
            </w:rPr>
            <m:t>β=R0</m:t>
          </m:r>
          <m:sSub>
            <m:sSubPr>
              <m:ctrlPr>
                <w:rPr>
                  <w:rFonts w:ascii="Cambria Math" w:hAnsi="Cambria Math"/>
                </w:rPr>
              </m:ctrlPr>
            </m:sSubPr>
            <m:e>
              <m:r>
                <w:rPr>
                  <w:rFonts w:ascii="Cambria Math" w:hAnsi="Cambria Math"/>
                </w:rPr>
                <m:t>γ</m:t>
              </m:r>
            </m:e>
            <m:sub>
              <m:r>
                <w:rPr>
                  <w:rFonts w:ascii="Cambria Math" w:hAnsi="Cambria Math"/>
                </w:rPr>
                <m:t>I→</m:t>
              </m:r>
            </m:sub>
          </m:sSub>
        </m:oMath>
      </m:oMathPara>
    </w:p>
    <w:p w:rsidR="007D696D" w:rsidRDefault="007D696D" w:rsidP="007D696D">
      <w:pPr>
        <w:pStyle w:val="Overskrift2"/>
      </w:pPr>
      <w:bookmarkStart w:id="6" w:name="model-fitting"/>
      <w:r>
        <w:t>Model Fitting</w:t>
      </w:r>
    </w:p>
    <w:bookmarkEnd w:id="6"/>
    <w:p w:rsidR="007D696D" w:rsidRDefault="007D696D" w:rsidP="007D696D">
      <w:r>
        <w:t>To estimate R0 and beginning starting values for the number of persons in compartments E and I, we implemented an ensemble trajectory model with parameters allowed to change every 2*28=56 days. Briefly, a matrix of plausible parameter values were generated (R0=1.2, 1.3</w:t>
      </w:r>
      <w:proofErr w:type="gramStart"/>
      <w:r>
        <w:t>, ...,</w:t>
      </w:r>
      <w:proofErr w:type="gramEnd"/>
      <w:r>
        <w:t xml:space="preserve"> 2.4; E=2, 12, ..., 82; I=2, 12, ..., 82). For each parameter combination (</w:t>
      </w:r>
      <m:oMath>
        <m:r>
          <w:rPr>
            <w:rFonts w:ascii="Cambria Math" w:hAnsi="Cambria Math"/>
          </w:rPr>
          <m:t>Γ</m:t>
        </m:r>
      </m:oMath>
      <w:r>
        <w:t>), the above model was fitted for the first 56 days. We then evaluated the fit of the model using the following formula:</w:t>
      </w:r>
    </w:p>
    <w:p w:rsidR="007D696D" w:rsidRDefault="007D696D" w:rsidP="007D696D">
      <m:oMathPara>
        <m:oMathParaPr>
          <m:jc m:val="center"/>
        </m:oMathParaPr>
        <m:oMath>
          <m:r>
            <w:rPr>
              <w:rFonts w:ascii="Cambria Math" w:hAnsi="Cambria Math"/>
            </w:rPr>
            <m:t>ldpp(Γ)=</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rsidR="007D696D" w:rsidRDefault="007D696D" w:rsidP="007D696D">
      <w:r>
        <w:t xml:space="preserve">Where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oMath>
      <w:proofErr w:type="gramStart"/>
      <w:r>
        <w:t xml:space="preserve"> was the observed cumulative number of cases at data</w:t>
      </w:r>
      <w:proofErr w:type="gramEnd"/>
      <w:r>
        <w:t xml:space="preserve"> point i, and </w:t>
      </w:r>
      <m:oMath>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was the estimated cumulative number of cases at data point i.</w:t>
      </w:r>
    </w:p>
    <w:p w:rsidR="007D696D" w:rsidRDefault="007D696D" w:rsidP="007D696D">
      <w:r>
        <w:t>From this, we calculated the probability that the outbreak was caused by each parameter combination:</w:t>
      </w:r>
    </w:p>
    <w:p w:rsidR="007D696D" w:rsidRDefault="007D696D" w:rsidP="007D696D">
      <m:oMathPara>
        <m:oMathParaPr>
          <m:jc m:val="center"/>
        </m:oMathParaPr>
        <m:oMath>
          <m:r>
            <w:rPr>
              <w:rFonts w:ascii="Cambria Math" w:hAnsi="Cambria Math"/>
            </w:rPr>
            <m:t>P(outbreakwascausedbyΓ)=</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lddp(Γ)-m</m:t>
                  </m:r>
                  <m:r>
                    <w:rPr>
                      <w:rFonts w:ascii="Cambria Math" w:hAnsi="Cambria Math"/>
                    </w:rPr>
                    <m:t>in(lddp(Γ)</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p w:rsidR="007D696D" w:rsidRDefault="007D696D" w:rsidP="007D696D">
      <w:r>
        <w:t xml:space="preserve">Where C was a </w:t>
      </w:r>
      <w:proofErr w:type="spellStart"/>
      <w:r>
        <w:t>normalisation</w:t>
      </w:r>
      <w:proofErr w:type="spellEnd"/>
      <w:r>
        <w:t xml:space="preserve"> constant, and </w:t>
      </w:r>
      <m:oMath>
        <m:r>
          <w:rPr>
            <w:rFonts w:ascii="Cambria Math" w:hAnsi="Cambria Math"/>
          </w:rPr>
          <m:t>σ=sqrt(0.2×(lddp(Γ)-min(lddp(Γ)))</m:t>
        </m:r>
      </m:oMath>
    </w:p>
    <w:p w:rsidR="007D696D" w:rsidRDefault="007D696D" w:rsidP="007D696D">
      <w:r>
        <w:t>For each parameter combination that had a non-zero probability in the first 58 days of the outbreak, we fitted another 13 models (R0=1.2, 1.3</w:t>
      </w:r>
      <w:proofErr w:type="gramStart"/>
      <w:r>
        <w:t>, ...,</w:t>
      </w:r>
      <w:proofErr w:type="gramEnd"/>
      <w:r>
        <w:t xml:space="preserve"> 2.4) and repeated the same procedure. This algorithm was run until it reached the end of the reported data, at which point the probability of the outbreak being caused by each trajectory was calculated. Each trajectory was then forecast to the present day (2014-10-28) and 58 days beyond, with estimated probabilities assigned.</w:t>
      </w:r>
    </w:p>
    <w:p w:rsidR="007D696D" w:rsidRDefault="007D696D" w:rsidP="007D696D">
      <w:r>
        <w:t>To obtain estimates for each compartment, the differential equations listed above were solved using the "</w:t>
      </w:r>
      <w:proofErr w:type="spellStart"/>
      <w:r>
        <w:t>lsoda</w:t>
      </w:r>
      <w:proofErr w:type="spellEnd"/>
      <w:r>
        <w:t>"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7D696D" w:rsidRDefault="007D696D" w:rsidP="007D696D">
      <w:pPr>
        <w:pStyle w:val="Overskrift2"/>
      </w:pPr>
      <w:bookmarkStart w:id="7" w:name="intervention"/>
      <w:r>
        <w:t>Intervention</w:t>
      </w:r>
    </w:p>
    <w:bookmarkEnd w:id="7"/>
    <w:p w:rsidR="007D696D" w:rsidRDefault="007D696D" w:rsidP="007D696D">
      <w:r>
        <w:t>We implemented a simpler version of the CDC's recommendations to test their efficacy; we investigated the impact of 70% of infectious EVD cases receiving treatment after 5 and 3 days on average, with this scenario occurring today (2027), in 28 days (2014-11-25), and in 56 days (2014-12-23). This is in contrast to the baseline projection where a time-dependent proportion of EVD cases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are treated after an average of 5 days.</w:t>
      </w:r>
    </w:p>
    <w:p w:rsidR="00FC5E05" w:rsidRDefault="00FC5E05" w:rsidP="007D696D">
      <w:pPr>
        <w:rPr>
          <w:rFonts w:asciiTheme="majorHAnsi" w:eastAsiaTheme="majorEastAsia" w:hAnsiTheme="majorHAnsi" w:cstheme="majorBidi"/>
          <w:b/>
          <w:bCs/>
          <w:color w:val="4F81BD" w:themeColor="accent1"/>
          <w:sz w:val="32"/>
          <w:szCs w:val="32"/>
        </w:rPr>
      </w:pPr>
      <w:r w:rsidRPr="00FC5E05">
        <w:rPr>
          <w:rFonts w:asciiTheme="majorHAnsi" w:eastAsiaTheme="majorEastAsia" w:hAnsiTheme="majorHAnsi" w:cstheme="majorBidi"/>
          <w:b/>
          <w:bCs/>
          <w:color w:val="4F81BD" w:themeColor="accent1"/>
          <w:sz w:val="32"/>
          <w:szCs w:val="32"/>
        </w:rPr>
        <w:t>Quantification of resources needed</w:t>
      </w:r>
    </w:p>
    <w:p w:rsidR="00FC5E05" w:rsidRDefault="00FC727E" w:rsidP="00FC727E">
      <w:r>
        <w:lastRenderedPageBreak/>
        <w:t xml:space="preserve">In order to estimate the required number of personnel and equipment, figures provided by UNMEER </w:t>
      </w:r>
      <w:r w:rsidR="009603C0">
        <w:t>(</w:t>
      </w:r>
      <w:commentRangeStart w:id="8"/>
      <w:r w:rsidR="009603C0">
        <w:t>ref</w:t>
      </w:r>
      <w:commentRangeEnd w:id="8"/>
      <w:r w:rsidR="009603C0">
        <w:rPr>
          <w:rStyle w:val="Merknadsreferanse"/>
        </w:rPr>
        <w:commentReference w:id="8"/>
      </w:r>
      <w:r w:rsidR="009603C0">
        <w:t xml:space="preserve">) </w:t>
      </w:r>
      <w:r>
        <w:t xml:space="preserve">and </w:t>
      </w:r>
      <w:commentRangeStart w:id="9"/>
      <w:r>
        <w:t xml:space="preserve">UN OCHA </w:t>
      </w:r>
      <w:commentRangeEnd w:id="9"/>
      <w:r>
        <w:rPr>
          <w:rStyle w:val="Merknadsreferanse"/>
        </w:rPr>
        <w:commentReference w:id="9"/>
      </w:r>
      <w:r w:rsidR="009603C0">
        <w:t xml:space="preserve"> (</w:t>
      </w:r>
      <w:commentRangeStart w:id="10"/>
      <w:r w:rsidR="009603C0">
        <w:t>ref</w:t>
      </w:r>
      <w:commentRangeEnd w:id="10"/>
      <w:r w:rsidR="009603C0">
        <w:rPr>
          <w:rStyle w:val="Merknadsreferanse"/>
        </w:rPr>
        <w:commentReference w:id="10"/>
      </w:r>
      <w:r w:rsidR="009603C0">
        <w:t>)</w:t>
      </w:r>
      <w:r>
        <w:t>.</w:t>
      </w:r>
    </w:p>
    <w:p w:rsidR="009603C0" w:rsidRPr="00FC5E05" w:rsidRDefault="009603C0" w:rsidP="00FC727E">
      <w:r>
        <w:t>Several sources, including UN OCHA, calculate that 100 healthcare personnel, including doctors, nurses and nurses</w:t>
      </w:r>
      <w:r w:rsidR="00590D53">
        <w:t>’</w:t>
      </w:r>
      <w:r>
        <w:t xml:space="preserve"> aids, and 100 other personnel, including </w:t>
      </w:r>
      <w:proofErr w:type="spellStart"/>
      <w:r>
        <w:t>logstics</w:t>
      </w:r>
      <w:proofErr w:type="spellEnd"/>
      <w:r>
        <w:t>, water and sanitation, waste teams, cooks, laundry and cleaners, drivers and security are required for a 100-bed treatment facility (</w:t>
      </w:r>
      <w:r w:rsidRPr="009603C0">
        <w:rPr>
          <w:highlight w:val="yellow"/>
        </w:rPr>
        <w:t>ref</w:t>
      </w:r>
      <w:r>
        <w:t>).</w:t>
      </w:r>
    </w:p>
    <w:p w:rsidR="007D696D" w:rsidRDefault="007D696D" w:rsidP="007D696D">
      <w:pPr>
        <w:pStyle w:val="Overskrift1"/>
      </w:pPr>
      <w:bookmarkStart w:id="11" w:name="results"/>
      <w:r>
        <w:t>Results</w:t>
      </w:r>
    </w:p>
    <w:p w:rsidR="007D696D" w:rsidRDefault="007D696D" w:rsidP="007D696D">
      <w:pPr>
        <w:pStyle w:val="Overskrift2"/>
      </w:pPr>
      <w:bookmarkStart w:id="12" w:name="model-fit"/>
      <w:bookmarkEnd w:id="11"/>
      <w:r>
        <w:t>Model Fit</w:t>
      </w:r>
    </w:p>
    <w:bookmarkEnd w:id="12"/>
    <w:p w:rsidR="007D696D" w:rsidRDefault="007D696D" w:rsidP="007D696D">
      <w:r>
        <w:t>From a visual observation, the model fit is sufficient. There is some uncertainty and lackluster fit at the beginning (especially for Guinea), but the model can be considered to fit well in the last two months of data, which is the most crucial area.</w:t>
      </w:r>
    </w:p>
    <w:p w:rsidR="00857AEB" w:rsidRPr="00857AEB" w:rsidRDefault="00857AEB" w:rsidP="00857AEB">
      <w:pPr>
        <w:rPr>
          <w:i/>
        </w:rPr>
      </w:pPr>
      <w:proofErr w:type="gramStart"/>
      <w:r w:rsidRPr="00857AEB">
        <w:rPr>
          <w:i/>
        </w:rPr>
        <w:t>Figure 2.</w:t>
      </w:r>
      <w:proofErr w:type="gramEnd"/>
      <w:r w:rsidRPr="00857AEB">
        <w:rPr>
          <w:i/>
        </w:rPr>
        <w:t xml:space="preserve"> Total estimates of cumulative cases (per 28.20.2014)</w:t>
      </w:r>
    </w:p>
    <w:p w:rsidR="00857AEB" w:rsidRDefault="00857AEB" w:rsidP="00857AEB">
      <w:r>
        <w:rPr>
          <w:noProof/>
          <w:lang w:val="nb-NO" w:eastAsia="nb-NO"/>
        </w:rPr>
        <w:drawing>
          <wp:inline distT="0" distB="0" distL="0" distR="0" wp14:anchorId="757DF177" wp14:editId="7BA56461">
            <wp:extent cx="5760720" cy="4073525"/>
            <wp:effectExtent l="0" t="0" r="0" b="317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log_validation_total.png"/>
                    <pic:cNvPicPr>
                      <a:picLocks noChangeAspect="1" noChangeArrowheads="1"/>
                    </pic:cNvPicPr>
                  </pic:nvPicPr>
                  <pic:blipFill>
                    <a:blip r:embed="rId9"/>
                    <a:stretch>
                      <a:fillRect/>
                    </a:stretch>
                  </pic:blipFill>
                  <pic:spPr bwMode="auto">
                    <a:xfrm>
                      <a:off x="0" y="0"/>
                      <a:ext cx="5760720" cy="4073525"/>
                    </a:xfrm>
                    <a:prstGeom prst="rect">
                      <a:avLst/>
                    </a:prstGeom>
                    <a:noFill/>
                    <a:ln w="9525">
                      <a:noFill/>
                      <a:headEnd/>
                      <a:tailEnd/>
                    </a:ln>
                  </pic:spPr>
                </pic:pic>
              </a:graphicData>
            </a:graphic>
          </wp:inline>
        </w:drawing>
      </w:r>
    </w:p>
    <w:p w:rsidR="00857AEB" w:rsidRDefault="00857AEB" w:rsidP="007D696D"/>
    <w:p w:rsidR="007D696D" w:rsidRDefault="007D696D" w:rsidP="007D696D">
      <w:pPr>
        <w:pStyle w:val="Overskrift2"/>
      </w:pPr>
      <w:bookmarkStart w:id="13" w:name="reproductive-number"/>
      <w:r>
        <w:t>Reproductive number</w:t>
      </w:r>
    </w:p>
    <w:bookmarkEnd w:id="13"/>
    <w:p w:rsidR="007D696D" w:rsidRDefault="007D696D" w:rsidP="007D696D">
      <w:r>
        <w:t>Using the last 56 days of outbreak data, we estimated that the effective reproductive number for 2027 was 1.81 (95% CI=1.37 to 2.25) in Guinea, 1.27 (95% CI=1.14 to 1.41) in Liberia, and 1.81 (95% CI=1.65 to 1.96) in Sierra Leone.</w:t>
      </w:r>
    </w:p>
    <w:p w:rsidR="007D696D" w:rsidRDefault="007D696D" w:rsidP="007D696D">
      <w:pPr>
        <w:pStyle w:val="Overskrift2"/>
      </w:pPr>
      <w:bookmarkStart w:id="14" w:name="predictions"/>
      <w:r>
        <w:lastRenderedPageBreak/>
        <w:t>Predictions</w:t>
      </w:r>
    </w:p>
    <w:bookmarkEnd w:id="14"/>
    <w:p w:rsidR="007D696D" w:rsidRDefault="007D696D" w:rsidP="007D696D">
      <w:r>
        <w:t xml:space="preserve">Per today (2014-10-28), we have estimated that there are 2027 new cases every day. In 28 days (2014-11-25) this number will increase to 4453 new cases every day, corresponding to a total of 139469 (116629, 162310) cumulative total cases. In a further 28 days (2014-12-23) this will increase to 10402 new cases every day, corresponding to a total of </w:t>
      </w:r>
      <w:commentRangeStart w:id="15"/>
      <w:r>
        <w:t>283622</w:t>
      </w:r>
      <w:commentRangeEnd w:id="15"/>
      <w:r w:rsidR="00464FBF">
        <w:rPr>
          <w:rStyle w:val="Merknadsreferanse"/>
        </w:rPr>
        <w:commentReference w:id="15"/>
      </w:r>
      <w:r>
        <w:t xml:space="preserve"> (205447, 361796) cumulative total cases.</w:t>
      </w:r>
    </w:p>
    <w:p w:rsidR="007D696D" w:rsidRDefault="007D696D" w:rsidP="007D696D"/>
    <w:p w:rsidR="007D696D" w:rsidRPr="00857AEB" w:rsidRDefault="007D696D" w:rsidP="007D696D">
      <w:pPr>
        <w:rPr>
          <w:i/>
        </w:rPr>
      </w:pPr>
      <w:proofErr w:type="gramStart"/>
      <w:r w:rsidRPr="00857AEB">
        <w:rPr>
          <w:i/>
        </w:rPr>
        <w:t>Table 1.</w:t>
      </w:r>
      <w:proofErr w:type="gramEnd"/>
      <w:r w:rsidRPr="00857AEB">
        <w:rPr>
          <w:i/>
        </w:rPr>
        <w:t xml:space="preserve"> Reported cases per day</w:t>
      </w:r>
    </w:p>
    <w:tbl>
      <w:tblPr>
        <w:tblW w:w="0" w:type="auto"/>
        <w:tblLook w:val="04A0" w:firstRow="1" w:lastRow="0" w:firstColumn="1" w:lastColumn="0" w:noHBand="0" w:noVBand="1"/>
      </w:tblPr>
      <w:tblGrid>
        <w:gridCol w:w="2660"/>
        <w:gridCol w:w="1843"/>
        <w:gridCol w:w="2268"/>
        <w:gridCol w:w="2517"/>
      </w:tblGrid>
      <w:tr w:rsidR="007D696D" w:rsidTr="00831EFA">
        <w:tc>
          <w:tcPr>
            <w:tcW w:w="2660" w:type="dxa"/>
            <w:tcBorders>
              <w:bottom w:val="single" w:sz="0" w:space="0" w:color="auto"/>
            </w:tcBorders>
            <w:vAlign w:val="bottom"/>
          </w:tcPr>
          <w:p w:rsidR="007D696D" w:rsidRDefault="007D696D" w:rsidP="00831EFA">
            <w:pPr>
              <w:pStyle w:val="Compact"/>
              <w:jc w:val="center"/>
            </w:pPr>
            <w:r>
              <w:t>Variable</w:t>
            </w:r>
          </w:p>
        </w:tc>
        <w:tc>
          <w:tcPr>
            <w:tcW w:w="1843" w:type="dxa"/>
            <w:tcBorders>
              <w:bottom w:val="single" w:sz="0" w:space="0" w:color="auto"/>
            </w:tcBorders>
            <w:vAlign w:val="bottom"/>
          </w:tcPr>
          <w:p w:rsidR="007D696D" w:rsidRDefault="007D696D" w:rsidP="00831EFA">
            <w:pPr>
              <w:pStyle w:val="Compact"/>
              <w:jc w:val="center"/>
            </w:pPr>
            <w:r>
              <w:t>2014-10-28</w:t>
            </w:r>
          </w:p>
        </w:tc>
        <w:tc>
          <w:tcPr>
            <w:tcW w:w="2268" w:type="dxa"/>
            <w:tcBorders>
              <w:bottom w:val="single" w:sz="0" w:space="0" w:color="auto"/>
            </w:tcBorders>
            <w:vAlign w:val="bottom"/>
          </w:tcPr>
          <w:p w:rsidR="007D696D" w:rsidRDefault="007D696D" w:rsidP="00831EFA">
            <w:pPr>
              <w:pStyle w:val="Compact"/>
              <w:jc w:val="center"/>
            </w:pPr>
            <w:r>
              <w:t>2014-11-25</w:t>
            </w:r>
          </w:p>
        </w:tc>
        <w:tc>
          <w:tcPr>
            <w:tcW w:w="2517" w:type="dxa"/>
            <w:tcBorders>
              <w:bottom w:val="single" w:sz="0" w:space="0" w:color="auto"/>
            </w:tcBorders>
            <w:vAlign w:val="bottom"/>
          </w:tcPr>
          <w:p w:rsidR="007D696D" w:rsidRDefault="007D696D" w:rsidP="00831EFA">
            <w:pPr>
              <w:pStyle w:val="Compact"/>
              <w:jc w:val="center"/>
            </w:pPr>
            <w:r>
              <w:t>2014-12-23</w:t>
            </w:r>
          </w:p>
        </w:tc>
      </w:tr>
      <w:tr w:rsidR="007D696D" w:rsidTr="00831EFA">
        <w:tc>
          <w:tcPr>
            <w:tcW w:w="2660" w:type="dxa"/>
          </w:tcPr>
          <w:p w:rsidR="007D696D" w:rsidRDefault="007D696D" w:rsidP="00831EFA">
            <w:pPr>
              <w:pStyle w:val="Compact"/>
              <w:jc w:val="center"/>
            </w:pPr>
            <w:r>
              <w:t>Days from today</w:t>
            </w:r>
          </w:p>
        </w:tc>
        <w:tc>
          <w:tcPr>
            <w:tcW w:w="1843" w:type="dxa"/>
          </w:tcPr>
          <w:p w:rsidR="007D696D" w:rsidRDefault="007D696D" w:rsidP="00831EFA">
            <w:pPr>
              <w:pStyle w:val="Compact"/>
              <w:jc w:val="center"/>
            </w:pPr>
            <w:r>
              <w:t>0</w:t>
            </w:r>
          </w:p>
        </w:tc>
        <w:tc>
          <w:tcPr>
            <w:tcW w:w="2268" w:type="dxa"/>
          </w:tcPr>
          <w:p w:rsidR="007D696D" w:rsidRDefault="007D696D" w:rsidP="00831EFA">
            <w:pPr>
              <w:pStyle w:val="Compact"/>
              <w:jc w:val="center"/>
            </w:pPr>
            <w:r>
              <w:t>28</w:t>
            </w:r>
          </w:p>
        </w:tc>
        <w:tc>
          <w:tcPr>
            <w:tcW w:w="2517" w:type="dxa"/>
          </w:tcPr>
          <w:p w:rsidR="007D696D" w:rsidRDefault="007D696D" w:rsidP="00831EFA">
            <w:pPr>
              <w:pStyle w:val="Compact"/>
              <w:jc w:val="center"/>
            </w:pPr>
            <w:r>
              <w:t>56</w:t>
            </w:r>
          </w:p>
        </w:tc>
      </w:tr>
      <w:tr w:rsidR="007D696D" w:rsidTr="00831EFA">
        <w:tc>
          <w:tcPr>
            <w:tcW w:w="2660" w:type="dxa"/>
            <w:vMerge w:val="restart"/>
          </w:tcPr>
          <w:p w:rsidR="007D696D" w:rsidRDefault="007D696D" w:rsidP="00831EFA">
            <w:pPr>
              <w:pStyle w:val="Compact"/>
              <w:jc w:val="center"/>
            </w:pPr>
            <w:r>
              <w:t>Cases (reported)</w:t>
            </w:r>
          </w:p>
        </w:tc>
        <w:tc>
          <w:tcPr>
            <w:tcW w:w="1843" w:type="dxa"/>
          </w:tcPr>
          <w:p w:rsidR="007D696D" w:rsidRDefault="007D696D" w:rsidP="00831EFA">
            <w:pPr>
              <w:pStyle w:val="Compact"/>
              <w:jc w:val="center"/>
            </w:pPr>
            <w:r>
              <w:t>12707</w:t>
            </w:r>
          </w:p>
        </w:tc>
        <w:tc>
          <w:tcPr>
            <w:tcW w:w="2268" w:type="dxa"/>
          </w:tcPr>
          <w:p w:rsidR="007D696D" w:rsidRDefault="007D696D" w:rsidP="00831EFA">
            <w:pPr>
              <w:pStyle w:val="Compact"/>
              <w:jc w:val="center"/>
            </w:pPr>
            <w:r>
              <w:t>22414</w:t>
            </w:r>
          </w:p>
        </w:tc>
        <w:tc>
          <w:tcPr>
            <w:tcW w:w="2517" w:type="dxa"/>
          </w:tcPr>
          <w:p w:rsidR="007D696D" w:rsidRDefault="007D696D" w:rsidP="00831EFA">
            <w:pPr>
              <w:pStyle w:val="Compact"/>
              <w:jc w:val="center"/>
            </w:pPr>
            <w:r>
              <w:t>40630</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(11748, 13667)</w:t>
            </w:r>
          </w:p>
        </w:tc>
        <w:tc>
          <w:tcPr>
            <w:tcW w:w="2268" w:type="dxa"/>
          </w:tcPr>
          <w:p w:rsidR="007D696D" w:rsidRDefault="007D696D" w:rsidP="00831EFA">
            <w:pPr>
              <w:pStyle w:val="Compact"/>
              <w:jc w:val="center"/>
            </w:pPr>
            <w:r>
              <w:t>(19116, 25712)</w:t>
            </w:r>
          </w:p>
        </w:tc>
        <w:tc>
          <w:tcPr>
            <w:tcW w:w="2517" w:type="dxa"/>
          </w:tcPr>
          <w:p w:rsidR="007D696D" w:rsidRDefault="007D696D" w:rsidP="00831EFA">
            <w:pPr>
              <w:pStyle w:val="Compact"/>
              <w:jc w:val="center"/>
            </w:pPr>
            <w:r>
              <w:t>(29931, 51329)</w:t>
            </w:r>
          </w:p>
        </w:tc>
      </w:tr>
      <w:tr w:rsidR="007D696D" w:rsidTr="00831EFA">
        <w:tc>
          <w:tcPr>
            <w:tcW w:w="2660" w:type="dxa"/>
          </w:tcPr>
          <w:p w:rsidR="007D696D" w:rsidRDefault="007D696D" w:rsidP="00831EFA">
            <w:pPr>
              <w:pStyle w:val="Compact"/>
              <w:jc w:val="center"/>
            </w:pPr>
            <w:r>
              <w:t>New daily cases (reported)</w:t>
            </w:r>
          </w:p>
        </w:tc>
        <w:tc>
          <w:tcPr>
            <w:tcW w:w="1843" w:type="dxa"/>
          </w:tcPr>
          <w:p w:rsidR="007D696D" w:rsidRDefault="007D696D" w:rsidP="00831EFA">
            <w:pPr>
              <w:pStyle w:val="Compact"/>
              <w:jc w:val="center"/>
            </w:pPr>
            <w:r>
              <w:t>253</w:t>
            </w:r>
          </w:p>
        </w:tc>
        <w:tc>
          <w:tcPr>
            <w:tcW w:w="2268" w:type="dxa"/>
          </w:tcPr>
          <w:p w:rsidR="007D696D" w:rsidRDefault="007D696D" w:rsidP="00831EFA">
            <w:pPr>
              <w:pStyle w:val="Compact"/>
              <w:jc w:val="center"/>
            </w:pPr>
            <w:r>
              <w:t>457</w:t>
            </w:r>
          </w:p>
        </w:tc>
        <w:tc>
          <w:tcPr>
            <w:tcW w:w="2517" w:type="dxa"/>
          </w:tcPr>
          <w:p w:rsidR="007D696D" w:rsidRDefault="007D696D" w:rsidP="00831EFA">
            <w:pPr>
              <w:pStyle w:val="Compact"/>
              <w:jc w:val="center"/>
            </w:pPr>
            <w:r>
              <w:t>880</w:t>
            </w:r>
          </w:p>
        </w:tc>
      </w:tr>
      <w:tr w:rsidR="007D696D" w:rsidTr="00831EFA">
        <w:tc>
          <w:tcPr>
            <w:tcW w:w="2660" w:type="dxa"/>
            <w:vMerge w:val="restart"/>
          </w:tcPr>
          <w:p w:rsidR="007D696D" w:rsidRDefault="007D696D" w:rsidP="00831EFA">
            <w:pPr>
              <w:pStyle w:val="Compact"/>
              <w:jc w:val="center"/>
            </w:pPr>
            <w:r>
              <w:t>Cases (total)</w:t>
            </w:r>
          </w:p>
        </w:tc>
        <w:tc>
          <w:tcPr>
            <w:tcW w:w="1843" w:type="dxa"/>
          </w:tcPr>
          <w:p w:rsidR="007D696D" w:rsidRDefault="007D696D" w:rsidP="00831EFA">
            <w:pPr>
              <w:pStyle w:val="Compact"/>
              <w:jc w:val="center"/>
            </w:pPr>
            <w:r>
              <w:t>80316</w:t>
            </w:r>
          </w:p>
        </w:tc>
        <w:tc>
          <w:tcPr>
            <w:tcW w:w="2268" w:type="dxa"/>
          </w:tcPr>
          <w:p w:rsidR="007D696D" w:rsidRDefault="007D696D" w:rsidP="00831EFA">
            <w:pPr>
              <w:pStyle w:val="Compact"/>
              <w:jc w:val="center"/>
            </w:pPr>
            <w:r>
              <w:t>167345</w:t>
            </w:r>
          </w:p>
        </w:tc>
        <w:tc>
          <w:tcPr>
            <w:tcW w:w="2517" w:type="dxa"/>
          </w:tcPr>
          <w:p w:rsidR="007D696D" w:rsidRDefault="007D696D" w:rsidP="00831EFA">
            <w:pPr>
              <w:pStyle w:val="Compact"/>
              <w:jc w:val="center"/>
            </w:pPr>
            <w:r>
              <w:t>365819</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(72089, 88543)</w:t>
            </w:r>
          </w:p>
        </w:tc>
        <w:tc>
          <w:tcPr>
            <w:tcW w:w="2268" w:type="dxa"/>
          </w:tcPr>
          <w:p w:rsidR="007D696D" w:rsidRDefault="007D696D" w:rsidP="00831EFA">
            <w:pPr>
              <w:pStyle w:val="Compact"/>
              <w:jc w:val="center"/>
            </w:pPr>
            <w:r>
              <w:t>(134004, 200686)</w:t>
            </w:r>
          </w:p>
        </w:tc>
        <w:tc>
          <w:tcPr>
            <w:tcW w:w="2517" w:type="dxa"/>
          </w:tcPr>
          <w:p w:rsidR="007D696D" w:rsidRDefault="007D696D" w:rsidP="00831EFA">
            <w:pPr>
              <w:pStyle w:val="Compact"/>
              <w:jc w:val="center"/>
            </w:pPr>
            <w:r>
              <w:t>(241125, 490514)</w:t>
            </w:r>
          </w:p>
        </w:tc>
      </w:tr>
      <w:tr w:rsidR="007D696D" w:rsidTr="00831EFA">
        <w:tc>
          <w:tcPr>
            <w:tcW w:w="2660" w:type="dxa"/>
          </w:tcPr>
          <w:p w:rsidR="007D696D" w:rsidRDefault="007D696D" w:rsidP="00831EFA">
            <w:pPr>
              <w:pStyle w:val="Compact"/>
              <w:jc w:val="center"/>
            </w:pPr>
            <w:r>
              <w:t>New daily cases (total)</w:t>
            </w:r>
          </w:p>
        </w:tc>
        <w:tc>
          <w:tcPr>
            <w:tcW w:w="1843" w:type="dxa"/>
          </w:tcPr>
          <w:p w:rsidR="007D696D" w:rsidRDefault="007D696D" w:rsidP="00831EFA">
            <w:pPr>
              <w:pStyle w:val="Compact"/>
              <w:jc w:val="center"/>
            </w:pPr>
            <w:r>
              <w:t>2027</w:t>
            </w:r>
          </w:p>
        </w:tc>
        <w:tc>
          <w:tcPr>
            <w:tcW w:w="2268" w:type="dxa"/>
          </w:tcPr>
          <w:p w:rsidR="007D696D" w:rsidRDefault="007D696D" w:rsidP="00831EFA">
            <w:pPr>
              <w:pStyle w:val="Compact"/>
              <w:jc w:val="center"/>
            </w:pPr>
            <w:r>
              <w:t>4453</w:t>
            </w:r>
          </w:p>
        </w:tc>
        <w:tc>
          <w:tcPr>
            <w:tcW w:w="2517" w:type="dxa"/>
          </w:tcPr>
          <w:p w:rsidR="007D696D" w:rsidRDefault="007D696D" w:rsidP="00831EFA">
            <w:pPr>
              <w:pStyle w:val="Compact"/>
              <w:jc w:val="center"/>
            </w:pPr>
            <w:r>
              <w:t>10402</w:t>
            </w:r>
          </w:p>
        </w:tc>
      </w:tr>
      <w:tr w:rsidR="007D696D" w:rsidTr="00831EFA">
        <w:tc>
          <w:tcPr>
            <w:tcW w:w="2660" w:type="dxa"/>
            <w:vMerge w:val="restart"/>
          </w:tcPr>
          <w:p w:rsidR="007D696D" w:rsidRDefault="007D696D" w:rsidP="00831EFA">
            <w:pPr>
              <w:pStyle w:val="Compact"/>
              <w:jc w:val="center"/>
            </w:pPr>
            <w:r>
              <w:t>Incubation period</w:t>
            </w:r>
          </w:p>
        </w:tc>
        <w:tc>
          <w:tcPr>
            <w:tcW w:w="1843" w:type="dxa"/>
          </w:tcPr>
          <w:p w:rsidR="007D696D" w:rsidRDefault="007D696D" w:rsidP="00831EFA">
            <w:pPr>
              <w:pStyle w:val="Compact"/>
              <w:jc w:val="center"/>
            </w:pPr>
            <w:r>
              <w:t>23423</w:t>
            </w:r>
          </w:p>
        </w:tc>
        <w:tc>
          <w:tcPr>
            <w:tcW w:w="2268" w:type="dxa"/>
          </w:tcPr>
          <w:p w:rsidR="007D696D" w:rsidRDefault="007D696D" w:rsidP="00831EFA">
            <w:pPr>
              <w:pStyle w:val="Compact"/>
              <w:jc w:val="center"/>
            </w:pPr>
            <w:r>
              <w:t>51507</w:t>
            </w:r>
          </w:p>
        </w:tc>
        <w:tc>
          <w:tcPr>
            <w:tcW w:w="2517" w:type="dxa"/>
          </w:tcPr>
          <w:p w:rsidR="007D696D" w:rsidRDefault="007D696D" w:rsidP="00831EFA">
            <w:pPr>
              <w:pStyle w:val="Compact"/>
              <w:jc w:val="center"/>
            </w:pPr>
            <w:r>
              <w:t>120444</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(18264, 28582)</w:t>
            </w:r>
          </w:p>
        </w:tc>
        <w:tc>
          <w:tcPr>
            <w:tcW w:w="2268" w:type="dxa"/>
          </w:tcPr>
          <w:p w:rsidR="007D696D" w:rsidRDefault="007D696D" w:rsidP="00831EFA">
            <w:pPr>
              <w:pStyle w:val="Compact"/>
              <w:jc w:val="center"/>
            </w:pPr>
            <w:r>
              <w:t>(32691, 70323)</w:t>
            </w:r>
          </w:p>
        </w:tc>
        <w:tc>
          <w:tcPr>
            <w:tcW w:w="2517" w:type="dxa"/>
          </w:tcPr>
          <w:p w:rsidR="007D696D" w:rsidRDefault="007D696D" w:rsidP="00831EFA">
            <w:pPr>
              <w:pStyle w:val="Compact"/>
              <w:jc w:val="center"/>
            </w:pPr>
            <w:r>
              <w:t>(54380, 186507)</w:t>
            </w:r>
          </w:p>
        </w:tc>
      </w:tr>
      <w:tr w:rsidR="007D696D" w:rsidTr="00831EFA">
        <w:tc>
          <w:tcPr>
            <w:tcW w:w="2660" w:type="dxa"/>
            <w:vMerge w:val="restart"/>
          </w:tcPr>
          <w:p w:rsidR="007D696D" w:rsidRDefault="007D696D" w:rsidP="00831EFA">
            <w:pPr>
              <w:pStyle w:val="Compact"/>
              <w:jc w:val="center"/>
            </w:pPr>
            <w:r>
              <w:t>Infectious and unreported</w:t>
            </w:r>
          </w:p>
        </w:tc>
        <w:tc>
          <w:tcPr>
            <w:tcW w:w="1843" w:type="dxa"/>
          </w:tcPr>
          <w:p w:rsidR="007D696D" w:rsidRDefault="007D696D" w:rsidP="00831EFA">
            <w:pPr>
              <w:pStyle w:val="Compact"/>
              <w:jc w:val="center"/>
            </w:pPr>
            <w:r>
              <w:t>15615</w:t>
            </w:r>
          </w:p>
        </w:tc>
        <w:tc>
          <w:tcPr>
            <w:tcW w:w="2268" w:type="dxa"/>
          </w:tcPr>
          <w:p w:rsidR="007D696D" w:rsidRDefault="007D696D" w:rsidP="00831EFA">
            <w:pPr>
              <w:pStyle w:val="Compact"/>
              <w:jc w:val="center"/>
            </w:pPr>
            <w:r>
              <w:t>34379</w:t>
            </w:r>
          </w:p>
        </w:tc>
        <w:tc>
          <w:tcPr>
            <w:tcW w:w="2517" w:type="dxa"/>
          </w:tcPr>
          <w:p w:rsidR="007D696D" w:rsidRDefault="007D696D" w:rsidP="00831EFA">
            <w:pPr>
              <w:pStyle w:val="Compact"/>
              <w:jc w:val="center"/>
            </w:pPr>
            <w:r>
              <w:t>80652</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(12679, 18551)</w:t>
            </w:r>
          </w:p>
        </w:tc>
        <w:tc>
          <w:tcPr>
            <w:tcW w:w="2268" w:type="dxa"/>
          </w:tcPr>
          <w:p w:rsidR="007D696D" w:rsidRDefault="007D696D" w:rsidP="00831EFA">
            <w:pPr>
              <w:pStyle w:val="Compact"/>
              <w:jc w:val="center"/>
            </w:pPr>
            <w:r>
              <w:t>(23279, 45479)</w:t>
            </w:r>
          </w:p>
        </w:tc>
        <w:tc>
          <w:tcPr>
            <w:tcW w:w="2517" w:type="dxa"/>
          </w:tcPr>
          <w:p w:rsidR="007D696D" w:rsidRDefault="007D696D" w:rsidP="00831EFA">
            <w:pPr>
              <w:pStyle w:val="Compact"/>
              <w:jc w:val="center"/>
            </w:pPr>
            <w:r>
              <w:t>(40666, 120638)</w:t>
            </w:r>
          </w:p>
        </w:tc>
      </w:tr>
      <w:tr w:rsidR="007D696D" w:rsidTr="00831EFA">
        <w:tc>
          <w:tcPr>
            <w:tcW w:w="2660" w:type="dxa"/>
            <w:vMerge w:val="restart"/>
          </w:tcPr>
          <w:p w:rsidR="007D696D" w:rsidRDefault="007D696D" w:rsidP="00831EFA">
            <w:pPr>
              <w:pStyle w:val="Compact"/>
              <w:jc w:val="center"/>
            </w:pPr>
            <w:r>
              <w:t>Undergoing treatment</w:t>
            </w:r>
          </w:p>
        </w:tc>
        <w:tc>
          <w:tcPr>
            <w:tcW w:w="1843" w:type="dxa"/>
          </w:tcPr>
          <w:p w:rsidR="007D696D" w:rsidRDefault="007D696D" w:rsidP="00831EFA">
            <w:pPr>
              <w:pStyle w:val="Compact"/>
              <w:jc w:val="center"/>
            </w:pPr>
            <w:r>
              <w:t>2048</w:t>
            </w:r>
          </w:p>
        </w:tc>
        <w:tc>
          <w:tcPr>
            <w:tcW w:w="2268" w:type="dxa"/>
          </w:tcPr>
          <w:p w:rsidR="007D696D" w:rsidRDefault="007D696D" w:rsidP="00831EFA">
            <w:pPr>
              <w:pStyle w:val="Compact"/>
              <w:jc w:val="center"/>
            </w:pPr>
            <w:r>
              <w:t>3714</w:t>
            </w:r>
          </w:p>
        </w:tc>
        <w:tc>
          <w:tcPr>
            <w:tcW w:w="2517" w:type="dxa"/>
          </w:tcPr>
          <w:p w:rsidR="007D696D" w:rsidRDefault="007D696D" w:rsidP="00831EFA">
            <w:pPr>
              <w:pStyle w:val="Compact"/>
              <w:jc w:val="center"/>
            </w:pPr>
            <w:r>
              <w:t>7180</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(1726, 2369)</w:t>
            </w:r>
          </w:p>
        </w:tc>
        <w:tc>
          <w:tcPr>
            <w:tcW w:w="2268" w:type="dxa"/>
          </w:tcPr>
          <w:p w:rsidR="007D696D" w:rsidRDefault="007D696D" w:rsidP="00831EFA">
            <w:pPr>
              <w:pStyle w:val="Compact"/>
              <w:jc w:val="center"/>
            </w:pPr>
            <w:r>
              <w:t>(2670, 4758)</w:t>
            </w:r>
          </w:p>
        </w:tc>
        <w:tc>
          <w:tcPr>
            <w:tcW w:w="2517" w:type="dxa"/>
          </w:tcPr>
          <w:p w:rsidR="007D696D" w:rsidRDefault="007D696D" w:rsidP="00831EFA">
            <w:pPr>
              <w:pStyle w:val="Compact"/>
              <w:jc w:val="center"/>
            </w:pPr>
            <w:r>
              <w:t>(3997, 10362)</w:t>
            </w:r>
          </w:p>
        </w:tc>
      </w:tr>
      <w:tr w:rsidR="007D696D" w:rsidTr="00831EFA">
        <w:tc>
          <w:tcPr>
            <w:tcW w:w="2660" w:type="dxa"/>
            <w:vMerge w:val="restart"/>
          </w:tcPr>
          <w:p w:rsidR="007D696D" w:rsidRDefault="007D696D" w:rsidP="00831EFA">
            <w:pPr>
              <w:pStyle w:val="Compact"/>
              <w:jc w:val="center"/>
            </w:pPr>
            <w:r>
              <w:t>CDC 25% ETU target</w:t>
            </w:r>
          </w:p>
        </w:tc>
        <w:tc>
          <w:tcPr>
            <w:tcW w:w="1843" w:type="dxa"/>
          </w:tcPr>
          <w:p w:rsidR="007D696D" w:rsidRDefault="007D696D" w:rsidP="00831EFA">
            <w:pPr>
              <w:pStyle w:val="Compact"/>
              <w:jc w:val="center"/>
            </w:pPr>
            <w:r>
              <w:t>4416</w:t>
            </w:r>
          </w:p>
        </w:tc>
        <w:tc>
          <w:tcPr>
            <w:tcW w:w="2268" w:type="dxa"/>
          </w:tcPr>
          <w:p w:rsidR="007D696D" w:rsidRDefault="007D696D" w:rsidP="00831EFA">
            <w:pPr>
              <w:pStyle w:val="Compact"/>
              <w:jc w:val="center"/>
            </w:pPr>
            <w:r>
              <w:t>9523</w:t>
            </w:r>
          </w:p>
        </w:tc>
        <w:tc>
          <w:tcPr>
            <w:tcW w:w="2517" w:type="dxa"/>
          </w:tcPr>
          <w:p w:rsidR="007D696D" w:rsidRDefault="007D696D" w:rsidP="00831EFA">
            <w:pPr>
              <w:pStyle w:val="Compact"/>
              <w:jc w:val="center"/>
            </w:pPr>
            <w:r>
              <w:t>21958</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(3677, 5154)</w:t>
            </w:r>
          </w:p>
        </w:tc>
        <w:tc>
          <w:tcPr>
            <w:tcW w:w="2268" w:type="dxa"/>
          </w:tcPr>
          <w:p w:rsidR="007D696D" w:rsidRDefault="007D696D" w:rsidP="00831EFA">
            <w:pPr>
              <w:pStyle w:val="Compact"/>
              <w:jc w:val="center"/>
            </w:pPr>
            <w:r>
              <w:t>(6736, 12311)</w:t>
            </w:r>
          </w:p>
        </w:tc>
        <w:tc>
          <w:tcPr>
            <w:tcW w:w="2517" w:type="dxa"/>
          </w:tcPr>
          <w:p w:rsidR="007D696D" w:rsidRDefault="007D696D" w:rsidP="00831EFA">
            <w:pPr>
              <w:pStyle w:val="Compact"/>
              <w:jc w:val="center"/>
            </w:pPr>
            <w:r>
              <w:t>(11930, 31986)</w:t>
            </w:r>
          </w:p>
        </w:tc>
      </w:tr>
      <w:tr w:rsidR="007D696D" w:rsidTr="00831EFA">
        <w:tc>
          <w:tcPr>
            <w:tcW w:w="2660" w:type="dxa"/>
            <w:vMerge w:val="restart"/>
          </w:tcPr>
          <w:p w:rsidR="007D696D" w:rsidRDefault="007D696D" w:rsidP="00831EFA">
            <w:pPr>
              <w:pStyle w:val="Compact"/>
              <w:jc w:val="center"/>
            </w:pPr>
            <w:r>
              <w:t>CDC 45% reduced transmission target</w:t>
            </w:r>
          </w:p>
        </w:tc>
        <w:tc>
          <w:tcPr>
            <w:tcW w:w="1843" w:type="dxa"/>
          </w:tcPr>
          <w:p w:rsidR="007D696D" w:rsidRDefault="007D696D" w:rsidP="00831EFA">
            <w:pPr>
              <w:pStyle w:val="Compact"/>
              <w:jc w:val="center"/>
            </w:pPr>
            <w:r>
              <w:t>7948</w:t>
            </w:r>
          </w:p>
        </w:tc>
        <w:tc>
          <w:tcPr>
            <w:tcW w:w="2268" w:type="dxa"/>
          </w:tcPr>
          <w:p w:rsidR="007D696D" w:rsidRDefault="007D696D" w:rsidP="00831EFA">
            <w:pPr>
              <w:pStyle w:val="Compact"/>
              <w:jc w:val="center"/>
            </w:pPr>
            <w:r>
              <w:t>17142</w:t>
            </w:r>
          </w:p>
        </w:tc>
        <w:tc>
          <w:tcPr>
            <w:tcW w:w="2517" w:type="dxa"/>
          </w:tcPr>
          <w:p w:rsidR="007D696D" w:rsidRDefault="007D696D" w:rsidP="00831EFA">
            <w:pPr>
              <w:pStyle w:val="Compact"/>
              <w:jc w:val="center"/>
            </w:pPr>
            <w:r>
              <w:t>39524</w:t>
            </w:r>
          </w:p>
        </w:tc>
      </w:tr>
      <w:tr w:rsidR="007D696D" w:rsidTr="00831EFA">
        <w:tc>
          <w:tcPr>
            <w:tcW w:w="2660" w:type="dxa"/>
            <w:vMerge/>
          </w:tcPr>
          <w:p w:rsidR="007D696D" w:rsidRDefault="007D696D" w:rsidP="00831EFA"/>
        </w:tc>
        <w:tc>
          <w:tcPr>
            <w:tcW w:w="1843" w:type="dxa"/>
          </w:tcPr>
          <w:p w:rsidR="007D696D" w:rsidRDefault="007D696D" w:rsidP="00831EFA">
            <w:pPr>
              <w:pStyle w:val="Compact"/>
              <w:jc w:val="center"/>
            </w:pPr>
            <w:r>
              <w:t>(6619, 9277)</w:t>
            </w:r>
          </w:p>
        </w:tc>
        <w:tc>
          <w:tcPr>
            <w:tcW w:w="2268" w:type="dxa"/>
          </w:tcPr>
          <w:p w:rsidR="007D696D" w:rsidRDefault="007D696D" w:rsidP="00831EFA">
            <w:pPr>
              <w:pStyle w:val="Compact"/>
              <w:jc w:val="center"/>
            </w:pPr>
            <w:r>
              <w:t>(12125, 22159)</w:t>
            </w:r>
          </w:p>
        </w:tc>
        <w:tc>
          <w:tcPr>
            <w:tcW w:w="2517" w:type="dxa"/>
          </w:tcPr>
          <w:p w:rsidR="007D696D" w:rsidRDefault="007D696D" w:rsidP="00831EFA">
            <w:pPr>
              <w:pStyle w:val="Compact"/>
              <w:jc w:val="center"/>
            </w:pPr>
            <w:r>
              <w:t>(21474, 57575)</w:t>
            </w:r>
          </w:p>
        </w:tc>
      </w:tr>
      <w:tr w:rsidR="007D696D" w:rsidTr="00831EFA">
        <w:tc>
          <w:tcPr>
            <w:tcW w:w="2660" w:type="dxa"/>
          </w:tcPr>
          <w:p w:rsidR="007D696D" w:rsidRDefault="007D696D" w:rsidP="00831EFA">
            <w:pPr>
              <w:pStyle w:val="Compact"/>
              <w:jc w:val="center"/>
            </w:pPr>
            <w:r>
              <w:t>Reporting quotient</w:t>
            </w:r>
          </w:p>
        </w:tc>
        <w:tc>
          <w:tcPr>
            <w:tcW w:w="1843" w:type="dxa"/>
          </w:tcPr>
          <w:p w:rsidR="007D696D" w:rsidRDefault="007D696D" w:rsidP="00831EFA">
            <w:pPr>
              <w:pStyle w:val="Compact"/>
              <w:jc w:val="center"/>
            </w:pPr>
            <w:r>
              <w:t>30%</w:t>
            </w:r>
          </w:p>
        </w:tc>
        <w:tc>
          <w:tcPr>
            <w:tcW w:w="2268" w:type="dxa"/>
          </w:tcPr>
          <w:p w:rsidR="007D696D" w:rsidRDefault="007D696D" w:rsidP="00831EFA">
            <w:pPr>
              <w:pStyle w:val="Compact"/>
              <w:jc w:val="center"/>
            </w:pPr>
            <w:r>
              <w:t>26%</w:t>
            </w:r>
          </w:p>
        </w:tc>
        <w:tc>
          <w:tcPr>
            <w:tcW w:w="2517" w:type="dxa"/>
          </w:tcPr>
          <w:p w:rsidR="007D696D" w:rsidRDefault="007D696D" w:rsidP="00831EFA">
            <w:pPr>
              <w:pStyle w:val="Compact"/>
              <w:jc w:val="center"/>
            </w:pPr>
            <w:r>
              <w:t>22%</w:t>
            </w:r>
          </w:p>
        </w:tc>
      </w:tr>
    </w:tbl>
    <w:p w:rsidR="007D696D" w:rsidRDefault="007D696D" w:rsidP="007D696D"/>
    <w:p w:rsidR="007D696D" w:rsidRDefault="007D696D" w:rsidP="007D696D">
      <w:pPr>
        <w:pStyle w:val="Overskrift2"/>
      </w:pPr>
      <w:bookmarkStart w:id="16" w:name="achieving-cdc-targets-for-70-containment"/>
      <w:r>
        <w:t>Achieving CDC targets for 70% containment</w:t>
      </w:r>
    </w:p>
    <w:bookmarkEnd w:id="16"/>
    <w:p w:rsidR="007D696D" w:rsidRDefault="007D696D" w:rsidP="007D696D">
      <w:r>
        <w:t xml:space="preserve">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w:t>
      </w:r>
      <w:r>
        <w:lastRenderedPageBreak/>
        <w:t>CI=11930 to 31986) EVD cases in ETUs and 39524 (95% CI=21474 to 57575) cases at reduced risk of transmission.</w:t>
      </w:r>
    </w:p>
    <w:p w:rsidR="00857AEB" w:rsidRPr="00857AEB" w:rsidRDefault="00857AEB" w:rsidP="007D696D">
      <w:pPr>
        <w:rPr>
          <w:i/>
        </w:rPr>
      </w:pPr>
      <w:proofErr w:type="gramStart"/>
      <w:r w:rsidRPr="00857AEB">
        <w:rPr>
          <w:i/>
        </w:rPr>
        <w:t>Figure 3.</w:t>
      </w:r>
      <w:proofErr w:type="gramEnd"/>
      <w:r w:rsidRPr="00857AEB">
        <w:rPr>
          <w:i/>
        </w:rPr>
        <w:t xml:space="preserve"> Total estimates of cases needing treatment to reach CDC 70% goals (per 28.10.2014)</w:t>
      </w:r>
    </w:p>
    <w:p w:rsidR="007D696D" w:rsidRDefault="007D696D" w:rsidP="007D696D">
      <w:r>
        <w:rPr>
          <w:noProof/>
          <w:lang w:val="nb-NO" w:eastAsia="nb-NO"/>
        </w:rPr>
        <w:drawing>
          <wp:inline distT="0" distB="0" distL="0" distR="0" wp14:anchorId="7D850A7F" wp14:editId="73F09282">
            <wp:extent cx="5760720" cy="4073823"/>
            <wp:effectExtent l="0" t="0" r="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CDC_limits_total.png"/>
                    <pic:cNvPicPr>
                      <a:picLocks noChangeAspect="1" noChangeArrowheads="1"/>
                    </pic:cNvPicPr>
                  </pic:nvPicPr>
                  <pic:blipFill>
                    <a:blip r:embed="rId10"/>
                    <a:stretch>
                      <a:fillRect/>
                    </a:stretch>
                  </pic:blipFill>
                  <pic:spPr bwMode="auto">
                    <a:xfrm>
                      <a:off x="0" y="0"/>
                      <a:ext cx="5760720" cy="4073823"/>
                    </a:xfrm>
                    <a:prstGeom prst="rect">
                      <a:avLst/>
                    </a:prstGeom>
                    <a:noFill/>
                    <a:ln w="9525">
                      <a:noFill/>
                      <a:headEnd/>
                      <a:tailEnd/>
                    </a:ln>
                  </pic:spPr>
                </pic:pic>
              </a:graphicData>
            </a:graphic>
          </wp:inline>
        </w:drawing>
      </w:r>
    </w:p>
    <w:p w:rsidR="007D696D" w:rsidRDefault="007D696D" w:rsidP="007D696D">
      <w:pPr>
        <w:pStyle w:val="Overskrift2"/>
      </w:pPr>
      <w:bookmarkStart w:id="17" w:name="intervention-1"/>
      <w:r>
        <w:t>Intervention</w:t>
      </w:r>
    </w:p>
    <w:bookmarkEnd w:id="17"/>
    <w:p w:rsidR="007D696D" w:rsidRDefault="007D696D" w:rsidP="007D696D">
      <w:r>
        <w:t>Due to the high effective reproductive number in Guinea, we found that 70% containment/treatment after 5 days was not sufficient to contain the epidemic; rather, 70% containment/treatment after three days was required. In Sierra Leone, 70% containment/treatment after 5 days produced a minimal reduction of new daily cases, while an average time-to-treatment of three days offered a dramatic reduction of new daily cases. In Liberia, both scenarios were considered to be sufficient.</w:t>
      </w:r>
    </w:p>
    <w:p w:rsidR="00857AEB" w:rsidRPr="00857AEB" w:rsidRDefault="00857AEB" w:rsidP="007D696D">
      <w:pPr>
        <w:rPr>
          <w:i/>
        </w:rPr>
      </w:pPr>
      <w:proofErr w:type="gramStart"/>
      <w:r w:rsidRPr="00857AEB">
        <w:rPr>
          <w:i/>
        </w:rPr>
        <w:t>Figure 4.</w:t>
      </w:r>
      <w:proofErr w:type="gramEnd"/>
      <w:r w:rsidRPr="00857AEB">
        <w:rPr>
          <w:i/>
        </w:rPr>
        <w:t xml:space="preserve"> Total estimated of new daily cases corrected for underreporting (28.10.2014)</w:t>
      </w:r>
    </w:p>
    <w:p w:rsidR="007D696D" w:rsidRDefault="007D696D" w:rsidP="007D696D">
      <w:r>
        <w:rPr>
          <w:noProof/>
          <w:lang w:val="nb-NO" w:eastAsia="nb-NO"/>
        </w:rPr>
        <w:lastRenderedPageBreak/>
        <w:drawing>
          <wp:inline distT="0" distB="0" distL="0" distR="0" wp14:anchorId="22375409" wp14:editId="3F9F9803">
            <wp:extent cx="5760720" cy="4073823"/>
            <wp:effectExtent l="0" t="0" r="0" b="317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new_cases_total.png"/>
                    <pic:cNvPicPr>
                      <a:picLocks noChangeAspect="1" noChangeArrowheads="1"/>
                    </pic:cNvPicPr>
                  </pic:nvPicPr>
                  <pic:blipFill>
                    <a:blip r:embed="rId11"/>
                    <a:stretch>
                      <a:fillRect/>
                    </a:stretch>
                  </pic:blipFill>
                  <pic:spPr bwMode="auto">
                    <a:xfrm>
                      <a:off x="0" y="0"/>
                      <a:ext cx="5760720" cy="4073823"/>
                    </a:xfrm>
                    <a:prstGeom prst="rect">
                      <a:avLst/>
                    </a:prstGeom>
                    <a:noFill/>
                    <a:ln w="9525">
                      <a:noFill/>
                      <a:headEnd/>
                      <a:tailEnd/>
                    </a:ln>
                  </pic:spPr>
                </pic:pic>
              </a:graphicData>
            </a:graphic>
          </wp:inline>
        </w:drawing>
      </w:r>
    </w:p>
    <w:p w:rsidR="00857AEB" w:rsidRDefault="00857AEB" w:rsidP="00857AEB">
      <w:pPr>
        <w:rPr>
          <w:rFonts w:asciiTheme="majorHAnsi" w:eastAsiaTheme="majorEastAsia" w:hAnsiTheme="majorHAnsi" w:cstheme="majorBidi"/>
          <w:b/>
          <w:bCs/>
          <w:color w:val="4F81BD" w:themeColor="accent1"/>
          <w:sz w:val="32"/>
          <w:szCs w:val="32"/>
        </w:rPr>
      </w:pPr>
      <w:r w:rsidRPr="00FC5E05">
        <w:rPr>
          <w:rFonts w:asciiTheme="majorHAnsi" w:eastAsiaTheme="majorEastAsia" w:hAnsiTheme="majorHAnsi" w:cstheme="majorBidi"/>
          <w:b/>
          <w:bCs/>
          <w:color w:val="4F81BD" w:themeColor="accent1"/>
          <w:sz w:val="32"/>
          <w:szCs w:val="32"/>
        </w:rPr>
        <w:t>Quantification of resources need</w:t>
      </w:r>
      <w:commentRangeStart w:id="18"/>
      <w:r w:rsidRPr="00FC5E05">
        <w:rPr>
          <w:rFonts w:asciiTheme="majorHAnsi" w:eastAsiaTheme="majorEastAsia" w:hAnsiTheme="majorHAnsi" w:cstheme="majorBidi"/>
          <w:b/>
          <w:bCs/>
          <w:color w:val="4F81BD" w:themeColor="accent1"/>
          <w:sz w:val="32"/>
          <w:szCs w:val="32"/>
        </w:rPr>
        <w:t>ed</w:t>
      </w:r>
      <w:commentRangeEnd w:id="18"/>
      <w:r>
        <w:rPr>
          <w:rStyle w:val="Merknadsreferanse"/>
        </w:rPr>
        <w:commentReference w:id="18"/>
      </w:r>
    </w:p>
    <w:p w:rsidR="00857AEB" w:rsidRPr="00857AEB" w:rsidRDefault="00857AEB" w:rsidP="00857AEB">
      <w:pPr>
        <w:rPr>
          <w:i/>
        </w:rPr>
      </w:pPr>
      <w:proofErr w:type="gramStart"/>
      <w:r w:rsidRPr="00857AEB">
        <w:rPr>
          <w:i/>
        </w:rPr>
        <w:t>Table 2.</w:t>
      </w:r>
      <w:proofErr w:type="gramEnd"/>
      <w:r w:rsidRPr="00857AEB">
        <w:rPr>
          <w:i/>
        </w:rPr>
        <w:t xml:space="preserve"> Number of </w:t>
      </w:r>
      <w:r w:rsidRPr="00464FBF">
        <w:rPr>
          <w:b/>
          <w:i/>
        </w:rPr>
        <w:t>international</w:t>
      </w:r>
      <w:r w:rsidRPr="00857AEB">
        <w:rPr>
          <w:i/>
        </w:rPr>
        <w:t xml:space="preserve"> personnel needed</w:t>
      </w:r>
    </w:p>
    <w:tbl>
      <w:tblPr>
        <w:tblW w:w="0" w:type="auto"/>
        <w:tblLook w:val="04A0" w:firstRow="1" w:lastRow="0" w:firstColumn="1" w:lastColumn="0" w:noHBand="0" w:noVBand="1"/>
      </w:tblPr>
      <w:tblGrid>
        <w:gridCol w:w="4455"/>
        <w:gridCol w:w="1337"/>
        <w:gridCol w:w="1337"/>
        <w:gridCol w:w="1337"/>
      </w:tblGrid>
      <w:tr w:rsidR="00857AEB" w:rsidTr="00831EFA">
        <w:tc>
          <w:tcPr>
            <w:tcW w:w="0" w:type="auto"/>
            <w:tcBorders>
              <w:bottom w:val="single" w:sz="0" w:space="0" w:color="auto"/>
            </w:tcBorders>
            <w:vAlign w:val="bottom"/>
          </w:tcPr>
          <w:p w:rsidR="00857AEB" w:rsidRDefault="00857AEB" w:rsidP="00831EFA">
            <w:pPr>
              <w:pStyle w:val="Compact"/>
              <w:jc w:val="center"/>
            </w:pPr>
            <w:r>
              <w:t>Variable</w:t>
            </w:r>
          </w:p>
        </w:tc>
        <w:tc>
          <w:tcPr>
            <w:tcW w:w="0" w:type="auto"/>
            <w:tcBorders>
              <w:bottom w:val="single" w:sz="0" w:space="0" w:color="auto"/>
            </w:tcBorders>
            <w:vAlign w:val="bottom"/>
          </w:tcPr>
          <w:p w:rsidR="00857AEB" w:rsidRDefault="00857AEB" w:rsidP="00831EFA">
            <w:pPr>
              <w:pStyle w:val="Compact"/>
              <w:jc w:val="center"/>
            </w:pPr>
            <w:r>
              <w:t>2014-10-28</w:t>
            </w:r>
          </w:p>
        </w:tc>
        <w:tc>
          <w:tcPr>
            <w:tcW w:w="0" w:type="auto"/>
            <w:tcBorders>
              <w:bottom w:val="single" w:sz="0" w:space="0" w:color="auto"/>
            </w:tcBorders>
            <w:vAlign w:val="bottom"/>
          </w:tcPr>
          <w:p w:rsidR="00857AEB" w:rsidRDefault="00857AEB" w:rsidP="00831EFA">
            <w:pPr>
              <w:pStyle w:val="Compact"/>
              <w:jc w:val="center"/>
            </w:pPr>
            <w:r>
              <w:t>2014-11-25</w:t>
            </w:r>
          </w:p>
        </w:tc>
        <w:tc>
          <w:tcPr>
            <w:tcW w:w="0" w:type="auto"/>
            <w:tcBorders>
              <w:bottom w:val="single" w:sz="0" w:space="0" w:color="auto"/>
            </w:tcBorders>
            <w:vAlign w:val="bottom"/>
          </w:tcPr>
          <w:p w:rsidR="00857AEB" w:rsidRDefault="00857AEB" w:rsidP="00831EFA">
            <w:pPr>
              <w:pStyle w:val="Compact"/>
              <w:jc w:val="center"/>
            </w:pPr>
            <w:r>
              <w:t>2014-12-23</w:t>
            </w:r>
          </w:p>
        </w:tc>
      </w:tr>
      <w:tr w:rsidR="00857AEB" w:rsidTr="00831EFA">
        <w:tc>
          <w:tcPr>
            <w:tcW w:w="0" w:type="auto"/>
          </w:tcPr>
          <w:p w:rsidR="00857AEB" w:rsidRDefault="00857AEB" w:rsidP="00831EFA">
            <w:pPr>
              <w:pStyle w:val="Compact"/>
              <w:jc w:val="center"/>
            </w:pPr>
            <w:r>
              <w:t>Days from today</w:t>
            </w:r>
          </w:p>
        </w:tc>
        <w:tc>
          <w:tcPr>
            <w:tcW w:w="0" w:type="auto"/>
          </w:tcPr>
          <w:p w:rsidR="00857AEB" w:rsidRDefault="00857AEB" w:rsidP="00831EFA">
            <w:pPr>
              <w:pStyle w:val="Compact"/>
              <w:jc w:val="center"/>
            </w:pPr>
            <w:r>
              <w:t>0</w:t>
            </w:r>
          </w:p>
        </w:tc>
        <w:tc>
          <w:tcPr>
            <w:tcW w:w="0" w:type="auto"/>
          </w:tcPr>
          <w:p w:rsidR="00857AEB" w:rsidRDefault="00857AEB" w:rsidP="00831EFA">
            <w:pPr>
              <w:pStyle w:val="Compact"/>
              <w:jc w:val="center"/>
            </w:pPr>
            <w:r>
              <w:t>28</w:t>
            </w:r>
          </w:p>
        </w:tc>
        <w:tc>
          <w:tcPr>
            <w:tcW w:w="0" w:type="auto"/>
          </w:tcPr>
          <w:p w:rsidR="00857AEB" w:rsidRDefault="00857AEB" w:rsidP="00831EFA">
            <w:pPr>
              <w:pStyle w:val="Compact"/>
              <w:jc w:val="center"/>
            </w:pPr>
            <w:r>
              <w:t>56</w:t>
            </w:r>
          </w:p>
        </w:tc>
      </w:tr>
      <w:tr w:rsidR="00857AEB" w:rsidTr="00831EFA">
        <w:tc>
          <w:tcPr>
            <w:tcW w:w="0" w:type="auto"/>
          </w:tcPr>
          <w:p w:rsidR="00857AEB" w:rsidRDefault="00857AEB" w:rsidP="00831EFA">
            <w:pPr>
              <w:pStyle w:val="Compact"/>
              <w:jc w:val="center"/>
            </w:pPr>
            <w:r>
              <w:t>Caseload</w:t>
            </w:r>
          </w:p>
        </w:tc>
        <w:tc>
          <w:tcPr>
            <w:tcW w:w="0" w:type="auto"/>
          </w:tcPr>
          <w:p w:rsidR="00857AEB" w:rsidRDefault="00857AEB" w:rsidP="00831EFA">
            <w:pPr>
              <w:pStyle w:val="Compact"/>
              <w:jc w:val="center"/>
            </w:pPr>
            <w:r>
              <w:t>12364</w:t>
            </w:r>
          </w:p>
        </w:tc>
        <w:tc>
          <w:tcPr>
            <w:tcW w:w="0" w:type="auto"/>
          </w:tcPr>
          <w:p w:rsidR="00857AEB" w:rsidRDefault="00857AEB" w:rsidP="00831EFA">
            <w:pPr>
              <w:pStyle w:val="Compact"/>
              <w:jc w:val="center"/>
            </w:pPr>
            <w:r>
              <w:t>26665</w:t>
            </w:r>
          </w:p>
        </w:tc>
        <w:tc>
          <w:tcPr>
            <w:tcW w:w="0" w:type="auto"/>
          </w:tcPr>
          <w:p w:rsidR="00857AEB" w:rsidRDefault="00857AEB" w:rsidP="00831EFA">
            <w:pPr>
              <w:pStyle w:val="Compact"/>
              <w:jc w:val="center"/>
            </w:pPr>
            <w:r>
              <w:t>61482</w:t>
            </w:r>
          </w:p>
        </w:tc>
      </w:tr>
      <w:tr w:rsidR="00857AEB" w:rsidTr="00831EFA">
        <w:tc>
          <w:tcPr>
            <w:tcW w:w="0" w:type="auto"/>
          </w:tcPr>
          <w:p w:rsidR="00857AEB" w:rsidRDefault="00857AEB" w:rsidP="00831EFA">
            <w:pPr>
              <w:pStyle w:val="Compact"/>
              <w:jc w:val="center"/>
            </w:pPr>
            <w:r>
              <w:t>Administrator (coordination)</w:t>
            </w:r>
          </w:p>
        </w:tc>
        <w:tc>
          <w:tcPr>
            <w:tcW w:w="0" w:type="auto"/>
          </w:tcPr>
          <w:p w:rsidR="00857AEB" w:rsidRDefault="00857AEB" w:rsidP="00831EFA">
            <w:pPr>
              <w:pStyle w:val="Compact"/>
              <w:jc w:val="center"/>
            </w:pPr>
            <w:r>
              <w:t>14</w:t>
            </w:r>
          </w:p>
        </w:tc>
        <w:tc>
          <w:tcPr>
            <w:tcW w:w="0" w:type="auto"/>
          </w:tcPr>
          <w:p w:rsidR="00857AEB" w:rsidRDefault="00857AEB" w:rsidP="00831EFA">
            <w:pPr>
              <w:pStyle w:val="Compact"/>
              <w:jc w:val="center"/>
            </w:pPr>
            <w:r>
              <w:t>29</w:t>
            </w:r>
          </w:p>
        </w:tc>
        <w:tc>
          <w:tcPr>
            <w:tcW w:w="0" w:type="auto"/>
          </w:tcPr>
          <w:p w:rsidR="00857AEB" w:rsidRDefault="00857AEB" w:rsidP="00831EFA">
            <w:pPr>
              <w:pStyle w:val="Compact"/>
              <w:jc w:val="center"/>
            </w:pPr>
            <w:r>
              <w:t>68</w:t>
            </w:r>
          </w:p>
        </w:tc>
      </w:tr>
      <w:tr w:rsidR="00857AEB" w:rsidTr="00831EFA">
        <w:tc>
          <w:tcPr>
            <w:tcW w:w="0" w:type="auto"/>
          </w:tcPr>
          <w:p w:rsidR="00857AEB" w:rsidRDefault="00857AEB" w:rsidP="00831EFA">
            <w:pPr>
              <w:pStyle w:val="Compact"/>
              <w:jc w:val="center"/>
            </w:pPr>
            <w:r>
              <w:t>Doctor (ETU)</w:t>
            </w:r>
          </w:p>
        </w:tc>
        <w:tc>
          <w:tcPr>
            <w:tcW w:w="0" w:type="auto"/>
          </w:tcPr>
          <w:p w:rsidR="00857AEB" w:rsidRDefault="00857AEB" w:rsidP="00831EFA">
            <w:pPr>
              <w:pStyle w:val="Compact"/>
              <w:jc w:val="center"/>
            </w:pPr>
            <w:r>
              <w:t>28</w:t>
            </w:r>
          </w:p>
        </w:tc>
        <w:tc>
          <w:tcPr>
            <w:tcW w:w="0" w:type="auto"/>
          </w:tcPr>
          <w:p w:rsidR="00857AEB" w:rsidRDefault="00857AEB" w:rsidP="00831EFA">
            <w:pPr>
              <w:pStyle w:val="Compact"/>
              <w:jc w:val="center"/>
            </w:pPr>
            <w:r>
              <w:t>60</w:t>
            </w:r>
          </w:p>
        </w:tc>
        <w:tc>
          <w:tcPr>
            <w:tcW w:w="0" w:type="auto"/>
          </w:tcPr>
          <w:p w:rsidR="00857AEB" w:rsidRDefault="00857AEB" w:rsidP="00831EFA">
            <w:pPr>
              <w:pStyle w:val="Compact"/>
              <w:jc w:val="center"/>
            </w:pPr>
            <w:r>
              <w:t>138</w:t>
            </w:r>
          </w:p>
        </w:tc>
      </w:tr>
      <w:tr w:rsidR="00857AEB" w:rsidTr="00831EFA">
        <w:tc>
          <w:tcPr>
            <w:tcW w:w="0" w:type="auto"/>
          </w:tcPr>
          <w:p w:rsidR="00857AEB" w:rsidRDefault="00857AEB" w:rsidP="00831EFA">
            <w:pPr>
              <w:pStyle w:val="Compact"/>
              <w:jc w:val="center"/>
            </w:pPr>
            <w:r>
              <w:t>Doctor (coordination)</w:t>
            </w:r>
          </w:p>
        </w:tc>
        <w:tc>
          <w:tcPr>
            <w:tcW w:w="0" w:type="auto"/>
          </w:tcPr>
          <w:p w:rsidR="00857AEB" w:rsidRDefault="00857AEB" w:rsidP="00831EFA">
            <w:pPr>
              <w:pStyle w:val="Compact"/>
              <w:jc w:val="center"/>
            </w:pPr>
            <w:r>
              <w:t>7</w:t>
            </w:r>
          </w:p>
        </w:tc>
        <w:tc>
          <w:tcPr>
            <w:tcW w:w="0" w:type="auto"/>
          </w:tcPr>
          <w:p w:rsidR="00857AEB" w:rsidRDefault="00857AEB" w:rsidP="00831EFA">
            <w:pPr>
              <w:pStyle w:val="Compact"/>
              <w:jc w:val="center"/>
            </w:pPr>
            <w:r>
              <w:t>15</w:t>
            </w:r>
          </w:p>
        </w:tc>
        <w:tc>
          <w:tcPr>
            <w:tcW w:w="0" w:type="auto"/>
          </w:tcPr>
          <w:p w:rsidR="00857AEB" w:rsidRDefault="00857AEB" w:rsidP="00831EFA">
            <w:pPr>
              <w:pStyle w:val="Compact"/>
              <w:jc w:val="center"/>
            </w:pPr>
            <w:r>
              <w:t>34</w:t>
            </w:r>
          </w:p>
        </w:tc>
      </w:tr>
      <w:tr w:rsidR="00857AEB" w:rsidTr="00831EFA">
        <w:tc>
          <w:tcPr>
            <w:tcW w:w="0" w:type="auto"/>
          </w:tcPr>
          <w:p w:rsidR="00857AEB" w:rsidRDefault="00857AEB" w:rsidP="00831EFA">
            <w:pPr>
              <w:pStyle w:val="Compact"/>
              <w:jc w:val="center"/>
            </w:pPr>
            <w:r>
              <w:t>Epidemiologist (contact tracing)</w:t>
            </w:r>
          </w:p>
        </w:tc>
        <w:tc>
          <w:tcPr>
            <w:tcW w:w="0" w:type="auto"/>
          </w:tcPr>
          <w:p w:rsidR="00857AEB" w:rsidRDefault="00857AEB" w:rsidP="00831EFA">
            <w:pPr>
              <w:pStyle w:val="Compact"/>
              <w:jc w:val="center"/>
            </w:pPr>
            <w:r>
              <w:t>15</w:t>
            </w:r>
          </w:p>
        </w:tc>
        <w:tc>
          <w:tcPr>
            <w:tcW w:w="0" w:type="auto"/>
          </w:tcPr>
          <w:p w:rsidR="00857AEB" w:rsidRDefault="00857AEB" w:rsidP="00831EFA">
            <w:pPr>
              <w:pStyle w:val="Compact"/>
              <w:jc w:val="center"/>
            </w:pPr>
            <w:r>
              <w:t>33</w:t>
            </w:r>
          </w:p>
        </w:tc>
        <w:tc>
          <w:tcPr>
            <w:tcW w:w="0" w:type="auto"/>
          </w:tcPr>
          <w:p w:rsidR="00857AEB" w:rsidRDefault="00857AEB" w:rsidP="00831EFA">
            <w:pPr>
              <w:pStyle w:val="Compact"/>
              <w:jc w:val="center"/>
            </w:pPr>
            <w:r>
              <w:t>77</w:t>
            </w:r>
          </w:p>
        </w:tc>
      </w:tr>
      <w:tr w:rsidR="00857AEB" w:rsidTr="00831EFA">
        <w:tc>
          <w:tcPr>
            <w:tcW w:w="0" w:type="auto"/>
          </w:tcPr>
          <w:p w:rsidR="00857AEB" w:rsidRDefault="00857AEB" w:rsidP="00831EFA">
            <w:pPr>
              <w:pStyle w:val="Compact"/>
              <w:jc w:val="center"/>
            </w:pPr>
            <w:r>
              <w:t>Epidemiologist (coordination)</w:t>
            </w:r>
          </w:p>
        </w:tc>
        <w:tc>
          <w:tcPr>
            <w:tcW w:w="0" w:type="auto"/>
          </w:tcPr>
          <w:p w:rsidR="00857AEB" w:rsidRDefault="00857AEB" w:rsidP="00831EFA">
            <w:pPr>
              <w:pStyle w:val="Compact"/>
              <w:jc w:val="center"/>
            </w:pPr>
            <w:r>
              <w:t>20</w:t>
            </w:r>
          </w:p>
        </w:tc>
        <w:tc>
          <w:tcPr>
            <w:tcW w:w="0" w:type="auto"/>
          </w:tcPr>
          <w:p w:rsidR="00857AEB" w:rsidRDefault="00857AEB" w:rsidP="00831EFA">
            <w:pPr>
              <w:pStyle w:val="Compact"/>
              <w:jc w:val="center"/>
            </w:pPr>
            <w:r>
              <w:t>44</w:t>
            </w:r>
          </w:p>
        </w:tc>
        <w:tc>
          <w:tcPr>
            <w:tcW w:w="0" w:type="auto"/>
          </w:tcPr>
          <w:p w:rsidR="00857AEB" w:rsidRDefault="00857AEB" w:rsidP="00831EFA">
            <w:pPr>
              <w:pStyle w:val="Compact"/>
              <w:jc w:val="center"/>
            </w:pPr>
            <w:r>
              <w:t>101</w:t>
            </w:r>
          </w:p>
        </w:tc>
      </w:tr>
      <w:tr w:rsidR="00857AEB" w:rsidTr="00831EFA">
        <w:tc>
          <w:tcPr>
            <w:tcW w:w="0" w:type="auto"/>
          </w:tcPr>
          <w:p w:rsidR="00857AEB" w:rsidRDefault="00857AEB" w:rsidP="00831EFA">
            <w:pPr>
              <w:pStyle w:val="Compact"/>
              <w:jc w:val="center"/>
            </w:pPr>
            <w:r>
              <w:t>Lab scientist (laboratories)</w:t>
            </w:r>
          </w:p>
        </w:tc>
        <w:tc>
          <w:tcPr>
            <w:tcW w:w="0" w:type="auto"/>
          </w:tcPr>
          <w:p w:rsidR="00857AEB" w:rsidRDefault="00857AEB" w:rsidP="00831EFA">
            <w:pPr>
              <w:pStyle w:val="Compact"/>
              <w:jc w:val="center"/>
            </w:pPr>
            <w:r>
              <w:t>41</w:t>
            </w:r>
          </w:p>
        </w:tc>
        <w:tc>
          <w:tcPr>
            <w:tcW w:w="0" w:type="auto"/>
          </w:tcPr>
          <w:p w:rsidR="00857AEB" w:rsidRDefault="00857AEB" w:rsidP="00831EFA">
            <w:pPr>
              <w:pStyle w:val="Compact"/>
              <w:jc w:val="center"/>
            </w:pPr>
            <w:r>
              <w:t>89</w:t>
            </w:r>
          </w:p>
        </w:tc>
        <w:tc>
          <w:tcPr>
            <w:tcW w:w="0" w:type="auto"/>
          </w:tcPr>
          <w:p w:rsidR="00857AEB" w:rsidRDefault="00857AEB" w:rsidP="00831EFA">
            <w:pPr>
              <w:pStyle w:val="Compact"/>
              <w:jc w:val="center"/>
            </w:pPr>
            <w:r>
              <w:t>206</w:t>
            </w:r>
          </w:p>
        </w:tc>
      </w:tr>
      <w:tr w:rsidR="00857AEB" w:rsidTr="00831EFA">
        <w:tc>
          <w:tcPr>
            <w:tcW w:w="0" w:type="auto"/>
          </w:tcPr>
          <w:p w:rsidR="00857AEB" w:rsidRDefault="00857AEB" w:rsidP="00831EFA">
            <w:pPr>
              <w:pStyle w:val="Compact"/>
              <w:jc w:val="center"/>
            </w:pPr>
            <w:r>
              <w:t>Logistician (burials)</w:t>
            </w:r>
          </w:p>
        </w:tc>
        <w:tc>
          <w:tcPr>
            <w:tcW w:w="0" w:type="auto"/>
          </w:tcPr>
          <w:p w:rsidR="00857AEB" w:rsidRDefault="00857AEB" w:rsidP="00831EFA">
            <w:pPr>
              <w:pStyle w:val="Compact"/>
              <w:jc w:val="center"/>
            </w:pPr>
            <w:r>
              <w:t>20</w:t>
            </w:r>
          </w:p>
        </w:tc>
        <w:tc>
          <w:tcPr>
            <w:tcW w:w="0" w:type="auto"/>
          </w:tcPr>
          <w:p w:rsidR="00857AEB" w:rsidRDefault="00857AEB" w:rsidP="00831EFA">
            <w:pPr>
              <w:pStyle w:val="Compact"/>
              <w:jc w:val="center"/>
            </w:pPr>
            <w:r>
              <w:t>44</w:t>
            </w:r>
          </w:p>
        </w:tc>
        <w:tc>
          <w:tcPr>
            <w:tcW w:w="0" w:type="auto"/>
          </w:tcPr>
          <w:p w:rsidR="00857AEB" w:rsidRDefault="00857AEB" w:rsidP="00831EFA">
            <w:pPr>
              <w:pStyle w:val="Compact"/>
              <w:jc w:val="center"/>
            </w:pPr>
            <w:r>
              <w:t>101</w:t>
            </w:r>
          </w:p>
        </w:tc>
      </w:tr>
      <w:tr w:rsidR="00857AEB" w:rsidTr="00831EFA">
        <w:tc>
          <w:tcPr>
            <w:tcW w:w="0" w:type="auto"/>
          </w:tcPr>
          <w:p w:rsidR="00857AEB" w:rsidRDefault="00857AEB" w:rsidP="00831EFA">
            <w:pPr>
              <w:pStyle w:val="Compact"/>
              <w:jc w:val="center"/>
            </w:pPr>
            <w:r>
              <w:t>Logistician (ETU)</w:t>
            </w:r>
          </w:p>
        </w:tc>
        <w:tc>
          <w:tcPr>
            <w:tcW w:w="0" w:type="auto"/>
          </w:tcPr>
          <w:p w:rsidR="00857AEB" w:rsidRDefault="00857AEB" w:rsidP="00831EFA">
            <w:pPr>
              <w:pStyle w:val="Compact"/>
              <w:jc w:val="center"/>
            </w:pPr>
            <w:r>
              <w:t>55</w:t>
            </w:r>
          </w:p>
        </w:tc>
        <w:tc>
          <w:tcPr>
            <w:tcW w:w="0" w:type="auto"/>
          </w:tcPr>
          <w:p w:rsidR="00857AEB" w:rsidRDefault="00857AEB" w:rsidP="00831EFA">
            <w:pPr>
              <w:pStyle w:val="Compact"/>
              <w:jc w:val="center"/>
            </w:pPr>
            <w:r>
              <w:t>119</w:t>
            </w:r>
          </w:p>
        </w:tc>
        <w:tc>
          <w:tcPr>
            <w:tcW w:w="0" w:type="auto"/>
          </w:tcPr>
          <w:p w:rsidR="00857AEB" w:rsidRDefault="00857AEB" w:rsidP="00831EFA">
            <w:pPr>
              <w:pStyle w:val="Compact"/>
              <w:jc w:val="center"/>
            </w:pPr>
            <w:r>
              <w:t>274</w:t>
            </w:r>
          </w:p>
        </w:tc>
      </w:tr>
      <w:tr w:rsidR="00857AEB" w:rsidTr="00831EFA">
        <w:tc>
          <w:tcPr>
            <w:tcW w:w="0" w:type="auto"/>
          </w:tcPr>
          <w:p w:rsidR="00857AEB" w:rsidRDefault="00857AEB" w:rsidP="00831EFA">
            <w:pPr>
              <w:pStyle w:val="Compact"/>
              <w:jc w:val="center"/>
            </w:pPr>
            <w:r>
              <w:t>Logistician (coordination)</w:t>
            </w:r>
          </w:p>
        </w:tc>
        <w:tc>
          <w:tcPr>
            <w:tcW w:w="0" w:type="auto"/>
          </w:tcPr>
          <w:p w:rsidR="00857AEB" w:rsidRDefault="00857AEB" w:rsidP="00831EFA">
            <w:pPr>
              <w:pStyle w:val="Compact"/>
              <w:jc w:val="center"/>
            </w:pPr>
            <w:r>
              <w:t>20</w:t>
            </w:r>
          </w:p>
        </w:tc>
        <w:tc>
          <w:tcPr>
            <w:tcW w:w="0" w:type="auto"/>
          </w:tcPr>
          <w:p w:rsidR="00857AEB" w:rsidRDefault="00857AEB" w:rsidP="00831EFA">
            <w:pPr>
              <w:pStyle w:val="Compact"/>
              <w:jc w:val="center"/>
            </w:pPr>
            <w:r>
              <w:t>44</w:t>
            </w:r>
          </w:p>
        </w:tc>
        <w:tc>
          <w:tcPr>
            <w:tcW w:w="0" w:type="auto"/>
          </w:tcPr>
          <w:p w:rsidR="00857AEB" w:rsidRDefault="00857AEB" w:rsidP="00831EFA">
            <w:pPr>
              <w:pStyle w:val="Compact"/>
              <w:jc w:val="center"/>
            </w:pPr>
            <w:r>
              <w:t>101</w:t>
            </w:r>
          </w:p>
        </w:tc>
      </w:tr>
      <w:tr w:rsidR="00857AEB" w:rsidTr="00831EFA">
        <w:tc>
          <w:tcPr>
            <w:tcW w:w="0" w:type="auto"/>
          </w:tcPr>
          <w:p w:rsidR="00857AEB" w:rsidRDefault="00857AEB" w:rsidP="00831EFA">
            <w:pPr>
              <w:pStyle w:val="Compact"/>
              <w:jc w:val="center"/>
            </w:pPr>
            <w:r>
              <w:t>Nurse (ETU)</w:t>
            </w:r>
          </w:p>
        </w:tc>
        <w:tc>
          <w:tcPr>
            <w:tcW w:w="0" w:type="auto"/>
          </w:tcPr>
          <w:p w:rsidR="00857AEB" w:rsidRDefault="00857AEB" w:rsidP="00831EFA">
            <w:pPr>
              <w:pStyle w:val="Compact"/>
              <w:jc w:val="center"/>
            </w:pPr>
            <w:r>
              <w:t>110</w:t>
            </w:r>
          </w:p>
        </w:tc>
        <w:tc>
          <w:tcPr>
            <w:tcW w:w="0" w:type="auto"/>
          </w:tcPr>
          <w:p w:rsidR="00857AEB" w:rsidRDefault="00857AEB" w:rsidP="00831EFA">
            <w:pPr>
              <w:pStyle w:val="Compact"/>
              <w:jc w:val="center"/>
            </w:pPr>
            <w:r>
              <w:t>237</w:t>
            </w:r>
          </w:p>
        </w:tc>
        <w:tc>
          <w:tcPr>
            <w:tcW w:w="0" w:type="auto"/>
          </w:tcPr>
          <w:p w:rsidR="00857AEB" w:rsidRDefault="00857AEB" w:rsidP="00831EFA">
            <w:pPr>
              <w:pStyle w:val="Compact"/>
              <w:jc w:val="center"/>
            </w:pPr>
            <w:r>
              <w:t>547</w:t>
            </w:r>
          </w:p>
        </w:tc>
      </w:tr>
      <w:tr w:rsidR="00857AEB" w:rsidTr="00831EFA">
        <w:tc>
          <w:tcPr>
            <w:tcW w:w="0" w:type="auto"/>
          </w:tcPr>
          <w:p w:rsidR="00857AEB" w:rsidRDefault="00857AEB" w:rsidP="00831EFA">
            <w:pPr>
              <w:pStyle w:val="Compact"/>
              <w:jc w:val="center"/>
            </w:pPr>
            <w:r>
              <w:t>Public health specialist (Social mobilization)</w:t>
            </w:r>
          </w:p>
        </w:tc>
        <w:tc>
          <w:tcPr>
            <w:tcW w:w="0" w:type="auto"/>
          </w:tcPr>
          <w:p w:rsidR="00857AEB" w:rsidRDefault="00857AEB" w:rsidP="00831EFA">
            <w:pPr>
              <w:pStyle w:val="Compact"/>
              <w:jc w:val="center"/>
            </w:pPr>
            <w:r>
              <w:t>32</w:t>
            </w:r>
          </w:p>
        </w:tc>
        <w:tc>
          <w:tcPr>
            <w:tcW w:w="0" w:type="auto"/>
          </w:tcPr>
          <w:p w:rsidR="00857AEB" w:rsidRDefault="00857AEB" w:rsidP="00831EFA">
            <w:pPr>
              <w:pStyle w:val="Compact"/>
              <w:jc w:val="center"/>
            </w:pPr>
            <w:r>
              <w:t>68</w:t>
            </w:r>
          </w:p>
        </w:tc>
        <w:tc>
          <w:tcPr>
            <w:tcW w:w="0" w:type="auto"/>
          </w:tcPr>
          <w:p w:rsidR="00857AEB" w:rsidRDefault="00857AEB" w:rsidP="00831EFA">
            <w:pPr>
              <w:pStyle w:val="Compact"/>
              <w:jc w:val="center"/>
            </w:pPr>
            <w:r>
              <w:t>157</w:t>
            </w:r>
          </w:p>
        </w:tc>
      </w:tr>
      <w:tr w:rsidR="00857AEB" w:rsidTr="00831EFA">
        <w:tc>
          <w:tcPr>
            <w:tcW w:w="0" w:type="auto"/>
          </w:tcPr>
          <w:p w:rsidR="00857AEB" w:rsidRDefault="00857AEB" w:rsidP="00831EFA">
            <w:pPr>
              <w:pStyle w:val="Compact"/>
              <w:jc w:val="center"/>
            </w:pPr>
            <w:r>
              <w:t>Public health specialist (coordination)</w:t>
            </w:r>
          </w:p>
        </w:tc>
        <w:tc>
          <w:tcPr>
            <w:tcW w:w="0" w:type="auto"/>
          </w:tcPr>
          <w:p w:rsidR="00857AEB" w:rsidRDefault="00857AEB" w:rsidP="00831EFA">
            <w:pPr>
              <w:pStyle w:val="Compact"/>
              <w:jc w:val="center"/>
            </w:pPr>
            <w:r>
              <w:t>14</w:t>
            </w:r>
          </w:p>
        </w:tc>
        <w:tc>
          <w:tcPr>
            <w:tcW w:w="0" w:type="auto"/>
          </w:tcPr>
          <w:p w:rsidR="00857AEB" w:rsidRDefault="00857AEB" w:rsidP="00831EFA">
            <w:pPr>
              <w:pStyle w:val="Compact"/>
              <w:jc w:val="center"/>
            </w:pPr>
            <w:r>
              <w:t>29</w:t>
            </w:r>
          </w:p>
        </w:tc>
        <w:tc>
          <w:tcPr>
            <w:tcW w:w="0" w:type="auto"/>
          </w:tcPr>
          <w:p w:rsidR="00857AEB" w:rsidRDefault="00857AEB" w:rsidP="00831EFA">
            <w:pPr>
              <w:pStyle w:val="Compact"/>
              <w:jc w:val="center"/>
            </w:pPr>
            <w:r>
              <w:t>68</w:t>
            </w:r>
          </w:p>
        </w:tc>
      </w:tr>
      <w:tr w:rsidR="00857AEB" w:rsidTr="00831EFA">
        <w:tc>
          <w:tcPr>
            <w:tcW w:w="0" w:type="auto"/>
          </w:tcPr>
          <w:p w:rsidR="00857AEB" w:rsidRDefault="00857AEB" w:rsidP="00831EFA">
            <w:pPr>
              <w:pStyle w:val="Compact"/>
              <w:jc w:val="center"/>
            </w:pPr>
            <w:r>
              <w:t>Data management (coordination)</w:t>
            </w:r>
          </w:p>
        </w:tc>
        <w:tc>
          <w:tcPr>
            <w:tcW w:w="0" w:type="auto"/>
          </w:tcPr>
          <w:p w:rsidR="00857AEB" w:rsidRDefault="00857AEB" w:rsidP="00831EFA">
            <w:pPr>
              <w:pStyle w:val="Compact"/>
              <w:jc w:val="center"/>
            </w:pPr>
            <w:r>
              <w:t>17</w:t>
            </w:r>
          </w:p>
        </w:tc>
        <w:tc>
          <w:tcPr>
            <w:tcW w:w="0" w:type="auto"/>
          </w:tcPr>
          <w:p w:rsidR="00857AEB" w:rsidRDefault="00857AEB" w:rsidP="00831EFA">
            <w:pPr>
              <w:pStyle w:val="Compact"/>
              <w:jc w:val="center"/>
            </w:pPr>
            <w:r>
              <w:t>37</w:t>
            </w:r>
          </w:p>
        </w:tc>
        <w:tc>
          <w:tcPr>
            <w:tcW w:w="0" w:type="auto"/>
          </w:tcPr>
          <w:p w:rsidR="00857AEB" w:rsidRDefault="00857AEB" w:rsidP="00831EFA">
            <w:pPr>
              <w:pStyle w:val="Compact"/>
              <w:jc w:val="center"/>
            </w:pPr>
            <w:r>
              <w:t>86</w:t>
            </w:r>
          </w:p>
        </w:tc>
      </w:tr>
      <w:tr w:rsidR="00857AEB" w:rsidTr="00831EFA">
        <w:tc>
          <w:tcPr>
            <w:tcW w:w="0" w:type="auto"/>
          </w:tcPr>
          <w:p w:rsidR="00857AEB" w:rsidRDefault="00857AEB" w:rsidP="00831EFA">
            <w:pPr>
              <w:pStyle w:val="Compact"/>
              <w:jc w:val="center"/>
            </w:pPr>
            <w:r>
              <w:t>Total personnel</w:t>
            </w:r>
          </w:p>
        </w:tc>
        <w:tc>
          <w:tcPr>
            <w:tcW w:w="0" w:type="auto"/>
          </w:tcPr>
          <w:p w:rsidR="00857AEB" w:rsidRDefault="00857AEB" w:rsidP="00831EFA">
            <w:pPr>
              <w:pStyle w:val="Compact"/>
              <w:jc w:val="center"/>
            </w:pPr>
            <w:r>
              <w:t>393</w:t>
            </w:r>
          </w:p>
        </w:tc>
        <w:tc>
          <w:tcPr>
            <w:tcW w:w="0" w:type="auto"/>
          </w:tcPr>
          <w:p w:rsidR="00857AEB" w:rsidRDefault="00857AEB" w:rsidP="00831EFA">
            <w:pPr>
              <w:pStyle w:val="Compact"/>
              <w:jc w:val="center"/>
            </w:pPr>
            <w:r>
              <w:t>848</w:t>
            </w:r>
          </w:p>
        </w:tc>
        <w:tc>
          <w:tcPr>
            <w:tcW w:w="0" w:type="auto"/>
          </w:tcPr>
          <w:p w:rsidR="00857AEB" w:rsidRDefault="00857AEB" w:rsidP="00831EFA">
            <w:pPr>
              <w:pStyle w:val="Compact"/>
              <w:jc w:val="center"/>
            </w:pPr>
            <w:r>
              <w:t>1958</w:t>
            </w:r>
          </w:p>
        </w:tc>
      </w:tr>
    </w:tbl>
    <w:p w:rsidR="00857AEB" w:rsidRPr="00857AEB" w:rsidRDefault="00857AEB" w:rsidP="00857AEB">
      <w:pPr>
        <w:rPr>
          <w:i/>
        </w:rPr>
      </w:pPr>
      <w:proofErr w:type="gramStart"/>
      <w:r w:rsidRPr="00857AEB">
        <w:rPr>
          <w:i/>
        </w:rPr>
        <w:lastRenderedPageBreak/>
        <w:t>Table 3.</w:t>
      </w:r>
      <w:proofErr w:type="gramEnd"/>
      <w:r w:rsidRPr="00857AEB">
        <w:rPr>
          <w:i/>
        </w:rPr>
        <w:t xml:space="preserve"> Number of supplies needed each day</w:t>
      </w:r>
    </w:p>
    <w:tbl>
      <w:tblPr>
        <w:tblW w:w="0" w:type="auto"/>
        <w:tblLook w:val="04A0" w:firstRow="1" w:lastRow="0" w:firstColumn="1" w:lastColumn="0" w:noHBand="0" w:noVBand="1"/>
      </w:tblPr>
      <w:tblGrid>
        <w:gridCol w:w="2470"/>
        <w:gridCol w:w="1337"/>
        <w:gridCol w:w="1337"/>
        <w:gridCol w:w="1337"/>
      </w:tblGrid>
      <w:tr w:rsidR="00857AEB" w:rsidTr="00831EFA">
        <w:tc>
          <w:tcPr>
            <w:tcW w:w="0" w:type="auto"/>
            <w:tcBorders>
              <w:bottom w:val="single" w:sz="0" w:space="0" w:color="auto"/>
            </w:tcBorders>
            <w:vAlign w:val="bottom"/>
          </w:tcPr>
          <w:p w:rsidR="00857AEB" w:rsidRDefault="00857AEB" w:rsidP="00831EFA">
            <w:pPr>
              <w:pStyle w:val="Compact"/>
              <w:jc w:val="center"/>
            </w:pPr>
            <w:r>
              <w:t>Variable</w:t>
            </w:r>
          </w:p>
        </w:tc>
        <w:tc>
          <w:tcPr>
            <w:tcW w:w="0" w:type="auto"/>
            <w:tcBorders>
              <w:bottom w:val="single" w:sz="0" w:space="0" w:color="auto"/>
            </w:tcBorders>
            <w:vAlign w:val="bottom"/>
          </w:tcPr>
          <w:p w:rsidR="00857AEB" w:rsidRDefault="00857AEB" w:rsidP="00831EFA">
            <w:pPr>
              <w:pStyle w:val="Compact"/>
              <w:jc w:val="center"/>
            </w:pPr>
            <w:r>
              <w:t>2014-10-28</w:t>
            </w:r>
          </w:p>
        </w:tc>
        <w:tc>
          <w:tcPr>
            <w:tcW w:w="0" w:type="auto"/>
            <w:tcBorders>
              <w:bottom w:val="single" w:sz="0" w:space="0" w:color="auto"/>
            </w:tcBorders>
            <w:vAlign w:val="bottom"/>
          </w:tcPr>
          <w:p w:rsidR="00857AEB" w:rsidRDefault="00857AEB" w:rsidP="00831EFA">
            <w:pPr>
              <w:pStyle w:val="Compact"/>
              <w:jc w:val="center"/>
            </w:pPr>
            <w:r>
              <w:t>2014-11-25</w:t>
            </w:r>
          </w:p>
        </w:tc>
        <w:tc>
          <w:tcPr>
            <w:tcW w:w="0" w:type="auto"/>
            <w:tcBorders>
              <w:bottom w:val="single" w:sz="0" w:space="0" w:color="auto"/>
            </w:tcBorders>
            <w:vAlign w:val="bottom"/>
          </w:tcPr>
          <w:p w:rsidR="00857AEB" w:rsidRDefault="00857AEB" w:rsidP="00831EFA">
            <w:pPr>
              <w:pStyle w:val="Compact"/>
              <w:jc w:val="center"/>
            </w:pPr>
            <w:r>
              <w:t>2014-12-23</w:t>
            </w:r>
          </w:p>
        </w:tc>
      </w:tr>
      <w:tr w:rsidR="00857AEB" w:rsidTr="00831EFA">
        <w:tc>
          <w:tcPr>
            <w:tcW w:w="0" w:type="auto"/>
          </w:tcPr>
          <w:p w:rsidR="00857AEB" w:rsidRDefault="00857AEB" w:rsidP="00831EFA">
            <w:pPr>
              <w:pStyle w:val="Compact"/>
              <w:jc w:val="center"/>
            </w:pPr>
            <w:r>
              <w:t>Days from today</w:t>
            </w:r>
          </w:p>
        </w:tc>
        <w:tc>
          <w:tcPr>
            <w:tcW w:w="0" w:type="auto"/>
          </w:tcPr>
          <w:p w:rsidR="00857AEB" w:rsidRDefault="00857AEB" w:rsidP="00831EFA">
            <w:pPr>
              <w:pStyle w:val="Compact"/>
              <w:jc w:val="center"/>
            </w:pPr>
            <w:r>
              <w:t>0</w:t>
            </w:r>
          </w:p>
        </w:tc>
        <w:tc>
          <w:tcPr>
            <w:tcW w:w="0" w:type="auto"/>
          </w:tcPr>
          <w:p w:rsidR="00857AEB" w:rsidRDefault="00857AEB" w:rsidP="00831EFA">
            <w:pPr>
              <w:pStyle w:val="Compact"/>
              <w:jc w:val="center"/>
            </w:pPr>
            <w:r>
              <w:t>28</w:t>
            </w:r>
          </w:p>
        </w:tc>
        <w:tc>
          <w:tcPr>
            <w:tcW w:w="0" w:type="auto"/>
          </w:tcPr>
          <w:p w:rsidR="00857AEB" w:rsidRDefault="00857AEB" w:rsidP="00831EFA">
            <w:pPr>
              <w:pStyle w:val="Compact"/>
              <w:jc w:val="center"/>
            </w:pPr>
            <w:r>
              <w:t>56</w:t>
            </w:r>
          </w:p>
        </w:tc>
      </w:tr>
      <w:tr w:rsidR="00857AEB" w:rsidTr="00831EFA">
        <w:tc>
          <w:tcPr>
            <w:tcW w:w="0" w:type="auto"/>
          </w:tcPr>
          <w:p w:rsidR="00857AEB" w:rsidRDefault="00857AEB" w:rsidP="00831EFA">
            <w:pPr>
              <w:pStyle w:val="Compact"/>
              <w:jc w:val="center"/>
            </w:pPr>
            <w:r>
              <w:t>PPE (m3)</w:t>
            </w:r>
          </w:p>
        </w:tc>
        <w:tc>
          <w:tcPr>
            <w:tcW w:w="0" w:type="auto"/>
          </w:tcPr>
          <w:p w:rsidR="00857AEB" w:rsidRDefault="00857AEB" w:rsidP="00831EFA">
            <w:pPr>
              <w:pStyle w:val="Compact"/>
              <w:jc w:val="center"/>
            </w:pPr>
            <w:r>
              <w:t>302.5</w:t>
            </w:r>
          </w:p>
        </w:tc>
        <w:tc>
          <w:tcPr>
            <w:tcW w:w="0" w:type="auto"/>
          </w:tcPr>
          <w:p w:rsidR="00857AEB" w:rsidRDefault="00857AEB" w:rsidP="00831EFA">
            <w:pPr>
              <w:pStyle w:val="Compact"/>
              <w:jc w:val="center"/>
            </w:pPr>
            <w:r>
              <w:t>652.4</w:t>
            </w:r>
          </w:p>
        </w:tc>
        <w:tc>
          <w:tcPr>
            <w:tcW w:w="0" w:type="auto"/>
          </w:tcPr>
          <w:p w:rsidR="00857AEB" w:rsidRDefault="00857AEB" w:rsidP="00831EFA">
            <w:pPr>
              <w:pStyle w:val="Compact"/>
              <w:jc w:val="center"/>
            </w:pPr>
            <w:r>
              <w:t>1504.2</w:t>
            </w:r>
          </w:p>
        </w:tc>
      </w:tr>
      <w:tr w:rsidR="00857AEB" w:rsidTr="00831EFA">
        <w:tc>
          <w:tcPr>
            <w:tcW w:w="0" w:type="auto"/>
          </w:tcPr>
          <w:p w:rsidR="00857AEB" w:rsidRDefault="00857AEB" w:rsidP="00831EFA">
            <w:pPr>
              <w:pStyle w:val="Compact"/>
              <w:jc w:val="center"/>
            </w:pPr>
            <w:r>
              <w:t>PPE (tons)</w:t>
            </w:r>
          </w:p>
        </w:tc>
        <w:tc>
          <w:tcPr>
            <w:tcW w:w="0" w:type="auto"/>
          </w:tcPr>
          <w:p w:rsidR="00857AEB" w:rsidRDefault="00857AEB" w:rsidP="00831EFA">
            <w:pPr>
              <w:pStyle w:val="Compact"/>
              <w:jc w:val="center"/>
            </w:pPr>
            <w:r>
              <w:t>62.9</w:t>
            </w:r>
          </w:p>
        </w:tc>
        <w:tc>
          <w:tcPr>
            <w:tcW w:w="0" w:type="auto"/>
          </w:tcPr>
          <w:p w:rsidR="00857AEB" w:rsidRDefault="00857AEB" w:rsidP="00831EFA">
            <w:pPr>
              <w:pStyle w:val="Compact"/>
              <w:jc w:val="center"/>
            </w:pPr>
            <w:r>
              <w:t>135.6</w:t>
            </w:r>
          </w:p>
        </w:tc>
        <w:tc>
          <w:tcPr>
            <w:tcW w:w="0" w:type="auto"/>
          </w:tcPr>
          <w:p w:rsidR="00857AEB" w:rsidRDefault="00857AEB" w:rsidP="00831EFA">
            <w:pPr>
              <w:pStyle w:val="Compact"/>
              <w:jc w:val="center"/>
            </w:pPr>
            <w:r>
              <w:t>312.6</w:t>
            </w:r>
          </w:p>
        </w:tc>
      </w:tr>
      <w:tr w:rsidR="00857AEB" w:rsidTr="00831EFA">
        <w:tc>
          <w:tcPr>
            <w:tcW w:w="0" w:type="auto"/>
          </w:tcPr>
          <w:p w:rsidR="00857AEB" w:rsidRDefault="00857AEB" w:rsidP="00831EFA">
            <w:pPr>
              <w:pStyle w:val="Compact"/>
              <w:jc w:val="center"/>
            </w:pPr>
            <w:r>
              <w:t>Body bags (m3)</w:t>
            </w:r>
          </w:p>
        </w:tc>
        <w:tc>
          <w:tcPr>
            <w:tcW w:w="0" w:type="auto"/>
          </w:tcPr>
          <w:p w:rsidR="00857AEB" w:rsidRDefault="00857AEB" w:rsidP="00831EFA">
            <w:pPr>
              <w:pStyle w:val="Compact"/>
              <w:jc w:val="center"/>
            </w:pPr>
            <w:r>
              <w:t>0.8</w:t>
            </w:r>
          </w:p>
        </w:tc>
        <w:tc>
          <w:tcPr>
            <w:tcW w:w="0" w:type="auto"/>
          </w:tcPr>
          <w:p w:rsidR="00857AEB" w:rsidRDefault="00857AEB" w:rsidP="00831EFA">
            <w:pPr>
              <w:pStyle w:val="Compact"/>
              <w:jc w:val="center"/>
            </w:pPr>
            <w:r>
              <w:t>1.8</w:t>
            </w:r>
          </w:p>
        </w:tc>
        <w:tc>
          <w:tcPr>
            <w:tcW w:w="0" w:type="auto"/>
          </w:tcPr>
          <w:p w:rsidR="00857AEB" w:rsidRDefault="00857AEB" w:rsidP="00831EFA">
            <w:pPr>
              <w:pStyle w:val="Compact"/>
              <w:jc w:val="center"/>
            </w:pPr>
            <w:r>
              <w:t>4</w:t>
            </w:r>
          </w:p>
        </w:tc>
      </w:tr>
      <w:tr w:rsidR="00857AEB" w:rsidTr="00831EFA">
        <w:tc>
          <w:tcPr>
            <w:tcW w:w="0" w:type="auto"/>
          </w:tcPr>
          <w:p w:rsidR="00857AEB" w:rsidRDefault="00857AEB" w:rsidP="00831EFA">
            <w:pPr>
              <w:pStyle w:val="Compact"/>
              <w:jc w:val="center"/>
            </w:pPr>
            <w:r>
              <w:t>Body bags (tons)</w:t>
            </w:r>
          </w:p>
        </w:tc>
        <w:tc>
          <w:tcPr>
            <w:tcW w:w="0" w:type="auto"/>
          </w:tcPr>
          <w:p w:rsidR="00857AEB" w:rsidRDefault="00857AEB" w:rsidP="00831EFA">
            <w:pPr>
              <w:pStyle w:val="Compact"/>
              <w:jc w:val="center"/>
            </w:pPr>
            <w:r>
              <w:t>0.1</w:t>
            </w:r>
          </w:p>
        </w:tc>
        <w:tc>
          <w:tcPr>
            <w:tcW w:w="0" w:type="auto"/>
          </w:tcPr>
          <w:p w:rsidR="00857AEB" w:rsidRDefault="00857AEB" w:rsidP="00831EFA">
            <w:pPr>
              <w:pStyle w:val="Compact"/>
              <w:jc w:val="center"/>
            </w:pPr>
            <w:r>
              <w:t>0.2</w:t>
            </w:r>
          </w:p>
        </w:tc>
        <w:tc>
          <w:tcPr>
            <w:tcW w:w="0" w:type="auto"/>
          </w:tcPr>
          <w:p w:rsidR="00857AEB" w:rsidRDefault="00857AEB" w:rsidP="00831EFA">
            <w:pPr>
              <w:pStyle w:val="Compact"/>
              <w:jc w:val="center"/>
            </w:pPr>
            <w:r>
              <w:t>0.4</w:t>
            </w:r>
          </w:p>
        </w:tc>
      </w:tr>
      <w:tr w:rsidR="00857AEB" w:rsidTr="00831EFA">
        <w:tc>
          <w:tcPr>
            <w:tcW w:w="0" w:type="auto"/>
          </w:tcPr>
          <w:p w:rsidR="00857AEB" w:rsidRDefault="00857AEB" w:rsidP="00831EFA">
            <w:pPr>
              <w:pStyle w:val="Compact"/>
              <w:jc w:val="center"/>
            </w:pPr>
            <w:r>
              <w:t>Chlorine (m3)</w:t>
            </w:r>
          </w:p>
        </w:tc>
        <w:tc>
          <w:tcPr>
            <w:tcW w:w="0" w:type="auto"/>
          </w:tcPr>
          <w:p w:rsidR="00857AEB" w:rsidRDefault="00857AEB" w:rsidP="00831EFA">
            <w:pPr>
              <w:pStyle w:val="Compact"/>
              <w:jc w:val="center"/>
            </w:pPr>
            <w:r>
              <w:t>0.3</w:t>
            </w:r>
          </w:p>
        </w:tc>
        <w:tc>
          <w:tcPr>
            <w:tcW w:w="0" w:type="auto"/>
          </w:tcPr>
          <w:p w:rsidR="00857AEB" w:rsidRDefault="00857AEB" w:rsidP="00831EFA">
            <w:pPr>
              <w:pStyle w:val="Compact"/>
              <w:jc w:val="center"/>
            </w:pPr>
            <w:r>
              <w:t>0.7</w:t>
            </w:r>
          </w:p>
        </w:tc>
        <w:tc>
          <w:tcPr>
            <w:tcW w:w="0" w:type="auto"/>
          </w:tcPr>
          <w:p w:rsidR="00857AEB" w:rsidRDefault="00857AEB" w:rsidP="00831EFA">
            <w:pPr>
              <w:pStyle w:val="Compact"/>
              <w:jc w:val="center"/>
            </w:pPr>
            <w:r>
              <w:t>1.6</w:t>
            </w:r>
          </w:p>
        </w:tc>
      </w:tr>
      <w:tr w:rsidR="00857AEB" w:rsidTr="00831EFA">
        <w:tc>
          <w:tcPr>
            <w:tcW w:w="0" w:type="auto"/>
          </w:tcPr>
          <w:p w:rsidR="00857AEB" w:rsidRDefault="00857AEB" w:rsidP="00831EFA">
            <w:pPr>
              <w:pStyle w:val="Compact"/>
              <w:jc w:val="center"/>
            </w:pPr>
            <w:r>
              <w:t>Chlorine (tons)</w:t>
            </w:r>
          </w:p>
        </w:tc>
        <w:tc>
          <w:tcPr>
            <w:tcW w:w="0" w:type="auto"/>
          </w:tcPr>
          <w:p w:rsidR="00857AEB" w:rsidRDefault="00857AEB" w:rsidP="00831EFA">
            <w:pPr>
              <w:pStyle w:val="Compact"/>
              <w:jc w:val="center"/>
            </w:pPr>
            <w:r>
              <w:t>0.3</w:t>
            </w:r>
          </w:p>
        </w:tc>
        <w:tc>
          <w:tcPr>
            <w:tcW w:w="0" w:type="auto"/>
          </w:tcPr>
          <w:p w:rsidR="00857AEB" w:rsidRDefault="00857AEB" w:rsidP="00831EFA">
            <w:pPr>
              <w:pStyle w:val="Compact"/>
              <w:jc w:val="center"/>
            </w:pPr>
            <w:r>
              <w:t>0.7</w:t>
            </w:r>
          </w:p>
        </w:tc>
        <w:tc>
          <w:tcPr>
            <w:tcW w:w="0" w:type="auto"/>
          </w:tcPr>
          <w:p w:rsidR="00857AEB" w:rsidRDefault="00857AEB" w:rsidP="00831EFA">
            <w:pPr>
              <w:pStyle w:val="Compact"/>
              <w:jc w:val="center"/>
            </w:pPr>
            <w:r>
              <w:t>1.6</w:t>
            </w:r>
          </w:p>
        </w:tc>
      </w:tr>
      <w:tr w:rsidR="00857AEB" w:rsidTr="00831EFA">
        <w:tc>
          <w:tcPr>
            <w:tcW w:w="0" w:type="auto"/>
          </w:tcPr>
          <w:p w:rsidR="00857AEB" w:rsidRDefault="00857AEB" w:rsidP="00831EFA">
            <w:pPr>
              <w:pStyle w:val="Compact"/>
              <w:jc w:val="center"/>
            </w:pPr>
            <w:r>
              <w:t>Medical supplies (m3)</w:t>
            </w:r>
          </w:p>
        </w:tc>
        <w:tc>
          <w:tcPr>
            <w:tcW w:w="0" w:type="auto"/>
          </w:tcPr>
          <w:p w:rsidR="00857AEB" w:rsidRDefault="00857AEB" w:rsidP="00831EFA">
            <w:pPr>
              <w:pStyle w:val="Compact"/>
              <w:jc w:val="center"/>
            </w:pPr>
            <w:r>
              <w:t>4.7</w:t>
            </w:r>
          </w:p>
        </w:tc>
        <w:tc>
          <w:tcPr>
            <w:tcW w:w="0" w:type="auto"/>
          </w:tcPr>
          <w:p w:rsidR="00857AEB" w:rsidRDefault="00857AEB" w:rsidP="00831EFA">
            <w:pPr>
              <w:pStyle w:val="Compact"/>
              <w:jc w:val="center"/>
            </w:pPr>
            <w:r>
              <w:t>10.1</w:t>
            </w:r>
          </w:p>
        </w:tc>
        <w:tc>
          <w:tcPr>
            <w:tcW w:w="0" w:type="auto"/>
          </w:tcPr>
          <w:p w:rsidR="00857AEB" w:rsidRDefault="00857AEB" w:rsidP="00831EFA">
            <w:pPr>
              <w:pStyle w:val="Compact"/>
              <w:jc w:val="center"/>
            </w:pPr>
            <w:r>
              <w:t>23.2</w:t>
            </w:r>
          </w:p>
        </w:tc>
      </w:tr>
      <w:tr w:rsidR="00857AEB" w:rsidTr="00831EFA">
        <w:tc>
          <w:tcPr>
            <w:tcW w:w="0" w:type="auto"/>
          </w:tcPr>
          <w:p w:rsidR="00857AEB" w:rsidRDefault="00857AEB" w:rsidP="00831EFA">
            <w:pPr>
              <w:pStyle w:val="Compact"/>
              <w:jc w:val="center"/>
            </w:pPr>
            <w:r>
              <w:t>Medical supplies (tons)</w:t>
            </w:r>
          </w:p>
        </w:tc>
        <w:tc>
          <w:tcPr>
            <w:tcW w:w="0" w:type="auto"/>
          </w:tcPr>
          <w:p w:rsidR="00857AEB" w:rsidRDefault="00857AEB" w:rsidP="00831EFA">
            <w:pPr>
              <w:pStyle w:val="Compact"/>
              <w:jc w:val="center"/>
            </w:pPr>
            <w:r>
              <w:t>2.3</w:t>
            </w:r>
          </w:p>
        </w:tc>
        <w:tc>
          <w:tcPr>
            <w:tcW w:w="0" w:type="auto"/>
          </w:tcPr>
          <w:p w:rsidR="00857AEB" w:rsidRDefault="00857AEB" w:rsidP="00831EFA">
            <w:pPr>
              <w:pStyle w:val="Compact"/>
              <w:jc w:val="center"/>
            </w:pPr>
            <w:r>
              <w:t>5</w:t>
            </w:r>
          </w:p>
        </w:tc>
        <w:tc>
          <w:tcPr>
            <w:tcW w:w="0" w:type="auto"/>
          </w:tcPr>
          <w:p w:rsidR="00857AEB" w:rsidRDefault="00857AEB" w:rsidP="00831EFA">
            <w:pPr>
              <w:pStyle w:val="Compact"/>
              <w:jc w:val="center"/>
            </w:pPr>
            <w:r>
              <w:t>11.6</w:t>
            </w:r>
          </w:p>
        </w:tc>
      </w:tr>
      <w:tr w:rsidR="00857AEB" w:rsidTr="00831EFA">
        <w:tc>
          <w:tcPr>
            <w:tcW w:w="0" w:type="auto"/>
          </w:tcPr>
          <w:p w:rsidR="00857AEB" w:rsidRDefault="00857AEB" w:rsidP="00831EFA">
            <w:pPr>
              <w:pStyle w:val="Compact"/>
              <w:jc w:val="center"/>
            </w:pPr>
            <w:r>
              <w:t>Lab supplies (m3)</w:t>
            </w:r>
          </w:p>
        </w:tc>
        <w:tc>
          <w:tcPr>
            <w:tcW w:w="0" w:type="auto"/>
          </w:tcPr>
          <w:p w:rsidR="00857AEB" w:rsidRDefault="00857AEB" w:rsidP="00831EFA">
            <w:pPr>
              <w:pStyle w:val="Compact"/>
              <w:jc w:val="center"/>
            </w:pPr>
            <w:r>
              <w:t>0.5</w:t>
            </w:r>
          </w:p>
        </w:tc>
        <w:tc>
          <w:tcPr>
            <w:tcW w:w="0" w:type="auto"/>
          </w:tcPr>
          <w:p w:rsidR="00857AEB" w:rsidRDefault="00857AEB" w:rsidP="00831EFA">
            <w:pPr>
              <w:pStyle w:val="Compact"/>
              <w:jc w:val="center"/>
            </w:pPr>
            <w:r>
              <w:t>1.1</w:t>
            </w:r>
          </w:p>
        </w:tc>
        <w:tc>
          <w:tcPr>
            <w:tcW w:w="0" w:type="auto"/>
          </w:tcPr>
          <w:p w:rsidR="00857AEB" w:rsidRDefault="00857AEB" w:rsidP="00831EFA">
            <w:pPr>
              <w:pStyle w:val="Compact"/>
              <w:jc w:val="center"/>
            </w:pPr>
            <w:r>
              <w:t>2.5</w:t>
            </w:r>
          </w:p>
        </w:tc>
      </w:tr>
      <w:tr w:rsidR="00857AEB" w:rsidTr="00831EFA">
        <w:tc>
          <w:tcPr>
            <w:tcW w:w="0" w:type="auto"/>
          </w:tcPr>
          <w:p w:rsidR="00857AEB" w:rsidRDefault="00857AEB" w:rsidP="00831EFA">
            <w:pPr>
              <w:pStyle w:val="Compact"/>
              <w:jc w:val="center"/>
            </w:pPr>
            <w:r>
              <w:t>Lab supplies (tons)</w:t>
            </w:r>
          </w:p>
        </w:tc>
        <w:tc>
          <w:tcPr>
            <w:tcW w:w="0" w:type="auto"/>
          </w:tcPr>
          <w:p w:rsidR="00857AEB" w:rsidRDefault="00857AEB" w:rsidP="00831EFA">
            <w:pPr>
              <w:pStyle w:val="Compact"/>
              <w:jc w:val="center"/>
            </w:pPr>
            <w:r>
              <w:t>0.2</w:t>
            </w:r>
          </w:p>
        </w:tc>
        <w:tc>
          <w:tcPr>
            <w:tcW w:w="0" w:type="auto"/>
          </w:tcPr>
          <w:p w:rsidR="00857AEB" w:rsidRDefault="00857AEB" w:rsidP="00831EFA">
            <w:pPr>
              <w:pStyle w:val="Compact"/>
              <w:jc w:val="center"/>
            </w:pPr>
            <w:r>
              <w:t>0.5</w:t>
            </w:r>
          </w:p>
        </w:tc>
        <w:tc>
          <w:tcPr>
            <w:tcW w:w="0" w:type="auto"/>
          </w:tcPr>
          <w:p w:rsidR="00857AEB" w:rsidRDefault="00857AEB" w:rsidP="00831EFA">
            <w:pPr>
              <w:pStyle w:val="Compact"/>
              <w:jc w:val="center"/>
            </w:pPr>
            <w:r>
              <w:t>1.2</w:t>
            </w:r>
          </w:p>
        </w:tc>
      </w:tr>
      <w:tr w:rsidR="00857AEB" w:rsidTr="00831EFA">
        <w:tc>
          <w:tcPr>
            <w:tcW w:w="0" w:type="auto"/>
          </w:tcPr>
          <w:p w:rsidR="00857AEB" w:rsidRDefault="00857AEB" w:rsidP="00831EFA">
            <w:pPr>
              <w:pStyle w:val="Compact"/>
              <w:jc w:val="center"/>
            </w:pPr>
            <w:r>
              <w:t>Total (m3)</w:t>
            </w:r>
          </w:p>
        </w:tc>
        <w:tc>
          <w:tcPr>
            <w:tcW w:w="0" w:type="auto"/>
          </w:tcPr>
          <w:p w:rsidR="00857AEB" w:rsidRDefault="00857AEB" w:rsidP="00831EFA">
            <w:pPr>
              <w:pStyle w:val="Compact"/>
              <w:jc w:val="center"/>
            </w:pPr>
            <w:r>
              <w:t>308.8</w:t>
            </w:r>
          </w:p>
        </w:tc>
        <w:tc>
          <w:tcPr>
            <w:tcW w:w="0" w:type="auto"/>
          </w:tcPr>
          <w:p w:rsidR="00857AEB" w:rsidRDefault="00857AEB" w:rsidP="00831EFA">
            <w:pPr>
              <w:pStyle w:val="Compact"/>
              <w:jc w:val="center"/>
            </w:pPr>
            <w:r>
              <w:t>666</w:t>
            </w:r>
          </w:p>
        </w:tc>
        <w:tc>
          <w:tcPr>
            <w:tcW w:w="0" w:type="auto"/>
          </w:tcPr>
          <w:p w:rsidR="00857AEB" w:rsidRDefault="00857AEB" w:rsidP="00831EFA">
            <w:pPr>
              <w:pStyle w:val="Compact"/>
              <w:jc w:val="center"/>
            </w:pPr>
            <w:r>
              <w:t>1535.6</w:t>
            </w:r>
          </w:p>
        </w:tc>
      </w:tr>
      <w:tr w:rsidR="00857AEB" w:rsidTr="00831EFA">
        <w:tc>
          <w:tcPr>
            <w:tcW w:w="0" w:type="auto"/>
          </w:tcPr>
          <w:p w:rsidR="00857AEB" w:rsidRDefault="00857AEB" w:rsidP="00831EFA">
            <w:pPr>
              <w:pStyle w:val="Compact"/>
              <w:jc w:val="center"/>
            </w:pPr>
            <w:r>
              <w:t>Total (tons)</w:t>
            </w:r>
          </w:p>
        </w:tc>
        <w:tc>
          <w:tcPr>
            <w:tcW w:w="0" w:type="auto"/>
          </w:tcPr>
          <w:p w:rsidR="00857AEB" w:rsidRDefault="00857AEB" w:rsidP="00831EFA">
            <w:pPr>
              <w:pStyle w:val="Compact"/>
              <w:jc w:val="center"/>
            </w:pPr>
            <w:r>
              <w:t>65.8</w:t>
            </w:r>
          </w:p>
        </w:tc>
        <w:tc>
          <w:tcPr>
            <w:tcW w:w="0" w:type="auto"/>
          </w:tcPr>
          <w:p w:rsidR="00857AEB" w:rsidRDefault="00857AEB" w:rsidP="00831EFA">
            <w:pPr>
              <w:pStyle w:val="Compact"/>
              <w:jc w:val="center"/>
            </w:pPr>
            <w:r>
              <w:t>142</w:t>
            </w:r>
          </w:p>
        </w:tc>
        <w:tc>
          <w:tcPr>
            <w:tcW w:w="0" w:type="auto"/>
          </w:tcPr>
          <w:p w:rsidR="00857AEB" w:rsidRDefault="00857AEB" w:rsidP="00831EFA">
            <w:pPr>
              <w:pStyle w:val="Compact"/>
              <w:jc w:val="center"/>
            </w:pPr>
            <w:r>
              <w:t>327.4</w:t>
            </w:r>
          </w:p>
        </w:tc>
      </w:tr>
    </w:tbl>
    <w:p w:rsidR="00857AEB" w:rsidRDefault="00857AEB" w:rsidP="00857AEB">
      <w:r>
        <w:br w:type="page"/>
      </w:r>
    </w:p>
    <w:p w:rsidR="007D696D" w:rsidRDefault="007D696D" w:rsidP="007D696D"/>
    <w:p w:rsidR="007D696D" w:rsidRDefault="007D696D" w:rsidP="007D696D">
      <w:pPr>
        <w:pStyle w:val="Overskrift1"/>
      </w:pPr>
      <w:bookmarkStart w:id="19" w:name="conclusion"/>
      <w:commentRangeStart w:id="20"/>
      <w:r>
        <w:t>Discussion</w:t>
      </w:r>
      <w:commentRangeEnd w:id="20"/>
      <w:r w:rsidR="00857AEB">
        <w:rPr>
          <w:rStyle w:val="Merknadsreferanse"/>
          <w:rFonts w:asciiTheme="minorHAnsi" w:eastAsiaTheme="minorHAnsi" w:hAnsiTheme="minorHAnsi" w:cstheme="minorBidi"/>
          <w:b w:val="0"/>
          <w:bCs w:val="0"/>
          <w:color w:val="auto"/>
        </w:rPr>
        <w:commentReference w:id="20"/>
      </w:r>
    </w:p>
    <w:bookmarkEnd w:id="19"/>
    <w:p w:rsidR="0067691A" w:rsidRDefault="00AE5B11" w:rsidP="00AE5B11">
      <w:pPr>
        <w:pStyle w:val="Listeavsnitt"/>
        <w:numPr>
          <w:ilvl w:val="0"/>
          <w:numId w:val="2"/>
        </w:numPr>
      </w:pPr>
      <w:r>
        <w:t>Other models find that the importance of sufficient resources to provide case isolation for infected individuals within 4 days of symptom onset – more effort directed towards expanding the capacity of hospitalized case isolation (</w:t>
      </w:r>
      <w:proofErr w:type="spellStart"/>
      <w:r>
        <w:t>Yamin</w:t>
      </w:r>
      <w:proofErr w:type="spellEnd"/>
      <w:r>
        <w:t xml:space="preserve"> et al.)</w:t>
      </w:r>
    </w:p>
    <w:p w:rsidR="00AE5B11" w:rsidRDefault="00AE5B11" w:rsidP="00AE5B11">
      <w:pPr>
        <w:pStyle w:val="Listeavsnitt"/>
        <w:numPr>
          <w:ilvl w:val="0"/>
          <w:numId w:val="2"/>
        </w:numPr>
      </w:pPr>
      <w:r>
        <w:t>Window for action is closing – if widespread transmission con</w:t>
      </w:r>
      <w:r w:rsidR="00335549">
        <w:t>tinues, the number of cases will</w:t>
      </w:r>
      <w:r>
        <w:t xml:space="preserve"> overwhelm existing resources and sufficient international resources to treat upwards of </w:t>
      </w:r>
      <w:r w:rsidR="00857AEB">
        <w:t>100 000 cases</w:t>
      </w:r>
      <w:r w:rsidR="00335549">
        <w:t xml:space="preserve"> will be difficult to acquire</w:t>
      </w:r>
    </w:p>
    <w:p w:rsidR="00857AEB" w:rsidRDefault="00857AEB" w:rsidP="00AE5B11">
      <w:pPr>
        <w:pStyle w:val="Listeavsnitt"/>
        <w:numPr>
          <w:ilvl w:val="0"/>
          <w:numId w:val="2"/>
        </w:numPr>
      </w:pPr>
      <w:r>
        <w:t xml:space="preserve">If </w:t>
      </w:r>
      <w:r w:rsidR="00335549">
        <w:t>the urgent need for isolation and treatment is not met</w:t>
      </w:r>
      <w:r>
        <w:t xml:space="preserve">, other control measures must be available, including </w:t>
      </w:r>
      <w:commentRangeStart w:id="21"/>
      <w:r>
        <w:t xml:space="preserve">vaccination, </w:t>
      </w:r>
      <w:commentRangeEnd w:id="21"/>
      <w:r w:rsidR="00335549">
        <w:rPr>
          <w:rStyle w:val="Merknadsreferanse"/>
        </w:rPr>
        <w:commentReference w:id="21"/>
      </w:r>
      <w:r>
        <w:t>as sufficient resources, particularly healthcare workers, will be difficult, if not impossible to mobilize.</w:t>
      </w:r>
    </w:p>
    <w:p w:rsidR="0067691A" w:rsidRDefault="0067691A" w:rsidP="007D696D">
      <w:bookmarkStart w:id="22" w:name="_GoBack"/>
      <w:bookmarkEnd w:id="22"/>
    </w:p>
    <w:p w:rsidR="007D696D" w:rsidRDefault="007D696D" w:rsidP="007D696D">
      <w:r>
        <w:t>Our numbers are not incongruent with those given by the WHO model, which predicted approximately 80000 cases by the end of November. Our model explicitly models a decrease in the reporting quotient, whereas the WHO model did not. Thus, our reported estimates of 24861 should lie below, and our corrected estimates of 191686 should lie above. However, we predicted that the majority of cases will come from Sierra Leone (94723) instead of Liberia (61792). This is primarily due to our use of later data, where the underreporting in Liberia has severe impacts on our model. As we apply a universal underreporting correction across all countries, we are not able to quantify this.</w:t>
      </w:r>
    </w:p>
    <w:p w:rsidR="007D696D" w:rsidRDefault="007D696D" w:rsidP="007D696D">
      <w:r>
        <w:t xml:space="preserve">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w:t>
      </w:r>
      <w:proofErr w:type="spellStart"/>
      <w:r>
        <w:t>hospitalised</w:t>
      </w:r>
      <w:proofErr w:type="spellEnd"/>
      <w:r>
        <w:t xml:space="preserve">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w:t>
      </w:r>
      <w:proofErr w:type="gramStart"/>
      <w:r>
        <w:t>that</w:t>
      </w:r>
      <w:proofErr w:type="gramEnd"/>
      <w:r>
        <w:t xml:space="preserve">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7D696D" w:rsidRDefault="007D696D" w:rsidP="007D696D">
      <w:r>
        <w:t>Currently we need to treat 12364 cases to achieve the CDC's target. In one month, 26665 cases. In two months, 61482 cases. With every month the CDC's 70% target grows exponentially, while the healthcare workers needed to reverse this epidemic continue to die. Urgent action is needed by the international community to reverse this crisis.</w:t>
      </w:r>
    </w:p>
    <w:p w:rsidR="003F0AAD" w:rsidRDefault="003F0AAD">
      <w:pPr>
        <w:spacing w:before="0" w:after="200" w:line="276" w:lineRule="auto"/>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br w:type="page"/>
      </w:r>
    </w:p>
    <w:p w:rsidR="003F0AAD" w:rsidRPr="003F0AAD" w:rsidRDefault="0067691A">
      <w:pP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lastRenderedPageBreak/>
        <w:t>References</w:t>
      </w:r>
    </w:p>
    <w:p w:rsidR="00030B3B" w:rsidRPr="00030B3B" w:rsidRDefault="003F0AAD" w:rsidP="00030B3B">
      <w:pPr>
        <w:pStyle w:val="EndNoteBibliography"/>
        <w:spacing w:after="0"/>
        <w:ind w:left="720" w:hanging="720"/>
      </w:pPr>
      <w:r>
        <w:fldChar w:fldCharType="begin"/>
      </w:r>
      <w:r>
        <w:instrText xml:space="preserve"> ADDIN EN.REFLIST </w:instrText>
      </w:r>
      <w:r>
        <w:fldChar w:fldCharType="separate"/>
      </w:r>
      <w:bookmarkStart w:id="23" w:name="_ENREF_1"/>
      <w:r w:rsidR="00030B3B" w:rsidRPr="00030B3B">
        <w:t>1.</w:t>
      </w:r>
      <w:r w:rsidR="00030B3B" w:rsidRPr="00030B3B">
        <w:tab/>
      </w:r>
      <w:r w:rsidR="00030B3B" w:rsidRPr="00030B3B">
        <w:rPr>
          <w:b/>
        </w:rPr>
        <w:t xml:space="preserve">WHO Statement on the Meeting of the International Health Regulations Emergency Committee Regarding the 2014 Ebola Outbreak in West Africa </w:t>
      </w:r>
      <w:r w:rsidR="00030B3B" w:rsidRPr="00030B3B">
        <w:t>[</w:t>
      </w:r>
      <w:hyperlink r:id="rId12" w:history="1">
        <w:r w:rsidR="00030B3B" w:rsidRPr="00030B3B">
          <w:rPr>
            <w:rStyle w:val="Hyperkobling"/>
          </w:rPr>
          <w:t>http://www.who.int/mediacentre/news/statements/2014/ebola-20140808/en/</w:t>
        </w:r>
      </w:hyperlink>
      <w:r w:rsidR="00030B3B" w:rsidRPr="00030B3B">
        <w:t>]</w:t>
      </w:r>
      <w:bookmarkEnd w:id="23"/>
    </w:p>
    <w:p w:rsidR="00030B3B" w:rsidRPr="00030B3B" w:rsidRDefault="00030B3B" w:rsidP="00030B3B">
      <w:pPr>
        <w:pStyle w:val="EndNoteBibliography"/>
        <w:spacing w:after="0"/>
        <w:ind w:left="720" w:hanging="720"/>
      </w:pPr>
      <w:bookmarkStart w:id="24" w:name="_ENREF_2"/>
      <w:r w:rsidRPr="00030B3B">
        <w:t>2.</w:t>
      </w:r>
      <w:r w:rsidRPr="00030B3B">
        <w:tab/>
      </w:r>
      <w:r w:rsidRPr="00030B3B">
        <w:rPr>
          <w:b/>
        </w:rPr>
        <w:t xml:space="preserve">UN Mission for Ebola Emergency Response (UNMEER) </w:t>
      </w:r>
      <w:r w:rsidRPr="00030B3B">
        <w:t>[</w:t>
      </w:r>
      <w:hyperlink r:id="rId13" w:history="1">
        <w:r w:rsidRPr="00030B3B">
          <w:rPr>
            <w:rStyle w:val="Hyperkobling"/>
          </w:rPr>
          <w:t>http://www.un.org/ebolaresponse/mission.shtml</w:t>
        </w:r>
      </w:hyperlink>
      <w:r w:rsidRPr="00030B3B">
        <w:t>]</w:t>
      </w:r>
      <w:bookmarkEnd w:id="24"/>
    </w:p>
    <w:p w:rsidR="00030B3B" w:rsidRPr="00030B3B" w:rsidRDefault="00030B3B" w:rsidP="00030B3B">
      <w:pPr>
        <w:pStyle w:val="EndNoteBibliography"/>
        <w:spacing w:after="0"/>
        <w:ind w:left="720" w:hanging="720"/>
      </w:pPr>
      <w:bookmarkStart w:id="25" w:name="_ENREF_3"/>
      <w:r w:rsidRPr="00030B3B">
        <w:t>3.</w:t>
      </w:r>
      <w:r w:rsidRPr="00030B3B">
        <w:tab/>
        <w:t xml:space="preserve">Team WHOER: </w:t>
      </w:r>
      <w:r w:rsidRPr="00030B3B">
        <w:rPr>
          <w:b/>
        </w:rPr>
        <w:t>Ebola Virus Disease in West Africa - The First 9 Months of the Epidemic and Forward Projections</w:t>
      </w:r>
      <w:r w:rsidRPr="00030B3B">
        <w:t xml:space="preserve">. </w:t>
      </w:r>
      <w:r w:rsidRPr="00030B3B">
        <w:rPr>
          <w:i/>
        </w:rPr>
        <w:t xml:space="preserve">The New England journal of medicine </w:t>
      </w:r>
      <w:r w:rsidRPr="00030B3B">
        <w:t>2014.</w:t>
      </w:r>
      <w:bookmarkEnd w:id="25"/>
    </w:p>
    <w:p w:rsidR="00030B3B" w:rsidRPr="00030B3B" w:rsidRDefault="00030B3B" w:rsidP="00030B3B">
      <w:pPr>
        <w:pStyle w:val="EndNoteBibliography"/>
        <w:ind w:left="720" w:hanging="720"/>
      </w:pPr>
      <w:bookmarkStart w:id="26" w:name="_ENREF_4"/>
      <w:r w:rsidRPr="00030B3B">
        <w:t>4.</w:t>
      </w:r>
      <w:r w:rsidRPr="00030B3B">
        <w:tab/>
        <w:t xml:space="preserve">Meltzer MI, Atkins CY, Santibanez S, Knust B, Petersen BW, Ervin ED, Nichol ST, Damon IK, Washington ML: </w:t>
      </w:r>
      <w:r w:rsidRPr="00030B3B">
        <w:rPr>
          <w:b/>
        </w:rPr>
        <w:t>Estimating the future number of cases in the ebola epidemic --- liberia and sierra leone, 2014--2015</w:t>
      </w:r>
      <w:r w:rsidRPr="00030B3B">
        <w:t xml:space="preserve">. </w:t>
      </w:r>
      <w:r w:rsidRPr="00030B3B">
        <w:rPr>
          <w:i/>
        </w:rPr>
        <w:t xml:space="preserve">Morbidity and mortality weekly report Surveillance summaries </w:t>
      </w:r>
      <w:r w:rsidRPr="00030B3B">
        <w:t xml:space="preserve">2014, </w:t>
      </w:r>
      <w:r w:rsidRPr="00030B3B">
        <w:rPr>
          <w:b/>
        </w:rPr>
        <w:t>63</w:t>
      </w:r>
      <w:r w:rsidRPr="00030B3B">
        <w:t>:1-14.</w:t>
      </w:r>
      <w:bookmarkEnd w:id="26"/>
    </w:p>
    <w:p w:rsidR="00E478E5" w:rsidRDefault="003F0AAD">
      <w:r>
        <w:fldChar w:fldCharType="end"/>
      </w:r>
    </w:p>
    <w:sectPr w:rsidR="00E478E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cDonald, Emily" w:date="2014-10-28T19:16:00Z" w:initials="ME">
    <w:p w:rsidR="007D696D" w:rsidRDefault="007D696D" w:rsidP="007D696D">
      <w:pPr>
        <w:pStyle w:val="Merknadstekst"/>
      </w:pPr>
      <w:r>
        <w:rPr>
          <w:rStyle w:val="Merknadsreferanse"/>
        </w:rPr>
        <w:annotationRef/>
      </w:r>
      <w:r>
        <w:t>Update when submitting</w:t>
      </w:r>
    </w:p>
  </w:comment>
  <w:comment w:id="2" w:author="MacDonald, Emily" w:date="2014-10-28T22:58:00Z" w:initials="ME">
    <w:p w:rsidR="00AE5B11" w:rsidRDefault="00AE5B11">
      <w:pPr>
        <w:pStyle w:val="Merknadstekst"/>
      </w:pPr>
      <w:r>
        <w:rPr>
          <w:rStyle w:val="Merknadsreferanse"/>
        </w:rPr>
        <w:annotationRef/>
      </w:r>
      <w:r w:rsidR="00857AEB">
        <w:t xml:space="preserve">Ref </w:t>
      </w:r>
      <w:r>
        <w:t xml:space="preserve">Nishiura, </w:t>
      </w:r>
      <w:proofErr w:type="spellStart"/>
      <w:r>
        <w:t>Althaus</w:t>
      </w:r>
      <w:proofErr w:type="spellEnd"/>
    </w:p>
  </w:comment>
  <w:comment w:id="8" w:author="MacDonald, Emily" w:date="2014-10-28T22:41:00Z" w:initials="ME">
    <w:p w:rsidR="009603C0" w:rsidRDefault="009603C0" w:rsidP="00590D53">
      <w:r>
        <w:rPr>
          <w:rStyle w:val="Merknadsreferanse"/>
        </w:rPr>
        <w:annotationRef/>
      </w:r>
      <w:hyperlink r:id="rId1" w:history="1">
        <w:r w:rsidR="00590D53">
          <w:rPr>
            <w:rStyle w:val="Hyperkobling"/>
          </w:rPr>
          <w:t>https://docs.unocha.org/sites/dms/CAP/Ebola_outbreak_Sep_2014.pdf</w:t>
        </w:r>
      </w:hyperlink>
      <w:r w:rsidR="00590D53">
        <w:t xml:space="preserve"> </w:t>
      </w:r>
    </w:p>
  </w:comment>
  <w:comment w:id="9" w:author="MacDonald, Emily" w:date="2014-10-28T21:44:00Z" w:initials="ME">
    <w:p w:rsidR="00FC727E" w:rsidRDefault="00FC727E" w:rsidP="00FC727E">
      <w:pPr>
        <w:pStyle w:val="Merknadstekst"/>
      </w:pPr>
      <w:r>
        <w:rPr>
          <w:rStyle w:val="Merknadsreferanse"/>
        </w:rPr>
        <w:annotationRef/>
      </w:r>
      <w:r>
        <w:t xml:space="preserve">Still need to do this – based on 110 HCW and 100 support </w:t>
      </w:r>
      <w:proofErr w:type="gramStart"/>
      <w:r>
        <w:t>personnel  (</w:t>
      </w:r>
      <w:proofErr w:type="gramEnd"/>
      <w:r>
        <w:t>national and international) per 100 bed facility</w:t>
      </w:r>
    </w:p>
  </w:comment>
  <w:comment w:id="10" w:author="MacDonald, Emily" w:date="2014-10-28T22:21:00Z" w:initials="ME">
    <w:p w:rsidR="009603C0" w:rsidRDefault="009603C0">
      <w:pPr>
        <w:pStyle w:val="Merknadstekst"/>
      </w:pPr>
      <w:r>
        <w:rPr>
          <w:rStyle w:val="Merknadsreferanse"/>
        </w:rPr>
        <w:annotationRef/>
      </w:r>
      <w:hyperlink r:id="rId2" w:history="1">
        <w:r w:rsidRPr="00CB16CC">
          <w:rPr>
            <w:rStyle w:val="Hyperkobling"/>
          </w:rPr>
          <w:t>http://vosocc.unocha.org/Documents/att34145.pdf</w:t>
        </w:r>
      </w:hyperlink>
    </w:p>
  </w:comment>
  <w:comment w:id="15" w:author="MacDonald, Emily" w:date="2014-10-28T23:10:00Z" w:initials="ME">
    <w:p w:rsidR="00464FBF" w:rsidRDefault="00464FBF">
      <w:pPr>
        <w:pStyle w:val="Merknadstekst"/>
      </w:pPr>
      <w:r>
        <w:rPr>
          <w:rStyle w:val="Merknadsreferanse"/>
        </w:rPr>
        <w:annotationRef/>
      </w:r>
      <w:r>
        <w:t>Tables below not updated?</w:t>
      </w:r>
    </w:p>
  </w:comment>
  <w:comment w:id="18" w:author="MacDonald, Emily" w:date="2014-10-28T23:12:00Z" w:initials="ME">
    <w:p w:rsidR="00857AEB" w:rsidRDefault="00857AEB">
      <w:pPr>
        <w:pStyle w:val="Merknadstekst"/>
      </w:pPr>
      <w:r>
        <w:rPr>
          <w:rStyle w:val="Merknadsreferanse"/>
        </w:rPr>
        <w:annotationRef/>
      </w:r>
      <w:r>
        <w:t>Need to do this for 110 HCW and 100 other staff per 100 bed facility</w:t>
      </w:r>
      <w:r w:rsidR="00464FBF">
        <w:t xml:space="preserve"> – now only show need for international personnel based on UNMEERs first report</w:t>
      </w:r>
    </w:p>
  </w:comment>
  <w:comment w:id="20" w:author="MacDonald, Emily" w:date="2014-10-28T22:57:00Z" w:initials="ME">
    <w:p w:rsidR="00857AEB" w:rsidRDefault="00857AEB">
      <w:pPr>
        <w:pStyle w:val="Merknadstekst"/>
      </w:pPr>
      <w:r>
        <w:rPr>
          <w:rStyle w:val="Merknadsreferanse"/>
        </w:rPr>
        <w:annotationRef/>
      </w:r>
      <w:r>
        <w:t>In progress</w:t>
      </w:r>
    </w:p>
  </w:comment>
  <w:comment w:id="21" w:author="MacDonald, Emily" w:date="2014-10-29T00:51:00Z" w:initials="ME">
    <w:p w:rsidR="00335549" w:rsidRDefault="00335549">
      <w:pPr>
        <w:pStyle w:val="Merknadstekst"/>
      </w:pPr>
      <w:r>
        <w:rPr>
          <w:rStyle w:val="Merknadsreferanse"/>
        </w:rPr>
        <w:annotationRef/>
      </w:r>
      <w:r>
        <w:t>Expand on this as an option?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77D"/>
    <w:multiLevelType w:val="hybridMultilevel"/>
    <w:tmpl w:val="41BC29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7F450B0"/>
    <w:multiLevelType w:val="hybridMultilevel"/>
    <w:tmpl w:val="4CA488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Infectious Disease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rsx59zx809zd5esrdqpat0c5tesx0e000vv&quot;&gt;Ebola_bistand&lt;record-ids&gt;&lt;item&gt;1&lt;/item&gt;&lt;item&gt;12&lt;/item&gt;&lt;item&gt;33&lt;/item&gt;&lt;item&gt;76&lt;/item&gt;&lt;/record-ids&gt;&lt;/item&gt;&lt;/Libraries&gt;"/>
  </w:docVars>
  <w:rsids>
    <w:rsidRoot w:val="00D852D1"/>
    <w:rsid w:val="00030B3B"/>
    <w:rsid w:val="000D689C"/>
    <w:rsid w:val="0015123F"/>
    <w:rsid w:val="00155441"/>
    <w:rsid w:val="001B5670"/>
    <w:rsid w:val="001D09D0"/>
    <w:rsid w:val="00211E84"/>
    <w:rsid w:val="002770F8"/>
    <w:rsid w:val="002D4C34"/>
    <w:rsid w:val="00335549"/>
    <w:rsid w:val="00382EA2"/>
    <w:rsid w:val="003D52A0"/>
    <w:rsid w:val="003F0AAD"/>
    <w:rsid w:val="00464FBF"/>
    <w:rsid w:val="0052422D"/>
    <w:rsid w:val="00590D53"/>
    <w:rsid w:val="005B703F"/>
    <w:rsid w:val="0067691A"/>
    <w:rsid w:val="006B1437"/>
    <w:rsid w:val="006E3F2D"/>
    <w:rsid w:val="00762163"/>
    <w:rsid w:val="007D696D"/>
    <w:rsid w:val="00857AEB"/>
    <w:rsid w:val="00882F59"/>
    <w:rsid w:val="008B5A5A"/>
    <w:rsid w:val="00935316"/>
    <w:rsid w:val="009550A9"/>
    <w:rsid w:val="009603C0"/>
    <w:rsid w:val="00A605AB"/>
    <w:rsid w:val="00A64B4A"/>
    <w:rsid w:val="00A72B51"/>
    <w:rsid w:val="00A771DC"/>
    <w:rsid w:val="00AE5B11"/>
    <w:rsid w:val="00B848B9"/>
    <w:rsid w:val="00C24EB7"/>
    <w:rsid w:val="00C82CA6"/>
    <w:rsid w:val="00CA23EF"/>
    <w:rsid w:val="00CA3920"/>
    <w:rsid w:val="00CE6AE9"/>
    <w:rsid w:val="00D647EE"/>
    <w:rsid w:val="00D852D1"/>
    <w:rsid w:val="00E478E5"/>
    <w:rsid w:val="00F11040"/>
    <w:rsid w:val="00F23921"/>
    <w:rsid w:val="00F827D2"/>
    <w:rsid w:val="00FC5E05"/>
    <w:rsid w:val="00FC72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D1"/>
    <w:pPr>
      <w:spacing w:before="180" w:after="180" w:line="240" w:lineRule="auto"/>
    </w:pPr>
    <w:rPr>
      <w:sz w:val="24"/>
      <w:szCs w:val="24"/>
      <w:lang w:val="en-US"/>
    </w:rPr>
  </w:style>
  <w:style w:type="paragraph" w:styleId="Overskrift1">
    <w:name w:val="heading 1"/>
    <w:basedOn w:val="Normal"/>
    <w:next w:val="Normal"/>
    <w:link w:val="Overskrift1Tegn"/>
    <w:uiPriority w:val="9"/>
    <w:qFormat/>
    <w:rsid w:val="007D696D"/>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link w:val="Overskrift2Tegn"/>
    <w:uiPriority w:val="9"/>
    <w:unhideWhenUsed/>
    <w:qFormat/>
    <w:rsid w:val="007D696D"/>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rsid w:val="00D852D1"/>
    <w:rPr>
      <w:sz w:val="16"/>
      <w:szCs w:val="16"/>
    </w:rPr>
  </w:style>
  <w:style w:type="paragraph" w:styleId="Merknadstekst">
    <w:name w:val="annotation text"/>
    <w:basedOn w:val="Normal"/>
    <w:link w:val="MerknadstekstTegn"/>
    <w:rsid w:val="00D852D1"/>
    <w:rPr>
      <w:sz w:val="20"/>
      <w:szCs w:val="20"/>
    </w:rPr>
  </w:style>
  <w:style w:type="character" w:customStyle="1" w:styleId="MerknadstekstTegn">
    <w:name w:val="Merknadstekst Tegn"/>
    <w:basedOn w:val="Standardskriftforavsnitt"/>
    <w:link w:val="Merknadstekst"/>
    <w:rsid w:val="00D852D1"/>
    <w:rPr>
      <w:sz w:val="20"/>
      <w:szCs w:val="20"/>
      <w:lang w:val="en-US"/>
    </w:rPr>
  </w:style>
  <w:style w:type="paragraph" w:styleId="Bobletekst">
    <w:name w:val="Balloon Text"/>
    <w:basedOn w:val="Normal"/>
    <w:link w:val="BobletekstTegn"/>
    <w:uiPriority w:val="99"/>
    <w:semiHidden/>
    <w:unhideWhenUsed/>
    <w:rsid w:val="00D852D1"/>
    <w:pPr>
      <w:spacing w:before="0"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D852D1"/>
    <w:rPr>
      <w:rFonts w:ascii="Tahoma" w:hAnsi="Tahoma" w:cs="Tahoma"/>
      <w:sz w:val="16"/>
      <w:szCs w:val="16"/>
      <w:lang w:val="en-US"/>
    </w:rPr>
  </w:style>
  <w:style w:type="paragraph" w:customStyle="1" w:styleId="EndNoteBibliographyTitle">
    <w:name w:val="EndNote Bibliography Title"/>
    <w:basedOn w:val="Normal"/>
    <w:link w:val="EndNoteBibliographyTitleTegn"/>
    <w:rsid w:val="00211E84"/>
    <w:pPr>
      <w:spacing w:after="0"/>
      <w:jc w:val="center"/>
    </w:pPr>
    <w:rPr>
      <w:rFonts w:ascii="Calibri" w:hAnsi="Calibri"/>
      <w:noProof/>
    </w:rPr>
  </w:style>
  <w:style w:type="character" w:customStyle="1" w:styleId="EndNoteBibliographyTitleTegn">
    <w:name w:val="EndNote Bibliography Title Tegn"/>
    <w:basedOn w:val="Standardskriftforavsnitt"/>
    <w:link w:val="EndNoteBibliographyTitle"/>
    <w:rsid w:val="00211E84"/>
    <w:rPr>
      <w:rFonts w:ascii="Calibri" w:hAnsi="Calibri"/>
      <w:noProof/>
      <w:sz w:val="24"/>
      <w:szCs w:val="24"/>
      <w:lang w:val="en-US"/>
    </w:rPr>
  </w:style>
  <w:style w:type="paragraph" w:customStyle="1" w:styleId="EndNoteBibliography">
    <w:name w:val="EndNote Bibliography"/>
    <w:basedOn w:val="Normal"/>
    <w:link w:val="EndNoteBibliographyTegn"/>
    <w:rsid w:val="00211E84"/>
    <w:rPr>
      <w:rFonts w:ascii="Calibri" w:hAnsi="Calibri"/>
      <w:noProof/>
    </w:rPr>
  </w:style>
  <w:style w:type="character" w:customStyle="1" w:styleId="EndNoteBibliographyTegn">
    <w:name w:val="EndNote Bibliography Tegn"/>
    <w:basedOn w:val="Standardskriftforavsnitt"/>
    <w:link w:val="EndNoteBibliography"/>
    <w:rsid w:val="00211E84"/>
    <w:rPr>
      <w:rFonts w:ascii="Calibri" w:hAnsi="Calibri"/>
      <w:noProof/>
      <w:sz w:val="24"/>
      <w:szCs w:val="24"/>
      <w:lang w:val="en-US"/>
    </w:rPr>
  </w:style>
  <w:style w:type="character" w:styleId="Hyperkobling">
    <w:name w:val="Hyperlink"/>
    <w:basedOn w:val="Standardskriftforavsnitt"/>
    <w:unhideWhenUsed/>
    <w:rsid w:val="00211E84"/>
    <w:rPr>
      <w:color w:val="0000FF" w:themeColor="hyperlink"/>
      <w:u w:val="single"/>
    </w:rPr>
  </w:style>
  <w:style w:type="paragraph" w:styleId="Kommentaremne">
    <w:name w:val="annotation subject"/>
    <w:basedOn w:val="Merknadstekst"/>
    <w:next w:val="Merknadstekst"/>
    <w:link w:val="KommentaremneTegn"/>
    <w:uiPriority w:val="99"/>
    <w:semiHidden/>
    <w:unhideWhenUsed/>
    <w:rsid w:val="00211E84"/>
    <w:rPr>
      <w:b/>
      <w:bCs/>
    </w:rPr>
  </w:style>
  <w:style w:type="character" w:customStyle="1" w:styleId="KommentaremneTegn">
    <w:name w:val="Kommentaremne Tegn"/>
    <w:basedOn w:val="MerknadstekstTegn"/>
    <w:link w:val="Kommentaremne"/>
    <w:uiPriority w:val="99"/>
    <w:semiHidden/>
    <w:rsid w:val="00211E84"/>
    <w:rPr>
      <w:b/>
      <w:bCs/>
      <w:sz w:val="20"/>
      <w:szCs w:val="20"/>
      <w:lang w:val="en-US"/>
    </w:rPr>
  </w:style>
  <w:style w:type="character" w:customStyle="1" w:styleId="Overskrift1Tegn">
    <w:name w:val="Overskrift 1 Tegn"/>
    <w:basedOn w:val="Standardskriftforavsnitt"/>
    <w:link w:val="Overskrift1"/>
    <w:uiPriority w:val="9"/>
    <w:rsid w:val="007D696D"/>
    <w:rPr>
      <w:rFonts w:asciiTheme="majorHAnsi" w:eastAsiaTheme="majorEastAsia" w:hAnsiTheme="majorHAnsi" w:cstheme="majorBidi"/>
      <w:b/>
      <w:bCs/>
      <w:color w:val="345A8A" w:themeColor="accent1" w:themeShade="B5"/>
      <w:sz w:val="36"/>
      <w:szCs w:val="36"/>
      <w:lang w:val="en-US"/>
    </w:rPr>
  </w:style>
  <w:style w:type="character" w:customStyle="1" w:styleId="Overskrift2Tegn">
    <w:name w:val="Overskrift 2 Tegn"/>
    <w:basedOn w:val="Standardskriftforavsnitt"/>
    <w:link w:val="Overskrift2"/>
    <w:uiPriority w:val="9"/>
    <w:rsid w:val="007D696D"/>
    <w:rPr>
      <w:rFonts w:asciiTheme="majorHAnsi" w:eastAsiaTheme="majorEastAsia" w:hAnsiTheme="majorHAnsi" w:cstheme="majorBidi"/>
      <w:b/>
      <w:bCs/>
      <w:color w:val="4F81BD" w:themeColor="accent1"/>
      <w:sz w:val="32"/>
      <w:szCs w:val="32"/>
      <w:lang w:val="en-US"/>
    </w:rPr>
  </w:style>
  <w:style w:type="paragraph" w:customStyle="1" w:styleId="Compact">
    <w:name w:val="Compact"/>
    <w:basedOn w:val="Normal"/>
    <w:qFormat/>
    <w:rsid w:val="007D696D"/>
    <w:pPr>
      <w:spacing w:before="36" w:after="36"/>
    </w:pPr>
  </w:style>
  <w:style w:type="paragraph" w:styleId="Listeavsnitt">
    <w:name w:val="List Paragraph"/>
    <w:basedOn w:val="Normal"/>
    <w:uiPriority w:val="34"/>
    <w:qFormat/>
    <w:rsid w:val="00FC5E05"/>
    <w:pPr>
      <w:ind w:left="720"/>
      <w:contextualSpacing/>
    </w:pPr>
  </w:style>
  <w:style w:type="character" w:styleId="Utheving">
    <w:name w:val="Emphasis"/>
    <w:basedOn w:val="Standardskriftforavsnitt"/>
    <w:uiPriority w:val="20"/>
    <w:qFormat/>
    <w:rsid w:val="00590D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D1"/>
    <w:pPr>
      <w:spacing w:before="180" w:after="180" w:line="240" w:lineRule="auto"/>
    </w:pPr>
    <w:rPr>
      <w:sz w:val="24"/>
      <w:szCs w:val="24"/>
      <w:lang w:val="en-US"/>
    </w:rPr>
  </w:style>
  <w:style w:type="paragraph" w:styleId="Overskrift1">
    <w:name w:val="heading 1"/>
    <w:basedOn w:val="Normal"/>
    <w:next w:val="Normal"/>
    <w:link w:val="Overskrift1Tegn"/>
    <w:uiPriority w:val="9"/>
    <w:qFormat/>
    <w:rsid w:val="007D696D"/>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link w:val="Overskrift2Tegn"/>
    <w:uiPriority w:val="9"/>
    <w:unhideWhenUsed/>
    <w:qFormat/>
    <w:rsid w:val="007D696D"/>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rsid w:val="00D852D1"/>
    <w:rPr>
      <w:sz w:val="16"/>
      <w:szCs w:val="16"/>
    </w:rPr>
  </w:style>
  <w:style w:type="paragraph" w:styleId="Merknadstekst">
    <w:name w:val="annotation text"/>
    <w:basedOn w:val="Normal"/>
    <w:link w:val="MerknadstekstTegn"/>
    <w:rsid w:val="00D852D1"/>
    <w:rPr>
      <w:sz w:val="20"/>
      <w:szCs w:val="20"/>
    </w:rPr>
  </w:style>
  <w:style w:type="character" w:customStyle="1" w:styleId="MerknadstekstTegn">
    <w:name w:val="Merknadstekst Tegn"/>
    <w:basedOn w:val="Standardskriftforavsnitt"/>
    <w:link w:val="Merknadstekst"/>
    <w:rsid w:val="00D852D1"/>
    <w:rPr>
      <w:sz w:val="20"/>
      <w:szCs w:val="20"/>
      <w:lang w:val="en-US"/>
    </w:rPr>
  </w:style>
  <w:style w:type="paragraph" w:styleId="Bobletekst">
    <w:name w:val="Balloon Text"/>
    <w:basedOn w:val="Normal"/>
    <w:link w:val="BobletekstTegn"/>
    <w:uiPriority w:val="99"/>
    <w:semiHidden/>
    <w:unhideWhenUsed/>
    <w:rsid w:val="00D852D1"/>
    <w:pPr>
      <w:spacing w:before="0"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D852D1"/>
    <w:rPr>
      <w:rFonts w:ascii="Tahoma" w:hAnsi="Tahoma" w:cs="Tahoma"/>
      <w:sz w:val="16"/>
      <w:szCs w:val="16"/>
      <w:lang w:val="en-US"/>
    </w:rPr>
  </w:style>
  <w:style w:type="paragraph" w:customStyle="1" w:styleId="EndNoteBibliographyTitle">
    <w:name w:val="EndNote Bibliography Title"/>
    <w:basedOn w:val="Normal"/>
    <w:link w:val="EndNoteBibliographyTitleTegn"/>
    <w:rsid w:val="00211E84"/>
    <w:pPr>
      <w:spacing w:after="0"/>
      <w:jc w:val="center"/>
    </w:pPr>
    <w:rPr>
      <w:rFonts w:ascii="Calibri" w:hAnsi="Calibri"/>
      <w:noProof/>
    </w:rPr>
  </w:style>
  <w:style w:type="character" w:customStyle="1" w:styleId="EndNoteBibliographyTitleTegn">
    <w:name w:val="EndNote Bibliography Title Tegn"/>
    <w:basedOn w:val="Standardskriftforavsnitt"/>
    <w:link w:val="EndNoteBibliographyTitle"/>
    <w:rsid w:val="00211E84"/>
    <w:rPr>
      <w:rFonts w:ascii="Calibri" w:hAnsi="Calibri"/>
      <w:noProof/>
      <w:sz w:val="24"/>
      <w:szCs w:val="24"/>
      <w:lang w:val="en-US"/>
    </w:rPr>
  </w:style>
  <w:style w:type="paragraph" w:customStyle="1" w:styleId="EndNoteBibliography">
    <w:name w:val="EndNote Bibliography"/>
    <w:basedOn w:val="Normal"/>
    <w:link w:val="EndNoteBibliographyTegn"/>
    <w:rsid w:val="00211E84"/>
    <w:rPr>
      <w:rFonts w:ascii="Calibri" w:hAnsi="Calibri"/>
      <w:noProof/>
    </w:rPr>
  </w:style>
  <w:style w:type="character" w:customStyle="1" w:styleId="EndNoteBibliographyTegn">
    <w:name w:val="EndNote Bibliography Tegn"/>
    <w:basedOn w:val="Standardskriftforavsnitt"/>
    <w:link w:val="EndNoteBibliography"/>
    <w:rsid w:val="00211E84"/>
    <w:rPr>
      <w:rFonts w:ascii="Calibri" w:hAnsi="Calibri"/>
      <w:noProof/>
      <w:sz w:val="24"/>
      <w:szCs w:val="24"/>
      <w:lang w:val="en-US"/>
    </w:rPr>
  </w:style>
  <w:style w:type="character" w:styleId="Hyperkobling">
    <w:name w:val="Hyperlink"/>
    <w:basedOn w:val="Standardskriftforavsnitt"/>
    <w:unhideWhenUsed/>
    <w:rsid w:val="00211E84"/>
    <w:rPr>
      <w:color w:val="0000FF" w:themeColor="hyperlink"/>
      <w:u w:val="single"/>
    </w:rPr>
  </w:style>
  <w:style w:type="paragraph" w:styleId="Kommentaremne">
    <w:name w:val="annotation subject"/>
    <w:basedOn w:val="Merknadstekst"/>
    <w:next w:val="Merknadstekst"/>
    <w:link w:val="KommentaremneTegn"/>
    <w:uiPriority w:val="99"/>
    <w:semiHidden/>
    <w:unhideWhenUsed/>
    <w:rsid w:val="00211E84"/>
    <w:rPr>
      <w:b/>
      <w:bCs/>
    </w:rPr>
  </w:style>
  <w:style w:type="character" w:customStyle="1" w:styleId="KommentaremneTegn">
    <w:name w:val="Kommentaremne Tegn"/>
    <w:basedOn w:val="MerknadstekstTegn"/>
    <w:link w:val="Kommentaremne"/>
    <w:uiPriority w:val="99"/>
    <w:semiHidden/>
    <w:rsid w:val="00211E84"/>
    <w:rPr>
      <w:b/>
      <w:bCs/>
      <w:sz w:val="20"/>
      <w:szCs w:val="20"/>
      <w:lang w:val="en-US"/>
    </w:rPr>
  </w:style>
  <w:style w:type="character" w:customStyle="1" w:styleId="Overskrift1Tegn">
    <w:name w:val="Overskrift 1 Tegn"/>
    <w:basedOn w:val="Standardskriftforavsnitt"/>
    <w:link w:val="Overskrift1"/>
    <w:uiPriority w:val="9"/>
    <w:rsid w:val="007D696D"/>
    <w:rPr>
      <w:rFonts w:asciiTheme="majorHAnsi" w:eastAsiaTheme="majorEastAsia" w:hAnsiTheme="majorHAnsi" w:cstheme="majorBidi"/>
      <w:b/>
      <w:bCs/>
      <w:color w:val="345A8A" w:themeColor="accent1" w:themeShade="B5"/>
      <w:sz w:val="36"/>
      <w:szCs w:val="36"/>
      <w:lang w:val="en-US"/>
    </w:rPr>
  </w:style>
  <w:style w:type="character" w:customStyle="1" w:styleId="Overskrift2Tegn">
    <w:name w:val="Overskrift 2 Tegn"/>
    <w:basedOn w:val="Standardskriftforavsnitt"/>
    <w:link w:val="Overskrift2"/>
    <w:uiPriority w:val="9"/>
    <w:rsid w:val="007D696D"/>
    <w:rPr>
      <w:rFonts w:asciiTheme="majorHAnsi" w:eastAsiaTheme="majorEastAsia" w:hAnsiTheme="majorHAnsi" w:cstheme="majorBidi"/>
      <w:b/>
      <w:bCs/>
      <w:color w:val="4F81BD" w:themeColor="accent1"/>
      <w:sz w:val="32"/>
      <w:szCs w:val="32"/>
      <w:lang w:val="en-US"/>
    </w:rPr>
  </w:style>
  <w:style w:type="paragraph" w:customStyle="1" w:styleId="Compact">
    <w:name w:val="Compact"/>
    <w:basedOn w:val="Normal"/>
    <w:qFormat/>
    <w:rsid w:val="007D696D"/>
    <w:pPr>
      <w:spacing w:before="36" w:after="36"/>
    </w:pPr>
  </w:style>
  <w:style w:type="paragraph" w:styleId="Listeavsnitt">
    <w:name w:val="List Paragraph"/>
    <w:basedOn w:val="Normal"/>
    <w:uiPriority w:val="34"/>
    <w:qFormat/>
    <w:rsid w:val="00FC5E05"/>
    <w:pPr>
      <w:ind w:left="720"/>
      <w:contextualSpacing/>
    </w:pPr>
  </w:style>
  <w:style w:type="character" w:styleId="Utheving">
    <w:name w:val="Emphasis"/>
    <w:basedOn w:val="Standardskriftforavsnitt"/>
    <w:uiPriority w:val="20"/>
    <w:qFormat/>
    <w:rsid w:val="00590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1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vosocc.unocha.org/Documents/att34145.pdf" TargetMode="External"/><Relationship Id="rId1" Type="http://schemas.openxmlformats.org/officeDocument/2006/relationships/hyperlink" Target="https://docs.unocha.org/sites/dms/CAP/Ebola_outbreak_Sep_2014.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org/ebolaresponse/mission.s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who.int/mediacentre/news/statements/2014/ebola-20140808/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AEB0-82D6-46AC-9725-A75E676B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12</Pages>
  <Words>4121</Words>
  <Characters>21846</Characters>
  <Application>Microsoft Office Word</Application>
  <DocSecurity>0</DocSecurity>
  <Lines>182</Lines>
  <Paragraphs>51</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MacDonald, Emily</dc:creator>
  <cp:lastModifiedBy>MacDonald, Emily</cp:lastModifiedBy>
  <cp:revision>11</cp:revision>
  <cp:lastPrinted>2014-10-28T20:16:00Z</cp:lastPrinted>
  <dcterms:created xsi:type="dcterms:W3CDTF">2014-10-28T17:20:00Z</dcterms:created>
  <dcterms:modified xsi:type="dcterms:W3CDTF">2014-10-28T23:52:00Z</dcterms:modified>
</cp:coreProperties>
</file>